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7B03" w14:textId="26F2E33E" w:rsidR="00B83C92" w:rsidRPr="00B83C92" w:rsidRDefault="00B83C92" w:rsidP="00B83C92">
      <w:pPr>
        <w:rPr>
          <w:rtl/>
        </w:rPr>
      </w:pPr>
      <w:r w:rsidRPr="00B83C92">
        <w:rPr>
          <w:rtl/>
        </w:rPr>
        <w:t xml:space="preserve">חלק </w:t>
      </w:r>
      <w:r>
        <w:rPr>
          <w:rFonts w:hint="cs"/>
          <w:rtl/>
        </w:rPr>
        <w:t>רביעי: חומר ב</w:t>
      </w:r>
      <w:r w:rsidRPr="00B83C92">
        <w:rPr>
          <w:rtl/>
        </w:rPr>
        <w:t xml:space="preserve">דרייב </w:t>
      </w:r>
      <w:r w:rsidRPr="00B83C92">
        <w:rPr>
          <w:rFonts w:hint="cs"/>
          <w:rtl/>
        </w:rPr>
        <w:t xml:space="preserve">של אורי. ניתן להשתמש בחומר שבדרייב לפי שקול דעתך. </w:t>
      </w:r>
    </w:p>
    <w:p w14:paraId="71501EFE" w14:textId="77777777" w:rsidR="00B83C92" w:rsidRPr="00B83C92" w:rsidRDefault="00B83C92" w:rsidP="00B83C92">
      <w:pPr>
        <w:rPr>
          <w:rtl/>
        </w:rPr>
      </w:pPr>
    </w:p>
    <w:p w14:paraId="29C1EEAF" w14:textId="77777777" w:rsidR="00B83C92" w:rsidRPr="00B83C92" w:rsidRDefault="00B83C92" w:rsidP="00B83C92">
      <w:pPr>
        <w:rPr>
          <w:rtl/>
        </w:rPr>
      </w:pPr>
    </w:p>
    <w:p w14:paraId="0FEE8585" w14:textId="77777777" w:rsidR="00B83C92" w:rsidRPr="00B83C92" w:rsidRDefault="00B83C92" w:rsidP="00B83C92">
      <w:pPr>
        <w:rPr>
          <w:rtl/>
        </w:rPr>
      </w:pPr>
      <w:r w:rsidRPr="00B83C92">
        <w:rPr>
          <w:rtl/>
        </w:rPr>
        <w:t>מסמך דרייב אישי מס 1</w:t>
      </w:r>
    </w:p>
    <w:p w14:paraId="4C84FFE7" w14:textId="77777777" w:rsidR="00B83C92" w:rsidRPr="00B83C92" w:rsidRDefault="00B83C92" w:rsidP="00B83C92">
      <w:r w:rsidRPr="00B83C92">
        <w:rPr>
          <w:rtl/>
        </w:rPr>
        <w:t xml:space="preserve">רשימות של אורי מכנס ברלין מאי 25. </w:t>
      </w:r>
      <w:r w:rsidRPr="00B83C92">
        <w:rPr>
          <w:rtl/>
        </w:rPr>
        <w:br/>
      </w:r>
      <w:r w:rsidRPr="00B83C92">
        <w:rPr>
          <w:lang w:val="en-GB"/>
        </w:rPr>
        <w:drawing>
          <wp:inline distT="0" distB="0" distL="0" distR="0" wp14:anchorId="7AFFC264" wp14:editId="40D17183">
            <wp:extent cx="5276850" cy="6619875"/>
            <wp:effectExtent l="0" t="0" r="0" b="0"/>
            <wp:docPr id="9908059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6850" cy="6619875"/>
                    </a:xfrm>
                    <a:prstGeom prst="rect">
                      <a:avLst/>
                    </a:prstGeom>
                    <a:noFill/>
                    <a:ln>
                      <a:noFill/>
                    </a:ln>
                  </pic:spPr>
                </pic:pic>
              </a:graphicData>
            </a:graphic>
          </wp:inline>
        </w:drawing>
      </w:r>
    </w:p>
    <w:tbl>
      <w:tblPr>
        <w:bidiVisual/>
        <w:tblW w:w="22118" w:type="dxa"/>
        <w:tblInd w:w="-518" w:type="dxa"/>
        <w:tblLook w:val="04A0" w:firstRow="1" w:lastRow="0" w:firstColumn="1" w:lastColumn="0" w:noHBand="0" w:noVBand="1"/>
      </w:tblPr>
      <w:tblGrid>
        <w:gridCol w:w="8078"/>
        <w:gridCol w:w="1080"/>
        <w:gridCol w:w="1080"/>
        <w:gridCol w:w="1080"/>
        <w:gridCol w:w="1080"/>
        <w:gridCol w:w="1080"/>
        <w:gridCol w:w="1080"/>
        <w:gridCol w:w="1080"/>
        <w:gridCol w:w="1080"/>
        <w:gridCol w:w="1080"/>
        <w:gridCol w:w="1080"/>
        <w:gridCol w:w="1080"/>
        <w:gridCol w:w="1080"/>
        <w:gridCol w:w="1080"/>
      </w:tblGrid>
      <w:tr w:rsidR="00B83C92" w:rsidRPr="00B83C92" w14:paraId="5FFBF29A" w14:textId="77777777" w:rsidTr="00184319">
        <w:trPr>
          <w:trHeight w:val="285"/>
        </w:trPr>
        <w:tc>
          <w:tcPr>
            <w:tcW w:w="16718" w:type="dxa"/>
            <w:gridSpan w:val="9"/>
            <w:tcBorders>
              <w:top w:val="nil"/>
              <w:left w:val="nil"/>
              <w:bottom w:val="nil"/>
              <w:right w:val="nil"/>
            </w:tcBorders>
            <w:noWrap/>
            <w:vAlign w:val="bottom"/>
          </w:tcPr>
          <w:p w14:paraId="255A30CA" w14:textId="77777777" w:rsidR="00B83C92" w:rsidRPr="00B83C92" w:rsidRDefault="00B83C92" w:rsidP="00B83C92"/>
        </w:tc>
        <w:tc>
          <w:tcPr>
            <w:tcW w:w="1080" w:type="dxa"/>
            <w:tcBorders>
              <w:top w:val="nil"/>
              <w:left w:val="nil"/>
              <w:bottom w:val="nil"/>
              <w:right w:val="nil"/>
            </w:tcBorders>
            <w:noWrap/>
            <w:vAlign w:val="bottom"/>
            <w:hideMark/>
          </w:tcPr>
          <w:p w14:paraId="100E7021" w14:textId="77777777" w:rsidR="00B83C92" w:rsidRPr="00B83C92" w:rsidRDefault="00B83C92" w:rsidP="00B83C92">
            <w:pPr>
              <w:rPr>
                <w:rtl/>
              </w:rPr>
            </w:pPr>
          </w:p>
        </w:tc>
        <w:tc>
          <w:tcPr>
            <w:tcW w:w="1080" w:type="dxa"/>
            <w:tcBorders>
              <w:top w:val="nil"/>
              <w:left w:val="nil"/>
              <w:bottom w:val="nil"/>
              <w:right w:val="nil"/>
            </w:tcBorders>
            <w:noWrap/>
            <w:vAlign w:val="bottom"/>
            <w:hideMark/>
          </w:tcPr>
          <w:p w14:paraId="14F0650D"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5616D00"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59F8B90"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4BA091A" w14:textId="77777777" w:rsidR="00B83C92" w:rsidRPr="00B83C92" w:rsidRDefault="00B83C92" w:rsidP="00B83C92">
            <w:pPr>
              <w:rPr>
                <w:lang w:val="en-GB"/>
              </w:rPr>
            </w:pPr>
          </w:p>
        </w:tc>
      </w:tr>
      <w:tr w:rsidR="00B83C92" w:rsidRPr="00B83C92" w14:paraId="256E1CD8" w14:textId="77777777" w:rsidTr="00184319">
        <w:trPr>
          <w:trHeight w:val="285"/>
        </w:trPr>
        <w:tc>
          <w:tcPr>
            <w:tcW w:w="16718" w:type="dxa"/>
            <w:gridSpan w:val="9"/>
            <w:tcBorders>
              <w:top w:val="nil"/>
              <w:left w:val="nil"/>
              <w:bottom w:val="nil"/>
              <w:right w:val="nil"/>
            </w:tcBorders>
            <w:noWrap/>
            <w:vAlign w:val="bottom"/>
          </w:tcPr>
          <w:p w14:paraId="5F96D4B6"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86B30FF" w14:textId="77777777" w:rsidR="00B83C92" w:rsidRPr="00B83C92" w:rsidRDefault="00B83C92" w:rsidP="00B83C92">
            <w:pPr>
              <w:rPr>
                <w:rtl/>
              </w:rPr>
            </w:pPr>
          </w:p>
        </w:tc>
        <w:tc>
          <w:tcPr>
            <w:tcW w:w="1080" w:type="dxa"/>
            <w:tcBorders>
              <w:top w:val="nil"/>
              <w:left w:val="nil"/>
              <w:bottom w:val="nil"/>
              <w:right w:val="nil"/>
            </w:tcBorders>
            <w:noWrap/>
            <w:vAlign w:val="bottom"/>
            <w:hideMark/>
          </w:tcPr>
          <w:p w14:paraId="0343692D"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4C26A236"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0129DAAC"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DB6B5ED" w14:textId="77777777" w:rsidR="00B83C92" w:rsidRPr="00B83C92" w:rsidRDefault="00B83C92" w:rsidP="00B83C92">
            <w:pPr>
              <w:rPr>
                <w:lang w:val="en-GB"/>
              </w:rPr>
            </w:pPr>
          </w:p>
        </w:tc>
      </w:tr>
      <w:tr w:rsidR="00B83C92" w:rsidRPr="00B83C92" w14:paraId="730FC97D" w14:textId="77777777" w:rsidTr="00184319">
        <w:trPr>
          <w:trHeight w:val="285"/>
        </w:trPr>
        <w:tc>
          <w:tcPr>
            <w:tcW w:w="14558" w:type="dxa"/>
            <w:gridSpan w:val="7"/>
            <w:tcBorders>
              <w:top w:val="nil"/>
              <w:left w:val="nil"/>
              <w:bottom w:val="nil"/>
              <w:right w:val="nil"/>
            </w:tcBorders>
            <w:noWrap/>
            <w:vAlign w:val="bottom"/>
          </w:tcPr>
          <w:p w14:paraId="0C553DF3"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D363E96" w14:textId="77777777" w:rsidR="00B83C92" w:rsidRPr="00B83C92" w:rsidRDefault="00B83C92" w:rsidP="00B83C92">
            <w:pPr>
              <w:rPr>
                <w:rtl/>
              </w:rPr>
            </w:pPr>
          </w:p>
        </w:tc>
        <w:tc>
          <w:tcPr>
            <w:tcW w:w="1080" w:type="dxa"/>
            <w:tcBorders>
              <w:top w:val="nil"/>
              <w:left w:val="nil"/>
              <w:bottom w:val="nil"/>
              <w:right w:val="nil"/>
            </w:tcBorders>
            <w:noWrap/>
            <w:vAlign w:val="bottom"/>
            <w:hideMark/>
          </w:tcPr>
          <w:p w14:paraId="650BD9E1"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12B28154"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5183F44"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E40060B"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934B4E1"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60BF055" w14:textId="77777777" w:rsidR="00B83C92" w:rsidRPr="00B83C92" w:rsidRDefault="00B83C92" w:rsidP="00B83C92">
            <w:pPr>
              <w:rPr>
                <w:lang w:val="en-GB"/>
              </w:rPr>
            </w:pPr>
          </w:p>
        </w:tc>
      </w:tr>
      <w:tr w:rsidR="00B83C92" w:rsidRPr="00B83C92" w14:paraId="5BE88128" w14:textId="77777777" w:rsidTr="00184319">
        <w:trPr>
          <w:trHeight w:val="285"/>
        </w:trPr>
        <w:tc>
          <w:tcPr>
            <w:tcW w:w="12398" w:type="dxa"/>
            <w:gridSpan w:val="5"/>
            <w:tcBorders>
              <w:top w:val="nil"/>
              <w:left w:val="nil"/>
              <w:bottom w:val="nil"/>
              <w:right w:val="nil"/>
            </w:tcBorders>
            <w:noWrap/>
            <w:vAlign w:val="bottom"/>
          </w:tcPr>
          <w:p w14:paraId="3FB1ADBB" w14:textId="77777777" w:rsidR="00B83C92" w:rsidRPr="00B83C92" w:rsidRDefault="00B83C92" w:rsidP="00B83C92"/>
        </w:tc>
        <w:tc>
          <w:tcPr>
            <w:tcW w:w="1080" w:type="dxa"/>
            <w:tcBorders>
              <w:top w:val="nil"/>
              <w:left w:val="nil"/>
              <w:bottom w:val="nil"/>
              <w:right w:val="nil"/>
            </w:tcBorders>
            <w:noWrap/>
            <w:vAlign w:val="bottom"/>
            <w:hideMark/>
          </w:tcPr>
          <w:p w14:paraId="1E62B960" w14:textId="77777777" w:rsidR="00B83C92" w:rsidRPr="00B83C92" w:rsidRDefault="00B83C92" w:rsidP="00B83C92"/>
        </w:tc>
        <w:tc>
          <w:tcPr>
            <w:tcW w:w="1080" w:type="dxa"/>
            <w:tcBorders>
              <w:top w:val="nil"/>
              <w:left w:val="nil"/>
              <w:bottom w:val="nil"/>
              <w:right w:val="nil"/>
            </w:tcBorders>
            <w:noWrap/>
            <w:vAlign w:val="bottom"/>
            <w:hideMark/>
          </w:tcPr>
          <w:p w14:paraId="4C6E5491"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FAF1D76"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C0A0917"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80B8D4C"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1E388390"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791BF4D0"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408BD708"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4FC53754" w14:textId="77777777" w:rsidR="00B83C92" w:rsidRPr="00B83C92" w:rsidRDefault="00B83C92" w:rsidP="00B83C92">
            <w:pPr>
              <w:rPr>
                <w:lang w:val="en-GB"/>
              </w:rPr>
            </w:pPr>
          </w:p>
        </w:tc>
      </w:tr>
      <w:tr w:rsidR="00B83C92" w:rsidRPr="00B83C92" w14:paraId="7DB42425" w14:textId="77777777" w:rsidTr="00184319">
        <w:trPr>
          <w:trHeight w:val="285"/>
        </w:trPr>
        <w:tc>
          <w:tcPr>
            <w:tcW w:w="13478" w:type="dxa"/>
            <w:gridSpan w:val="6"/>
            <w:tcBorders>
              <w:top w:val="nil"/>
              <w:left w:val="nil"/>
              <w:bottom w:val="nil"/>
              <w:right w:val="nil"/>
            </w:tcBorders>
            <w:noWrap/>
            <w:vAlign w:val="bottom"/>
          </w:tcPr>
          <w:p w14:paraId="01AFCE1A"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50826481" w14:textId="77777777" w:rsidR="00B83C92" w:rsidRPr="00B83C92" w:rsidRDefault="00B83C92" w:rsidP="00B83C92">
            <w:pPr>
              <w:rPr>
                <w:rtl/>
              </w:rPr>
            </w:pPr>
          </w:p>
        </w:tc>
        <w:tc>
          <w:tcPr>
            <w:tcW w:w="1080" w:type="dxa"/>
            <w:tcBorders>
              <w:top w:val="nil"/>
              <w:left w:val="nil"/>
              <w:bottom w:val="nil"/>
              <w:right w:val="nil"/>
            </w:tcBorders>
            <w:noWrap/>
            <w:vAlign w:val="bottom"/>
            <w:hideMark/>
          </w:tcPr>
          <w:p w14:paraId="35569763"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55FA785F"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04E8B253"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E0DDD83"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4F7CFBF"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51E98E41"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0803327A" w14:textId="77777777" w:rsidR="00B83C92" w:rsidRPr="00B83C92" w:rsidRDefault="00B83C92" w:rsidP="00B83C92">
            <w:pPr>
              <w:rPr>
                <w:lang w:val="en-GB"/>
              </w:rPr>
            </w:pPr>
          </w:p>
        </w:tc>
      </w:tr>
      <w:tr w:rsidR="00B83C92" w:rsidRPr="00B83C92" w14:paraId="6231E0AE" w14:textId="77777777" w:rsidTr="00184319">
        <w:trPr>
          <w:trHeight w:val="285"/>
        </w:trPr>
        <w:tc>
          <w:tcPr>
            <w:tcW w:w="8078" w:type="dxa"/>
            <w:tcBorders>
              <w:top w:val="nil"/>
              <w:left w:val="nil"/>
              <w:bottom w:val="nil"/>
              <w:right w:val="nil"/>
            </w:tcBorders>
            <w:noWrap/>
            <w:vAlign w:val="bottom"/>
          </w:tcPr>
          <w:p w14:paraId="02DB97A1" w14:textId="77777777" w:rsidR="00B83C92" w:rsidRPr="00B83C92" w:rsidRDefault="00B83C92" w:rsidP="00B83C92">
            <w:pPr>
              <w:rPr>
                <w:lang w:val="en-GB"/>
              </w:rPr>
            </w:pPr>
          </w:p>
        </w:tc>
        <w:tc>
          <w:tcPr>
            <w:tcW w:w="1080" w:type="dxa"/>
            <w:tcBorders>
              <w:top w:val="nil"/>
              <w:left w:val="nil"/>
              <w:bottom w:val="nil"/>
              <w:right w:val="nil"/>
            </w:tcBorders>
            <w:noWrap/>
            <w:vAlign w:val="bottom"/>
          </w:tcPr>
          <w:p w14:paraId="3D54BC74" w14:textId="77777777" w:rsidR="00B83C92" w:rsidRPr="00B83C92" w:rsidRDefault="00B83C92" w:rsidP="00B83C92">
            <w:pPr>
              <w:rPr>
                <w:rtl/>
              </w:rPr>
            </w:pPr>
          </w:p>
        </w:tc>
        <w:tc>
          <w:tcPr>
            <w:tcW w:w="1080" w:type="dxa"/>
            <w:tcBorders>
              <w:top w:val="nil"/>
              <w:left w:val="nil"/>
              <w:bottom w:val="nil"/>
              <w:right w:val="nil"/>
            </w:tcBorders>
            <w:noWrap/>
            <w:vAlign w:val="bottom"/>
          </w:tcPr>
          <w:p w14:paraId="76CE741F"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949D321"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50357B38"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EC4F234"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548C8D15"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F0D3074"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808931B"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C0038CA"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5F8F903F"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19DAC43"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8E644FB"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74F12553" w14:textId="77777777" w:rsidR="00B83C92" w:rsidRPr="00B83C92" w:rsidRDefault="00B83C92" w:rsidP="00B83C92">
            <w:pPr>
              <w:rPr>
                <w:lang w:val="en-GB"/>
              </w:rPr>
            </w:pPr>
          </w:p>
        </w:tc>
      </w:tr>
    </w:tbl>
    <w:p w14:paraId="2E85530C" w14:textId="77777777" w:rsidR="00B83C92" w:rsidRPr="00B83C92" w:rsidRDefault="00B83C92" w:rsidP="00B83C92">
      <w:pPr>
        <w:rPr>
          <w:rtl/>
        </w:rPr>
      </w:pPr>
      <w:r w:rsidRPr="00B83C92">
        <w:rPr>
          <w:lang w:val="en-GB"/>
        </w:rPr>
        <w:br w:type="page"/>
      </w:r>
      <w:r w:rsidRPr="00B83C92">
        <w:rPr>
          <w:rtl/>
        </w:rPr>
        <w:lastRenderedPageBreak/>
        <w:t xml:space="preserve">דרייב אישי מסמך מס 2: </w:t>
      </w:r>
    </w:p>
    <w:p w14:paraId="4BCFB30C" w14:textId="77777777" w:rsidR="00B83C92" w:rsidRPr="00B83C92" w:rsidRDefault="00B83C92" w:rsidP="00B83C92">
      <w:pPr>
        <w:rPr>
          <w:b/>
          <w:bCs/>
          <w:lang w:val="en-GB"/>
        </w:rPr>
      </w:pPr>
      <w:r w:rsidRPr="00B83C92">
        <w:rPr>
          <w:rtl/>
        </w:rPr>
        <w:t>סקירת תופעות לוואי אימונותרפיה סרטן שד</w:t>
      </w:r>
      <w:r w:rsidRPr="00B83C92">
        <w:rPr>
          <w:rtl/>
        </w:rPr>
        <w:br/>
      </w:r>
      <w:r w:rsidRPr="00B83C92">
        <w:rPr>
          <w:b/>
          <w:bCs/>
          <w:rtl/>
        </w:rPr>
        <w:t>תופעות הלוואי של אימונותרפיה לסרטן השד: סקירה מדעית מקיפה</w:t>
      </w:r>
    </w:p>
    <w:p w14:paraId="7A14BC55" w14:textId="77777777" w:rsidR="00B83C92" w:rsidRPr="00B83C92" w:rsidRDefault="00B83C92" w:rsidP="00B83C92">
      <w:pPr>
        <w:rPr>
          <w:lang w:val="en-GB"/>
        </w:rPr>
      </w:pPr>
      <w:r w:rsidRPr="00B83C92">
        <w:rPr>
          <w:rtl/>
        </w:rPr>
        <w:t>אימונותרפיה עם מעכבי נקודות ביקורת חיסוניות</w:t>
      </w:r>
      <w:r w:rsidRPr="00B83C92">
        <w:rPr>
          <w:lang w:val="en-GB"/>
        </w:rPr>
        <w:t xml:space="preserve"> (Immune Checkpoint Inhibitors - ICIs) </w:t>
      </w:r>
      <w:r w:rsidRPr="00B83C92">
        <w:rPr>
          <w:rtl/>
        </w:rPr>
        <w:t xml:space="preserve">חוללה מהפכה בטיפול בסרטן השד, במיוחד בסרטן שד מסוג </w:t>
      </w:r>
      <w:proofErr w:type="spellStart"/>
      <w:r w:rsidRPr="00B83C92">
        <w:rPr>
          <w:rtl/>
        </w:rPr>
        <w:t>טריפל</w:t>
      </w:r>
      <w:proofErr w:type="spellEnd"/>
      <w:r w:rsidRPr="00B83C92">
        <w:rPr>
          <w:rtl/>
        </w:rPr>
        <w:t xml:space="preserve"> נגטיב</w:t>
      </w:r>
      <w:r w:rsidRPr="00B83C92">
        <w:rPr>
          <w:lang w:val="en-GB"/>
        </w:rPr>
        <w:t xml:space="preserve"> (Triple-Negative Breast Cancer - TNBC). </w:t>
      </w:r>
      <w:r w:rsidRPr="00B83C92">
        <w:rPr>
          <w:rtl/>
        </w:rPr>
        <w:t xml:space="preserve">התרופות העיקריות באימונותרפיה לסרטן השד כוללות </w:t>
      </w:r>
      <w:proofErr w:type="spellStart"/>
      <w:r w:rsidRPr="00B83C92">
        <w:rPr>
          <w:rtl/>
        </w:rPr>
        <w:t>פמברוליזומב</w:t>
      </w:r>
      <w:proofErr w:type="spellEnd"/>
      <w:r w:rsidRPr="00B83C92">
        <w:rPr>
          <w:lang w:val="en-GB"/>
        </w:rPr>
        <w:t xml:space="preserve"> (Pembrolizumab/Keytruda) </w:t>
      </w:r>
      <w:proofErr w:type="spellStart"/>
      <w:r w:rsidRPr="00B83C92">
        <w:rPr>
          <w:rtl/>
        </w:rPr>
        <w:t>ואטזוליזומב</w:t>
      </w:r>
      <w:proofErr w:type="spellEnd"/>
      <w:r w:rsidRPr="00B83C92">
        <w:rPr>
          <w:lang w:val="en-GB"/>
        </w:rPr>
        <w:t xml:space="preserve"> (Atezolizumab/</w:t>
      </w:r>
      <w:proofErr w:type="spellStart"/>
      <w:r w:rsidRPr="00B83C92">
        <w:rPr>
          <w:lang w:val="en-GB"/>
        </w:rPr>
        <w:t>Tecentriq</w:t>
      </w:r>
      <w:proofErr w:type="spellEnd"/>
      <w:r w:rsidRPr="00B83C92">
        <w:rPr>
          <w:lang w:val="en-GB"/>
        </w:rPr>
        <w:t xml:space="preserve">), </w:t>
      </w:r>
      <w:r w:rsidRPr="00B83C92">
        <w:rPr>
          <w:rtl/>
        </w:rPr>
        <w:t>אשר מעכבות את מסלול ה-</w:t>
      </w:r>
      <w:r w:rsidRPr="00B83C92">
        <w:rPr>
          <w:lang w:val="en-GB"/>
        </w:rPr>
        <w:t xml:space="preserve"> PD-1/PD-L1 </w:t>
      </w:r>
      <w:r w:rsidRPr="00B83C92">
        <w:rPr>
          <w:rtl/>
        </w:rPr>
        <w:t>ומאפשרות למערכת החיסון לתקוף תאים סרטניים בצורה יעילה יותר. עם זאת, טיפולים אלו מביאים עימם ספקטרום חדש ומורכב של תופעות לוואי המכונות תופעות לוואי הקשורות למערכת החיסון</w:t>
      </w:r>
      <w:r w:rsidRPr="00B83C92">
        <w:rPr>
          <w:lang w:val="en-GB"/>
        </w:rPr>
        <w:t xml:space="preserve"> (immune-related adverse events - </w:t>
      </w:r>
      <w:proofErr w:type="spellStart"/>
      <w:r w:rsidRPr="00B83C92">
        <w:rPr>
          <w:lang w:val="en-GB"/>
        </w:rPr>
        <w:t>irAE</w:t>
      </w:r>
      <w:proofErr w:type="spellEnd"/>
      <w:r w:rsidRPr="00B83C92">
        <w:rPr>
          <w:lang w:val="en-GB"/>
        </w:rPr>
        <w:t>),</w:t>
      </w:r>
      <w:r w:rsidRPr="00B83C92">
        <w:rPr>
          <w:rtl/>
        </w:rPr>
        <w:t xml:space="preserve">  אשר נבדלות באופן משמעותי מתופעות הלוואי המוכרות של כימותרפיה מסורתית</w:t>
      </w:r>
      <w:r w:rsidRPr="00B83C92">
        <w:rPr>
          <w:lang w:val="en-GB"/>
        </w:rPr>
        <w:t>.</w:t>
      </w:r>
    </w:p>
    <w:p w14:paraId="0889F514" w14:textId="77777777" w:rsidR="00B83C92" w:rsidRPr="00B83C92" w:rsidRDefault="00B83C92" w:rsidP="00B83C92">
      <w:pPr>
        <w:rPr>
          <w:lang w:val="en-GB"/>
        </w:rPr>
      </w:pPr>
      <w:r w:rsidRPr="00B83C92">
        <w:rPr>
          <w:rtl/>
        </w:rPr>
        <w:t>תופעות הלוואי של אימונותרפיה נובעות ממנגנון הפעולה הייחודי של מעכבי נקודות ביקורת חיסוניות. בעוד שמטרת הטיפול היא לשחרר את מערכת החיסון מהעיכובים הפיזיולוגיים הרגילים כדי לאפשר לה לתקוף תאים סרטניים, תהליך זה עלול להוביל להפעלת יתר של מערכת החיסון שתוקפת גם רקמות בריאות. המנגנון הביולוגי מאחורי</w:t>
      </w:r>
      <w:r w:rsidRPr="00B83C92">
        <w:rPr>
          <w:lang w:val="en-GB"/>
        </w:rPr>
        <w:t xml:space="preserve"> </w:t>
      </w:r>
      <w:proofErr w:type="spellStart"/>
      <w:r w:rsidRPr="00B83C92">
        <w:rPr>
          <w:lang w:val="en-GB"/>
        </w:rPr>
        <w:t>irAEs</w:t>
      </w:r>
      <w:proofErr w:type="spellEnd"/>
      <w:r w:rsidRPr="00B83C92">
        <w:rPr>
          <w:lang w:val="en-GB"/>
        </w:rPr>
        <w:t xml:space="preserve"> </w:t>
      </w:r>
      <w:r w:rsidRPr="00B83C92">
        <w:rPr>
          <w:rtl/>
        </w:rPr>
        <w:t>כולל אובדן סובלנות חיסונית, תגובתיות צולבת בין אנטיגנים של גידול ורקמות תקינות, והפעלה לא ספציפית של תאי</w:t>
      </w:r>
      <w:r w:rsidRPr="00B83C92">
        <w:rPr>
          <w:lang w:val="en-GB"/>
        </w:rPr>
        <w:t xml:space="preserve"> T </w:t>
      </w:r>
      <w:proofErr w:type="spellStart"/>
      <w:r w:rsidRPr="00B83C92">
        <w:rPr>
          <w:rtl/>
        </w:rPr>
        <w:t>אפקטוריים</w:t>
      </w:r>
      <w:proofErr w:type="spellEnd"/>
      <w:r w:rsidRPr="00B83C92">
        <w:rPr>
          <w:rtl/>
        </w:rPr>
        <w:t>. בניגוד לתופעות לוואי של כימותרפיה שבדרך כלל הפיכות ותלויות מינון</w:t>
      </w:r>
      <w:r w:rsidRPr="00B83C92">
        <w:rPr>
          <w:lang w:val="en-GB"/>
        </w:rPr>
        <w:t>,</w:t>
      </w:r>
      <w:r w:rsidRPr="00B83C92">
        <w:rPr>
          <w:rtl/>
        </w:rPr>
        <w:t xml:space="preserve">   </w:t>
      </w:r>
      <w:proofErr w:type="spellStart"/>
      <w:r w:rsidRPr="00B83C92">
        <w:rPr>
          <w:lang w:val="en-GB"/>
        </w:rPr>
        <w:t>irAEs</w:t>
      </w:r>
      <w:proofErr w:type="spellEnd"/>
      <w:r w:rsidRPr="00B83C92">
        <w:rPr>
          <w:rtl/>
        </w:rPr>
        <w:t xml:space="preserve">  יכולות להיות בלתי הפיכות ולא תמיד קשורות למינון התרופה</w:t>
      </w:r>
      <w:r w:rsidRPr="00B83C92">
        <w:rPr>
          <w:lang w:val="en-GB"/>
        </w:rPr>
        <w:t>.</w:t>
      </w:r>
    </w:p>
    <w:p w14:paraId="2F8BBED5" w14:textId="77777777" w:rsidR="00B83C92" w:rsidRPr="00B83C92" w:rsidRDefault="00B83C92" w:rsidP="00B83C92">
      <w:pPr>
        <w:rPr>
          <w:lang w:val="en-GB"/>
        </w:rPr>
      </w:pPr>
      <w:proofErr w:type="spellStart"/>
      <w:r w:rsidRPr="00B83C92">
        <w:rPr>
          <w:rtl/>
        </w:rPr>
        <w:t>פמברוליזומב</w:t>
      </w:r>
      <w:proofErr w:type="spellEnd"/>
      <w:r w:rsidRPr="00B83C92">
        <w:rPr>
          <w:rtl/>
        </w:rPr>
        <w:t xml:space="preserve">, שהוא הטיפול </w:t>
      </w:r>
      <w:proofErr w:type="spellStart"/>
      <w:r w:rsidRPr="00B83C92">
        <w:rPr>
          <w:rtl/>
        </w:rPr>
        <w:t>האימונותרפי</w:t>
      </w:r>
      <w:proofErr w:type="spellEnd"/>
      <w:r w:rsidRPr="00B83C92">
        <w:rPr>
          <w:rtl/>
        </w:rPr>
        <w:t xml:space="preserve"> המוביל לסרטן שד </w:t>
      </w:r>
      <w:proofErr w:type="spellStart"/>
      <w:r w:rsidRPr="00B83C92">
        <w:rPr>
          <w:rtl/>
        </w:rPr>
        <w:t>טריפל</w:t>
      </w:r>
      <w:proofErr w:type="spellEnd"/>
      <w:r w:rsidRPr="00B83C92">
        <w:rPr>
          <w:rtl/>
        </w:rPr>
        <w:t xml:space="preserve"> נגטיב, מציג פרופיל תופעות לוואי מורכב. על פי נתוני מחקר</w:t>
      </w:r>
      <w:r w:rsidRPr="00B83C92">
        <w:rPr>
          <w:lang w:val="en-GB"/>
        </w:rPr>
        <w:t xml:space="preserve"> </w:t>
      </w:r>
      <w:r w:rsidRPr="00B83C92">
        <w:rPr>
          <w:rtl/>
        </w:rPr>
        <w:t xml:space="preserve"> </w:t>
      </w:r>
      <w:r w:rsidRPr="00B83C92">
        <w:rPr>
          <w:lang w:val="en-GB"/>
        </w:rPr>
        <w:t xml:space="preserve">KEYNOTE-522, </w:t>
      </w:r>
      <w:r w:rsidRPr="00B83C92">
        <w:rPr>
          <w:rtl/>
        </w:rPr>
        <w:t xml:space="preserve"> אחד המחקרים הקליניים החשובים ביותר בתחום, שיעור תופעות הלוואי הקשורות לטיפול דרגה 3 ומעלה היה 78.0% בקבוצת הטיפול המשולב לעומת 73.0% בקבוצת הביקורת. באופן מדאיג יותר, אירועים חיסוניים דרגה 3 ומעלה נצפו ב-12.9% מהחולים בקבוצת הטיפול לעומת רק 1.0% בקבוצת הביקורת, מה שמדגיש את הסיכון המוגבר לתופעות לוואי חמורות הקשורות למערכת החיסון</w:t>
      </w:r>
      <w:r w:rsidRPr="00B83C92">
        <w:rPr>
          <w:lang w:val="en-GB"/>
        </w:rPr>
        <w:t>.</w:t>
      </w:r>
      <w:r w:rsidRPr="00B83C92">
        <w:rPr>
          <w:rtl/>
        </w:rPr>
        <w:t xml:space="preserve"> תופעות הלוואי השכיחות ביותר של </w:t>
      </w:r>
      <w:proofErr w:type="spellStart"/>
      <w:r w:rsidRPr="00B83C92">
        <w:rPr>
          <w:rtl/>
        </w:rPr>
        <w:t>פמברוליזומב</w:t>
      </w:r>
      <w:proofErr w:type="spellEnd"/>
      <w:r w:rsidRPr="00B83C92">
        <w:rPr>
          <w:rtl/>
        </w:rPr>
        <w:t xml:space="preserve"> כוללות עייפות, הנצפית ברוב החולים ויכולה להיות מתישה ולפגוע משמעותית באיכות החיים. בחילות ועצירות הן תופעות לוואי </w:t>
      </w:r>
      <w:proofErr w:type="spellStart"/>
      <w:r w:rsidRPr="00B83C92">
        <w:rPr>
          <w:rtl/>
        </w:rPr>
        <w:t>גסטרואינטסטינליות</w:t>
      </w:r>
      <w:proofErr w:type="spellEnd"/>
      <w:r w:rsidRPr="00B83C92">
        <w:rPr>
          <w:rtl/>
        </w:rPr>
        <w:t xml:space="preserve"> נפוצות, בעוד שתופעות עור כוללות פריחה מגוונת שיכולה לנוע מאדמומיות קלה ועד לתגובות עור חמורות הדורשות הפסקת טיפול. תופעות נוירולוגיות כוללות </w:t>
      </w:r>
      <w:proofErr w:type="spellStart"/>
      <w:r w:rsidRPr="00B83C92">
        <w:rPr>
          <w:rtl/>
        </w:rPr>
        <w:t>נוירופתיה</w:t>
      </w:r>
      <w:proofErr w:type="spellEnd"/>
      <w:r w:rsidRPr="00B83C92">
        <w:rPr>
          <w:rtl/>
        </w:rPr>
        <w:t xml:space="preserve"> היקפית, שלעתים יכולה להיות קבועה ולפגוע בתפקוד הידיים והרגליים. נשירת שיער, קוצר נשימה וחום הן תופעות נוספות שעלולות להופיע</w:t>
      </w:r>
      <w:r w:rsidRPr="00B83C92">
        <w:rPr>
          <w:lang w:val="en-GB"/>
        </w:rPr>
        <w:t>.</w:t>
      </w:r>
      <w:r w:rsidRPr="00B83C92">
        <w:rPr>
          <w:rtl/>
        </w:rPr>
        <w:t xml:space="preserve"> מבחינת תופעות לוואי חיסוניות ספציפיות, הפרעות אנדוקריניות הן הנפוצות ביותר ועלולות לכלול תת-פעילות או יתר-פעילות של בלוטת התריס, אי-ספיקת יותרת הכליה, ובמקרים נדירים דלקת בלוטת יותרת המוח. תופעות לוואי אלו לרוב בלתי הפיכות ודורשות טיפול הורמונלי תחליפי לכל החיים. תופעות לוואי בכבד כוללות דלקת כבד חיסונית שיכולה להיות חמורה ודורשת מעקב צמוד של אנזימי כבד. </w:t>
      </w:r>
      <w:proofErr w:type="spellStart"/>
      <w:r w:rsidRPr="00B83C92">
        <w:rPr>
          <w:rtl/>
        </w:rPr>
        <w:t>פנאומוניטיס</w:t>
      </w:r>
      <w:proofErr w:type="spellEnd"/>
      <w:r w:rsidRPr="00B83C92">
        <w:rPr>
          <w:rtl/>
        </w:rPr>
        <w:t xml:space="preserve">, דלקת ריאות חיסונית, היא תופעת לוואי נדירה אך פוטנציאלית קטלנית המהווה 13.2% מהאירועים הקטלניים הקשורים </w:t>
      </w:r>
      <w:proofErr w:type="spellStart"/>
      <w:r w:rsidRPr="00B83C92">
        <w:rPr>
          <w:rtl/>
        </w:rPr>
        <w:t>לפמברוליזומב</w:t>
      </w:r>
      <w:proofErr w:type="spellEnd"/>
      <w:r w:rsidRPr="00B83C92">
        <w:rPr>
          <w:lang w:val="en-GB"/>
        </w:rPr>
        <w:t>.</w:t>
      </w:r>
    </w:p>
    <w:p w14:paraId="1F24BE8F" w14:textId="77777777" w:rsidR="00B83C92" w:rsidRPr="00B83C92" w:rsidRDefault="00B83C92" w:rsidP="00B83C92">
      <w:pPr>
        <w:rPr>
          <w:lang w:val="en-GB"/>
        </w:rPr>
      </w:pPr>
      <w:proofErr w:type="spellStart"/>
      <w:r w:rsidRPr="00B83C92">
        <w:rPr>
          <w:rtl/>
        </w:rPr>
        <w:t>אטזוליזומב</w:t>
      </w:r>
      <w:proofErr w:type="spellEnd"/>
      <w:r w:rsidRPr="00B83C92">
        <w:rPr>
          <w:rtl/>
        </w:rPr>
        <w:t xml:space="preserve"> מציג פרופיל תופעות לוואי דומה אך עם כמה הבדלים משמעותיים. על פי נתוני מחקר</w:t>
      </w:r>
      <w:r w:rsidRPr="00B83C92">
        <w:rPr>
          <w:lang w:val="en-GB"/>
        </w:rPr>
        <w:t xml:space="preserve"> IMpassion130,</w:t>
      </w:r>
      <w:r w:rsidRPr="00B83C92">
        <w:rPr>
          <w:rtl/>
        </w:rPr>
        <w:t xml:space="preserve">  שיעור האירועים הקטלניים היה 1.3% בקבוצת הטיפול לעומת 0.7% בקבוצת הביקורת. תופעות לוואי חיסוניות נצפו ב-58.7% מהחולים בקבוצת הטיפול לעומת 41.6% בקבוצת הביקורת, ושיעור הפסקת הטיפול עקב תופעות לוואי היה 15.9% </w:t>
      </w:r>
      <w:r w:rsidRPr="00B83C92">
        <w:rPr>
          <w:rtl/>
        </w:rPr>
        <w:lastRenderedPageBreak/>
        <w:t>לעומת 8.2%. תופעות הלוואי השכיחות כוללות עייפות, בחילות, ירידה בתיאבון, פריחה, חום ושיעול</w:t>
      </w:r>
      <w:r w:rsidRPr="00B83C92">
        <w:rPr>
          <w:lang w:val="en-GB"/>
        </w:rPr>
        <w:t>.</w:t>
      </w:r>
      <w:r w:rsidRPr="00B83C92">
        <w:rPr>
          <w:rtl/>
        </w:rPr>
        <w:t xml:space="preserve"> מחקרים השוואתיים מצביעים על כך </w:t>
      </w:r>
      <w:proofErr w:type="spellStart"/>
      <w:r w:rsidRPr="00B83C92">
        <w:rPr>
          <w:rtl/>
        </w:rPr>
        <w:t>שאטזוליזומב</w:t>
      </w:r>
      <w:proofErr w:type="spellEnd"/>
      <w:r w:rsidRPr="00B83C92">
        <w:rPr>
          <w:rtl/>
        </w:rPr>
        <w:t xml:space="preserve"> עשוי להציג פרופיל בטיחות עדיף יחסית </w:t>
      </w:r>
      <w:proofErr w:type="spellStart"/>
      <w:r w:rsidRPr="00B83C92">
        <w:rPr>
          <w:rtl/>
        </w:rPr>
        <w:t>לפמברוליזומב</w:t>
      </w:r>
      <w:proofErr w:type="spellEnd"/>
      <w:r w:rsidRPr="00B83C92">
        <w:rPr>
          <w:rtl/>
        </w:rPr>
        <w:t xml:space="preserve"> בטיפול נאו-</w:t>
      </w:r>
      <w:proofErr w:type="spellStart"/>
      <w:r w:rsidRPr="00B83C92">
        <w:rPr>
          <w:rtl/>
        </w:rPr>
        <w:t>אדג'ובנטי</w:t>
      </w:r>
      <w:proofErr w:type="spellEnd"/>
      <w:r w:rsidRPr="00B83C92">
        <w:rPr>
          <w:rtl/>
        </w:rPr>
        <w:t>, עם שיעור תופעות לוואי דרגה 3 ומעלה נמוך יותר. עם זאת, יש לציין שהשוואות ישירות בין התרופות מוגבלות בשל הבדלים במחקרים, באוכלוסיות החולים ובמתודולוגיה</w:t>
      </w:r>
      <w:r w:rsidRPr="00B83C92">
        <w:rPr>
          <w:lang w:val="en-GB"/>
        </w:rPr>
        <w:t>.</w:t>
      </w:r>
    </w:p>
    <w:p w14:paraId="5FAF2ADF" w14:textId="77777777" w:rsidR="00B83C92" w:rsidRPr="00B83C92" w:rsidRDefault="00B83C92" w:rsidP="00B83C92">
      <w:pPr>
        <w:rPr>
          <w:lang w:val="en-GB"/>
        </w:rPr>
      </w:pPr>
      <w:r w:rsidRPr="00B83C92">
        <w:rPr>
          <w:rtl/>
        </w:rPr>
        <w:t xml:space="preserve">זמן הופעת תופעות לוואי חיסוניות משתנה באופן משמעותי בהתאם למערכת האיברים המעורבת. תופעות לוואי דרמטולוגיות יכולות להופיע בשלבים מוקדמים של הטיפול או במהלכו, בעוד שתופעות לוואי אנדוקריניות לרוב מופיעות מאוחר יותר במהלך הטיפול. </w:t>
      </w:r>
      <w:proofErr w:type="spellStart"/>
      <w:r w:rsidRPr="00B83C92">
        <w:rPr>
          <w:rtl/>
        </w:rPr>
        <w:t>מיוקרדיטיס</w:t>
      </w:r>
      <w:proofErr w:type="spellEnd"/>
      <w:r w:rsidRPr="00B83C92">
        <w:rPr>
          <w:rtl/>
        </w:rPr>
        <w:t>, תופעת לוואי נדירה אך חמורה, בדרך כלל מופיעה תוך שלושה חודשים מתחילת הטיפול. תופעות לוואי ראומטולוגיות יכולות להופיע בכל שלב של הטיפול ואף עד שנתיים לאחר סיומו</w:t>
      </w:r>
      <w:r w:rsidRPr="00B83C92">
        <w:rPr>
          <w:lang w:val="en-GB"/>
        </w:rPr>
        <w:t>.</w:t>
      </w:r>
      <w:r w:rsidRPr="00B83C92">
        <w:rPr>
          <w:rtl/>
        </w:rPr>
        <w:t xml:space="preserve"> משך תופעות הלוואי משתנה גם כן באופן דרמטי. תופעות לוואי במערכת העיכול והריאות לרוב הפיכות ומגיבות היטב לטיפול </w:t>
      </w:r>
      <w:proofErr w:type="spellStart"/>
      <w:r w:rsidRPr="00B83C92">
        <w:rPr>
          <w:rtl/>
        </w:rPr>
        <w:t>אימונוסופרסיבי</w:t>
      </w:r>
      <w:proofErr w:type="spellEnd"/>
      <w:r w:rsidRPr="00B83C92">
        <w:rPr>
          <w:rtl/>
        </w:rPr>
        <w:t xml:space="preserve">, בעוד שתופעות לוואי אנדוקריניות בדרך כלל בלתי הפיכות. תופעות לוואי ראומטולוגיות יכולות להמשיך באופן כרוני גם לאחר הפסקת הטיפול </w:t>
      </w:r>
      <w:proofErr w:type="spellStart"/>
      <w:r w:rsidRPr="00B83C92">
        <w:rPr>
          <w:rtl/>
        </w:rPr>
        <w:t>האימונותרפי</w:t>
      </w:r>
      <w:proofErr w:type="spellEnd"/>
      <w:r w:rsidRPr="00B83C92">
        <w:rPr>
          <w:rtl/>
        </w:rPr>
        <w:t>. מחקרים מראים כי 25% מחולי סרטן השד חווים תופעות לוואי חיסוניות מאוחרות, ו-7.5% חווים תופעות לוואי חדשות גם לאחר הפסקת הטיפול</w:t>
      </w:r>
      <w:r w:rsidRPr="00B83C92">
        <w:rPr>
          <w:lang w:val="en-GB"/>
        </w:rPr>
        <w:t>.</w:t>
      </w:r>
    </w:p>
    <w:p w14:paraId="5E0C8C52" w14:textId="77777777" w:rsidR="00B83C92" w:rsidRPr="00B83C92" w:rsidRDefault="00B83C92" w:rsidP="00B83C92">
      <w:pPr>
        <w:rPr>
          <w:lang w:val="en-GB"/>
        </w:rPr>
      </w:pPr>
      <w:r w:rsidRPr="00B83C92">
        <w:rPr>
          <w:rtl/>
        </w:rPr>
        <w:t xml:space="preserve">אחד הממצאים המדאיגים ביותר הוא ששיעור האירועים הקטלניים בסרטן השד גבוה יותר (3.1%) מאשר בסוגי סרטן אחרים המטופלים באימונותרפיה. הסיבות העיקריות לאירועים קטלניים כוללות סיבוכים זיהומיים (26.5%), רעילות לבבית (14.7%) </w:t>
      </w:r>
      <w:proofErr w:type="spellStart"/>
      <w:r w:rsidRPr="00B83C92">
        <w:rPr>
          <w:rtl/>
        </w:rPr>
        <w:t>ופנאומוניטיס</w:t>
      </w:r>
      <w:proofErr w:type="spellEnd"/>
      <w:r w:rsidRPr="00B83C92">
        <w:rPr>
          <w:rtl/>
        </w:rPr>
        <w:t xml:space="preserve"> (13.2%). </w:t>
      </w:r>
      <w:proofErr w:type="spellStart"/>
      <w:r w:rsidRPr="00B83C92">
        <w:rPr>
          <w:rtl/>
        </w:rPr>
        <w:t>מיוקרדיטיס</w:t>
      </w:r>
      <w:proofErr w:type="spellEnd"/>
      <w:r w:rsidRPr="00B83C92">
        <w:rPr>
          <w:rtl/>
        </w:rPr>
        <w:t xml:space="preserve">, למרות היותה נדירה, מציגה שיעור תמותה גבוה של 50% בין המקרים שבהם היא מתפתחת. הסיכון לאירועים קטלניים גבוה יותר בטיפול משולב עם כימותרפיה לעומת </w:t>
      </w:r>
      <w:proofErr w:type="spellStart"/>
      <w:r w:rsidRPr="00B83C92">
        <w:rPr>
          <w:rtl/>
        </w:rPr>
        <w:t>מונותרפיה</w:t>
      </w:r>
      <w:proofErr w:type="spellEnd"/>
      <w:r w:rsidRPr="00B83C92">
        <w:rPr>
          <w:rtl/>
        </w:rPr>
        <w:t xml:space="preserve"> </w:t>
      </w:r>
      <w:proofErr w:type="spellStart"/>
      <w:r w:rsidRPr="00B83C92">
        <w:rPr>
          <w:rtl/>
        </w:rPr>
        <w:t>אימונותרפית</w:t>
      </w:r>
      <w:proofErr w:type="spellEnd"/>
      <w:r w:rsidRPr="00B83C92">
        <w:rPr>
          <w:lang w:val="en-GB"/>
        </w:rPr>
        <w:t>.</w:t>
      </w:r>
      <w:r w:rsidRPr="00B83C92">
        <w:rPr>
          <w:rtl/>
        </w:rPr>
        <w:t xml:space="preserve">תופעות לוואי חיסוניות חמורות אחרות כוללות דלקת כבד חיסונית שיכולה להוביל לאי ספיקת כבד, תסמונת </w:t>
      </w:r>
      <w:proofErr w:type="spellStart"/>
      <w:r w:rsidRPr="00B83C92">
        <w:rPr>
          <w:rtl/>
        </w:rPr>
        <w:t>סטיבנס</w:t>
      </w:r>
      <w:proofErr w:type="spellEnd"/>
      <w:r w:rsidRPr="00B83C92">
        <w:rPr>
          <w:rtl/>
        </w:rPr>
        <w:t xml:space="preserve">-ג'ונסון ונמק אפידרמיס רעיל בתופעות עור, ותופעות לוואי נוירולוגיות כמו דלקת מוח או תסמונת </w:t>
      </w:r>
      <w:proofErr w:type="spellStart"/>
      <w:r w:rsidRPr="00B83C92">
        <w:rPr>
          <w:rtl/>
        </w:rPr>
        <w:t>גיליאן</w:t>
      </w:r>
      <w:proofErr w:type="spellEnd"/>
      <w:r w:rsidRPr="00B83C92">
        <w:rPr>
          <w:rtl/>
        </w:rPr>
        <w:t xml:space="preserve">-בארה. תופעות לוואי אלו דורשות זיהוי מהיר, הפסקת הטיפול </w:t>
      </w:r>
      <w:proofErr w:type="spellStart"/>
      <w:r w:rsidRPr="00B83C92">
        <w:rPr>
          <w:rtl/>
        </w:rPr>
        <w:t>האימונותרפי</w:t>
      </w:r>
      <w:proofErr w:type="spellEnd"/>
      <w:r w:rsidRPr="00B83C92">
        <w:rPr>
          <w:rtl/>
        </w:rPr>
        <w:t xml:space="preserve"> וטיפול אגרסיבי עם מנוסה אימונית</w:t>
      </w:r>
      <w:r w:rsidRPr="00B83C92">
        <w:rPr>
          <w:lang w:val="en-GB"/>
        </w:rPr>
        <w:t>.</w:t>
      </w:r>
    </w:p>
    <w:p w14:paraId="2270016E" w14:textId="77777777" w:rsidR="00B83C92" w:rsidRPr="00B83C92" w:rsidRDefault="00B83C92" w:rsidP="00B83C92">
      <w:pPr>
        <w:rPr>
          <w:lang w:val="en-GB"/>
        </w:rPr>
      </w:pPr>
      <w:r w:rsidRPr="00B83C92">
        <w:rPr>
          <w:rtl/>
        </w:rPr>
        <w:t>הניהול של תופעות לוואי חיסוניות התפתח משמעותית בשנים האחרונות ומבוסס על הנחיות מפורטות של ארגונים מובילים כמו</w:t>
      </w:r>
      <w:r w:rsidRPr="00B83C92">
        <w:rPr>
          <w:lang w:val="en-GB"/>
        </w:rPr>
        <w:t xml:space="preserve"> ASCO </w:t>
      </w:r>
      <w:r w:rsidRPr="00B83C92">
        <w:rPr>
          <w:rtl/>
        </w:rPr>
        <w:t>ו</w:t>
      </w:r>
      <w:r w:rsidRPr="00B83C92">
        <w:rPr>
          <w:lang w:val="en-GB"/>
        </w:rPr>
        <w:t xml:space="preserve">-ESMO. </w:t>
      </w:r>
      <w:r w:rsidRPr="00B83C92">
        <w:rPr>
          <w:rtl/>
        </w:rPr>
        <w:t xml:space="preserve"> הגישה הכללית כוללת סיווג תופעות הלוואי לפי דרגות חומרה, כאשר תופעות לוואי קלות (דרגה 1-2) מטופלות באופן תומך עם המשך הטיפול </w:t>
      </w:r>
      <w:proofErr w:type="spellStart"/>
      <w:r w:rsidRPr="00B83C92">
        <w:rPr>
          <w:rtl/>
        </w:rPr>
        <w:t>האימונותרפי</w:t>
      </w:r>
      <w:proofErr w:type="spellEnd"/>
      <w:r w:rsidRPr="00B83C92">
        <w:rPr>
          <w:rtl/>
        </w:rPr>
        <w:t xml:space="preserve"> תחת מעקב צמוד. תופעות לוואי בדרגה 3 דורשות השעיה זמנית של האימונותרפיה וטיפול </w:t>
      </w:r>
      <w:proofErr w:type="spellStart"/>
      <w:r w:rsidRPr="00B83C92">
        <w:rPr>
          <w:rtl/>
        </w:rPr>
        <w:t>בקורטיקוסטרואידים</w:t>
      </w:r>
      <w:proofErr w:type="spellEnd"/>
      <w:r w:rsidRPr="00B83C92">
        <w:rPr>
          <w:rtl/>
        </w:rPr>
        <w:t xml:space="preserve"> במינון גבוה, בעוד שתופעות לוואי בדרגה 4 לרוב מחייבות הפסקה קבועה של הטיפול</w:t>
      </w:r>
      <w:r w:rsidRPr="00B83C92">
        <w:rPr>
          <w:lang w:val="en-GB"/>
        </w:rPr>
        <w:t>.</w:t>
      </w:r>
      <w:proofErr w:type="spellStart"/>
      <w:r w:rsidRPr="00B83C92">
        <w:rPr>
          <w:rtl/>
        </w:rPr>
        <w:t>קורטיקוסטרואידים</w:t>
      </w:r>
      <w:proofErr w:type="spellEnd"/>
      <w:r w:rsidRPr="00B83C92">
        <w:rPr>
          <w:rtl/>
        </w:rPr>
        <w:t xml:space="preserve"> נותרו הטיפול העיקרי לתופעות לוואי חיסוניות, למרות חששות תיאורטיים שהם עלולים להפחית את יעילות האימונותרפיה. מחקרי מטה-אנליזה עדכניים מראים תוצאות מעורבות בנוגע להשפעת </w:t>
      </w:r>
      <w:proofErr w:type="spellStart"/>
      <w:r w:rsidRPr="00B83C92">
        <w:rPr>
          <w:rtl/>
        </w:rPr>
        <w:t>קורטיקוסטרואידים</w:t>
      </w:r>
      <w:proofErr w:type="spellEnd"/>
      <w:r w:rsidRPr="00B83C92">
        <w:rPr>
          <w:rtl/>
        </w:rPr>
        <w:t xml:space="preserve"> על יעילות הטיפול, כאשר רוב המחקרים לא מוצאים השפעה משמעותית על הישרדות כוללת או הישרדות ללא התקדמות. במקרים של תופעות לוואי עמידות </w:t>
      </w:r>
      <w:proofErr w:type="spellStart"/>
      <w:r w:rsidRPr="00B83C92">
        <w:rPr>
          <w:rtl/>
        </w:rPr>
        <w:t>לקורטיקוסטרואידים</w:t>
      </w:r>
      <w:proofErr w:type="spellEnd"/>
      <w:r w:rsidRPr="00B83C92">
        <w:rPr>
          <w:rtl/>
        </w:rPr>
        <w:t xml:space="preserve">, נעשה שימוש בטיפולים </w:t>
      </w:r>
      <w:proofErr w:type="spellStart"/>
      <w:r w:rsidRPr="00B83C92">
        <w:rPr>
          <w:rtl/>
        </w:rPr>
        <w:t>אימונוסופרסיביים</w:t>
      </w:r>
      <w:proofErr w:type="spellEnd"/>
      <w:r w:rsidRPr="00B83C92">
        <w:rPr>
          <w:rtl/>
        </w:rPr>
        <w:t xml:space="preserve"> נוספים כמו </w:t>
      </w:r>
      <w:proofErr w:type="spellStart"/>
      <w:r w:rsidRPr="00B83C92">
        <w:rPr>
          <w:rtl/>
        </w:rPr>
        <w:t>אבטצפט</w:t>
      </w:r>
      <w:proofErr w:type="spellEnd"/>
      <w:r w:rsidRPr="00B83C92">
        <w:rPr>
          <w:rtl/>
        </w:rPr>
        <w:t xml:space="preserve">, </w:t>
      </w:r>
      <w:proofErr w:type="spellStart"/>
      <w:r w:rsidRPr="00B83C92">
        <w:rPr>
          <w:rtl/>
        </w:rPr>
        <w:t>אינפליקסימאב</w:t>
      </w:r>
      <w:proofErr w:type="spellEnd"/>
      <w:r w:rsidRPr="00B83C92">
        <w:rPr>
          <w:rtl/>
        </w:rPr>
        <w:t xml:space="preserve"> או </w:t>
      </w:r>
      <w:proofErr w:type="spellStart"/>
      <w:r w:rsidRPr="00B83C92">
        <w:rPr>
          <w:rtl/>
        </w:rPr>
        <w:t>מיקופנולט</w:t>
      </w:r>
      <w:proofErr w:type="spellEnd"/>
      <w:r w:rsidRPr="00B83C92">
        <w:rPr>
          <w:rtl/>
        </w:rPr>
        <w:t xml:space="preserve"> </w:t>
      </w:r>
      <w:proofErr w:type="spellStart"/>
      <w:r w:rsidRPr="00B83C92">
        <w:rPr>
          <w:rtl/>
        </w:rPr>
        <w:t>מופטיל</w:t>
      </w:r>
      <w:proofErr w:type="spellEnd"/>
      <w:r w:rsidRPr="00B83C92">
        <w:rPr>
          <w:lang w:val="en-GB"/>
        </w:rPr>
        <w:t>.</w:t>
      </w:r>
      <w:r w:rsidRPr="00B83C92">
        <w:rPr>
          <w:rtl/>
        </w:rPr>
        <w:t>תופעות הלוואי של אימונותרפיה משפיעות משמעותית על איכות החיים של חולי סרטן השד. מחקרים המשתמשים בכלי הערכה מתוקפים כמו</w:t>
      </w:r>
      <w:r w:rsidRPr="00B83C92">
        <w:rPr>
          <w:lang w:val="en-GB"/>
        </w:rPr>
        <w:t xml:space="preserve"> EORTC QLQ-C30 </w:t>
      </w:r>
      <w:r w:rsidRPr="00B83C92">
        <w:rPr>
          <w:rtl/>
        </w:rPr>
        <w:t>ו</w:t>
      </w:r>
      <w:r w:rsidRPr="00B83C92">
        <w:rPr>
          <w:lang w:val="en-GB"/>
        </w:rPr>
        <w:t xml:space="preserve">-FACT-B </w:t>
      </w:r>
      <w:r w:rsidRPr="00B83C92">
        <w:rPr>
          <w:rtl/>
        </w:rPr>
        <w:t xml:space="preserve">מראים כי טיפול משולב של אימונותרפיה עם כימותרפיה משפיע משמעותית על מצב בריאות כללי, תפקוד פיזי ורמות עייפות. כ-54% מחולים בעולם האמיתי </w:t>
      </w:r>
      <w:r w:rsidRPr="00B83C92">
        <w:rPr>
          <w:rtl/>
        </w:rPr>
        <w:lastRenderedPageBreak/>
        <w:t>חווים תופעות לוואי חיסוניות, לעומת שיעורים נמוכים יותר המדווחים במחקרים קליניים, מה שמדגיש את הפער בין המחקר הקליני לפרקטיקה הקלינית היומיומית</w:t>
      </w:r>
      <w:r w:rsidRPr="00B83C92">
        <w:rPr>
          <w:lang w:val="en-GB"/>
        </w:rPr>
        <w:t>.</w:t>
      </w:r>
      <w:r w:rsidRPr="00B83C92">
        <w:rPr>
          <w:rtl/>
        </w:rPr>
        <w:t>עייפות הקשורה לאימונותרפיה נבדלת מעייפות הנגרמת על ידי כימותרפיה ויכולה להיות מתמשכת יותר. הפרעות קוגניטיביות ובעיות זיכרון דווחו גם כן, אם כי בתדירות נמוכה יותר. תופעות לוואי אנדוקריניות כמו תת-פעילות בלוטת התריס יכולות לגרום לעייפות כרונית, השמנת יתר ודיכאון אם לא מטופלות כראוי. ההשפעה על התפקוד המיני ודאגות פוריות, במיוחד בחולות צעירות, היא תחום המקבל תשומת לב גוברת במחקר</w:t>
      </w:r>
      <w:r w:rsidRPr="00B83C92">
        <w:rPr>
          <w:lang w:val="en-GB"/>
        </w:rPr>
        <w:t>.</w:t>
      </w:r>
    </w:p>
    <w:p w14:paraId="3DF3920F" w14:textId="77777777" w:rsidR="00B83C92" w:rsidRPr="00B83C92" w:rsidRDefault="00B83C92" w:rsidP="00B83C92">
      <w:pPr>
        <w:rPr>
          <w:lang w:val="en-GB"/>
        </w:rPr>
      </w:pPr>
      <w:r w:rsidRPr="00B83C92">
        <w:rPr>
          <w:rtl/>
        </w:rPr>
        <w:t xml:space="preserve">אחד הממצאים המעניינים והמורכבים ביותר בתחום הוא הקשר הפרדוקסלי בין תופעות לוואי חיסוניות לתגובה לטיפול. מחקרים מרובים מראים כי חולים שפיתחו תופעות לוואי חיסוניות לעתים קרובות מציגים תגובות טיפול טובות יותר ותוצאות הישרדות משופרות. במחקר אחד, הישרדות ללא התקדמות </w:t>
      </w:r>
      <w:proofErr w:type="spellStart"/>
      <w:r w:rsidRPr="00B83C92">
        <w:rPr>
          <w:rtl/>
        </w:rPr>
        <w:t>חצאורית</w:t>
      </w:r>
      <w:proofErr w:type="spellEnd"/>
      <w:r w:rsidRPr="00B83C92">
        <w:rPr>
          <w:rtl/>
        </w:rPr>
        <w:t xml:space="preserve"> הייתה 24.3 חודשים בקבוצת החולים שפיתחו תופעות לוואי חיסוניות לעומת 5.4 חודשים באוכלוסייה הכללית</w:t>
      </w:r>
      <w:r w:rsidRPr="00B83C92">
        <w:rPr>
          <w:lang w:val="en-GB"/>
        </w:rPr>
        <w:t>.</w:t>
      </w:r>
      <w:r w:rsidRPr="00B83C92">
        <w:rPr>
          <w:rtl/>
        </w:rPr>
        <w:t xml:space="preserve"> תופעות לוואי ספציפיות כמו </w:t>
      </w:r>
      <w:proofErr w:type="spellStart"/>
      <w:r w:rsidRPr="00B83C92">
        <w:rPr>
          <w:rtl/>
        </w:rPr>
        <w:t>ויטיליגו</w:t>
      </w:r>
      <w:proofErr w:type="spellEnd"/>
      <w:r w:rsidRPr="00B83C92">
        <w:rPr>
          <w:rtl/>
        </w:rPr>
        <w:t xml:space="preserve"> נקשרו לתגובות טיפול טובות יותר, אולי בשל תגובתיות צולבת בין </w:t>
      </w:r>
      <w:proofErr w:type="spellStart"/>
      <w:r w:rsidRPr="00B83C92">
        <w:rPr>
          <w:rtl/>
        </w:rPr>
        <w:t>מלנוציטים</w:t>
      </w:r>
      <w:proofErr w:type="spellEnd"/>
      <w:r w:rsidRPr="00B83C92">
        <w:rPr>
          <w:rtl/>
        </w:rPr>
        <w:t xml:space="preserve"> תקינים לבין תאי מלנומה. עם זאת, יש לפרש ממצאים אלו בזהירות, שכן הם עלולים לנבוע מהטיה של מעקב ארוך יותר בחולים שהטיפול שלהם לא הופסק מיידית עקב התקדמות מחלה. בנוסף, ההחלטה על הפסקת טיפול עקב תופעות לוואי חיסוניות צריכה להיות מבוססת על חומרת התופעות ולא על השפעה פוטנציאלית על יעילות הטיפול</w:t>
      </w:r>
      <w:r w:rsidRPr="00B83C92">
        <w:rPr>
          <w:lang w:val="en-GB"/>
        </w:rPr>
        <w:t>.</w:t>
      </w:r>
    </w:p>
    <w:p w14:paraId="44370CA9" w14:textId="77777777" w:rsidR="00B83C92" w:rsidRPr="00B83C92" w:rsidRDefault="00B83C92" w:rsidP="00B83C92">
      <w:pPr>
        <w:rPr>
          <w:lang w:val="en-GB"/>
        </w:rPr>
      </w:pPr>
      <w:r w:rsidRPr="00B83C92">
        <w:rPr>
          <w:rtl/>
        </w:rPr>
        <w:t xml:space="preserve">למרות ההתקדמות המשמעותית בהבנה ובניהול של תופעות לוואי של אימונותרפיה, נותרים אתגרים משמעותיים לטיפול בעתיד. פיתוח </w:t>
      </w:r>
      <w:proofErr w:type="spellStart"/>
      <w:r w:rsidRPr="00B83C92">
        <w:rPr>
          <w:rtl/>
        </w:rPr>
        <w:t>ביומרקרים</w:t>
      </w:r>
      <w:proofErr w:type="spellEnd"/>
      <w:r w:rsidRPr="00B83C92">
        <w:rPr>
          <w:rtl/>
        </w:rPr>
        <w:t xml:space="preserve"> לחיזוי מי יפתח תופעות לוואי חמורות הוא תחום מחקר פעיל, אך עדיין לא זמינים מבחנים קליניים מהימנים התחום. גישות רפואה מדויקת למזעור רעילות תוך שמירה על יעילות הטיפול נמצאות בפיתוח, כולל מחקרים על תזמון מתן התרופות, מינונים מותאמים אישית וטיפולים משולבים מותאמים</w:t>
      </w:r>
      <w:r w:rsidRPr="00B83C92">
        <w:rPr>
          <w:lang w:val="en-GB"/>
        </w:rPr>
        <w:t>.</w:t>
      </w:r>
    </w:p>
    <w:p w14:paraId="0EED869D" w14:textId="77777777" w:rsidR="00B83C92" w:rsidRPr="00B83C92" w:rsidRDefault="00B83C92" w:rsidP="00B83C92">
      <w:pPr>
        <w:rPr>
          <w:lang w:val="en-GB"/>
        </w:rPr>
      </w:pPr>
      <w:r w:rsidRPr="00B83C92">
        <w:rPr>
          <w:rtl/>
        </w:rPr>
        <w:t>ההשפעות הכרוניות של אימונותרפיה, במיוחד ההשפעות על תפקוד אנדוקריני, פוריות ובריאות קרדיווסקולרית, זקוקות למחקר נוסף. רוב המחקרים מתמקדים בתופעות לוואי חדות, בעוד שההבנה של ההשפעות ארוכות הטווח מוגבלת. נדרש מעקב לטווח ארוך של שורדי סרטן השד שקיבלו אימונותרפיה כדי להבין את ההשלכות האמיתיות של טיפולים אלו</w:t>
      </w:r>
      <w:r w:rsidRPr="00B83C92">
        <w:rPr>
          <w:lang w:val="en-GB"/>
        </w:rPr>
        <w:t>.</w:t>
      </w:r>
      <w:r w:rsidRPr="00B83C92">
        <w:rPr>
          <w:rtl/>
        </w:rPr>
        <w:t xml:space="preserve"> גישה נוספת לכך היא ההתמקדות בפיתוח אסטרטגיות טיפול חוסכות סטרואידים, שכן השימוש הממושך </w:t>
      </w:r>
      <w:proofErr w:type="spellStart"/>
      <w:r w:rsidRPr="00B83C92">
        <w:rPr>
          <w:rtl/>
        </w:rPr>
        <w:t>בקורטיקוסטרואידים</w:t>
      </w:r>
      <w:proofErr w:type="spellEnd"/>
      <w:r w:rsidRPr="00B83C92">
        <w:rPr>
          <w:rtl/>
        </w:rPr>
        <w:t xml:space="preserve"> כרוך בתופעות לוואי משמעותיות בפני עצמו. מחקרים על סוכנים </w:t>
      </w:r>
      <w:proofErr w:type="spellStart"/>
      <w:r w:rsidRPr="00B83C92">
        <w:rPr>
          <w:rtl/>
        </w:rPr>
        <w:t>אימונוסופרסיביים</w:t>
      </w:r>
      <w:proofErr w:type="spellEnd"/>
      <w:r w:rsidRPr="00B83C92">
        <w:rPr>
          <w:rtl/>
        </w:rPr>
        <w:t xml:space="preserve"> ממוקדים יותר, כמו אנטגוניסטי</w:t>
      </w:r>
      <w:r w:rsidRPr="00B83C92">
        <w:rPr>
          <w:lang w:val="en-GB"/>
        </w:rPr>
        <w:t xml:space="preserve"> TNF-α </w:t>
      </w:r>
      <w:r w:rsidRPr="00B83C92">
        <w:rPr>
          <w:rtl/>
        </w:rPr>
        <w:t>או מעכבי</w:t>
      </w:r>
      <w:r w:rsidRPr="00B83C92">
        <w:rPr>
          <w:lang w:val="en-GB"/>
        </w:rPr>
        <w:t xml:space="preserve"> JAK, </w:t>
      </w:r>
      <w:r w:rsidRPr="00B83C92">
        <w:rPr>
          <w:rtl/>
        </w:rPr>
        <w:t>עשויים לספק אלטרנטיבות טיפוליות טובות יותר לתופעות לוואי חמורות</w:t>
      </w:r>
      <w:r w:rsidRPr="00B83C92">
        <w:rPr>
          <w:lang w:val="en-GB"/>
        </w:rPr>
        <w:t>.</w:t>
      </w:r>
      <w:r w:rsidRPr="00B83C92">
        <w:rPr>
          <w:rtl/>
        </w:rPr>
        <w:t xml:space="preserve"> תופעות הלוואי של אימונותרפיה בסרטן השד מציגות אתגר קליני מורכב הדורש גישה רב-תחומית, הכשרה מתמשכת של צוותים רפואיים ופיתוח פרוטוקולים מתוקננים. למרות הסיכונים, הפרופיל הביטחוני נחשב מקובל בהתחשב ביתרונות הקליניים המשמעותיים, במיוחד בחולי סרטן שד </w:t>
      </w:r>
      <w:proofErr w:type="spellStart"/>
      <w:r w:rsidRPr="00B83C92">
        <w:rPr>
          <w:rtl/>
        </w:rPr>
        <w:t>טריפל</w:t>
      </w:r>
      <w:proofErr w:type="spellEnd"/>
      <w:r w:rsidRPr="00B83C92">
        <w:rPr>
          <w:rtl/>
        </w:rPr>
        <w:t xml:space="preserve"> נגטיב. ההבנה הגוברת של מנגנוני התופעות לוואי, פיתוח אסטרטגיות ניהול מבוססות ראיות ושיפור בכלי החיזוי והמעקב מבטיחים להמשיך ולשפר את היחס בין תועלת לסיכון של טיפולים </w:t>
      </w:r>
      <w:proofErr w:type="spellStart"/>
      <w:r w:rsidRPr="00B83C92">
        <w:rPr>
          <w:rtl/>
        </w:rPr>
        <w:t>אימונותרפיים</w:t>
      </w:r>
      <w:proofErr w:type="spellEnd"/>
      <w:r w:rsidRPr="00B83C92">
        <w:rPr>
          <w:rtl/>
        </w:rPr>
        <w:t xml:space="preserve"> בסרטן השד</w:t>
      </w:r>
      <w:r w:rsidRPr="00B83C92">
        <w:rPr>
          <w:lang w:val="en-GB"/>
        </w:rPr>
        <w:t>.</w:t>
      </w:r>
      <w:r w:rsidRPr="00B83C92">
        <w:rPr>
          <w:rtl/>
        </w:rPr>
        <w:t>המחקר העתידי צריך להתמקד בפיתוח גישות מותאמות אישית למזעור רעילות, הבנה טובה יותר של ההשפעות ארוכות הטווח, ופיתוח טיפולים משולבים חדשניים שישפרו עוד יותר את התוצאות עבור חולות סרטן השד. עם המשך הפיתוח והתקדמות בתחום, אימונותרפיה צפויה להישאר נדבך מרכזי בטיפול בסרטן השד, עם דגש מתמשך על איזון בין יעילות לבטיחות</w:t>
      </w:r>
      <w:r w:rsidRPr="00B83C92">
        <w:rPr>
          <w:lang w:val="en-GB"/>
        </w:rPr>
        <w:t>.</w:t>
      </w:r>
    </w:p>
    <w:p w14:paraId="4951F8FF" w14:textId="77777777" w:rsidR="00B83C92" w:rsidRPr="00B83C92" w:rsidRDefault="00B83C92" w:rsidP="00B83C92">
      <w:pPr>
        <w:rPr>
          <w:lang w:val="en-GB"/>
        </w:rPr>
      </w:pPr>
      <w:r w:rsidRPr="00B83C92">
        <w:rPr>
          <w:lang w:val="en-GB"/>
        </w:rPr>
        <w:pict w14:anchorId="3DDD5A01">
          <v:rect id="_x0000_i1025" style="width:0;height:1.5pt" o:hralign="right" o:hrstd="t" o:hr="t" fillcolor="#a0a0a0" stroked="f"/>
        </w:pict>
      </w:r>
    </w:p>
    <w:p w14:paraId="68CA1ECF" w14:textId="77777777" w:rsidR="00B83C92" w:rsidRPr="00B83C92" w:rsidRDefault="00B83C92" w:rsidP="00B83C92">
      <w:pPr>
        <w:rPr>
          <w:b/>
          <w:bCs/>
          <w:lang w:val="en-GB"/>
        </w:rPr>
      </w:pPr>
      <w:r w:rsidRPr="00B83C92">
        <w:rPr>
          <w:b/>
          <w:bCs/>
          <w:rtl/>
        </w:rPr>
        <w:lastRenderedPageBreak/>
        <w:t>ביבליוגרפיה</w:t>
      </w:r>
    </w:p>
    <w:p w14:paraId="2D0CD2AD" w14:textId="77777777" w:rsidR="00B83C92" w:rsidRPr="00B83C92" w:rsidRDefault="00B83C92" w:rsidP="00B83C92">
      <w:pPr>
        <w:numPr>
          <w:ilvl w:val="0"/>
          <w:numId w:val="1"/>
        </w:numPr>
        <w:rPr>
          <w:lang w:val="en-GB"/>
        </w:rPr>
      </w:pPr>
      <w:r w:rsidRPr="00B83C92">
        <w:rPr>
          <w:lang w:val="en-GB"/>
        </w:rPr>
        <w:t xml:space="preserve">Schmid, P., Cortes, J., Pusztai, L., McArthur, H., Kümmel, S., Bergh, J., ... &amp; Harbeck, N. (2020). Pembrolizumab for early triple-negative breast cancer. </w:t>
      </w:r>
      <w:r w:rsidRPr="00B83C92">
        <w:rPr>
          <w:i/>
          <w:iCs/>
          <w:lang w:val="en-GB"/>
        </w:rPr>
        <w:t>New England Journal of Medicine</w:t>
      </w:r>
      <w:r w:rsidRPr="00B83C92">
        <w:rPr>
          <w:lang w:val="en-GB"/>
        </w:rPr>
        <w:t>, 382(9), 810-821.</w:t>
      </w:r>
    </w:p>
    <w:p w14:paraId="5FFB0AC4" w14:textId="77777777" w:rsidR="00B83C92" w:rsidRPr="00B83C92" w:rsidRDefault="00B83C92" w:rsidP="00B83C92">
      <w:pPr>
        <w:numPr>
          <w:ilvl w:val="0"/>
          <w:numId w:val="1"/>
        </w:numPr>
        <w:rPr>
          <w:lang w:val="en-GB"/>
        </w:rPr>
      </w:pPr>
      <w:r w:rsidRPr="00B83C92">
        <w:rPr>
          <w:lang w:val="en-GB"/>
        </w:rPr>
        <w:t xml:space="preserve">Cortes, J., Cescon, D. W., Rugo, H. S., </w:t>
      </w:r>
      <w:proofErr w:type="spellStart"/>
      <w:r w:rsidRPr="00B83C92">
        <w:rPr>
          <w:lang w:val="en-GB"/>
        </w:rPr>
        <w:t>Nowecki</w:t>
      </w:r>
      <w:proofErr w:type="spellEnd"/>
      <w:r w:rsidRPr="00B83C92">
        <w:rPr>
          <w:lang w:val="en-GB"/>
        </w:rPr>
        <w:t xml:space="preserve">, Z., </w:t>
      </w:r>
      <w:proofErr w:type="spellStart"/>
      <w:r w:rsidRPr="00B83C92">
        <w:rPr>
          <w:lang w:val="en-GB"/>
        </w:rPr>
        <w:t>Im</w:t>
      </w:r>
      <w:proofErr w:type="spellEnd"/>
      <w:r w:rsidRPr="00B83C92">
        <w:rPr>
          <w:lang w:val="en-GB"/>
        </w:rPr>
        <w:t xml:space="preserve">, S. A., Yusof, M. M., ... &amp; Barrios, C. H. (2022). Pembrolizumab plus chemotherapy versus placebo plus chemotherapy for previously untreated locally recurrent inoperable or metastatic triple-negative breast cancer (KEYNOTE-355): a randomised, placebo-controlled, double-blind, phase 3 trial. </w:t>
      </w:r>
      <w:r w:rsidRPr="00B83C92">
        <w:rPr>
          <w:i/>
          <w:iCs/>
          <w:lang w:val="en-GB"/>
        </w:rPr>
        <w:t>New England Journal of Medicine</w:t>
      </w:r>
      <w:r w:rsidRPr="00B83C92">
        <w:rPr>
          <w:lang w:val="en-GB"/>
        </w:rPr>
        <w:t>, 387(3), 217-226.</w:t>
      </w:r>
    </w:p>
    <w:p w14:paraId="3CD8EBD4" w14:textId="77777777" w:rsidR="00B83C92" w:rsidRPr="00B83C92" w:rsidRDefault="00B83C92" w:rsidP="00B83C92">
      <w:pPr>
        <w:numPr>
          <w:ilvl w:val="0"/>
          <w:numId w:val="1"/>
        </w:numPr>
        <w:rPr>
          <w:lang w:val="en-GB"/>
        </w:rPr>
      </w:pPr>
      <w:r w:rsidRPr="00B83C92">
        <w:rPr>
          <w:lang w:val="en-GB"/>
        </w:rPr>
        <w:t xml:space="preserve">Schmid, P., Adams, S., Rugo, H. S., Schneeweiss, A., Barrios, C. H., Iwata, H., ... &amp; Cortés, J. (2018). Atezolizumab and nab-paclitaxel in advanced triple-negative breast cancer. </w:t>
      </w:r>
      <w:r w:rsidRPr="00B83C92">
        <w:rPr>
          <w:i/>
          <w:iCs/>
          <w:lang w:val="en-GB"/>
        </w:rPr>
        <w:t>New England Journal of Medicine</w:t>
      </w:r>
      <w:r w:rsidRPr="00B83C92">
        <w:rPr>
          <w:lang w:val="en-GB"/>
        </w:rPr>
        <w:t>, 379(22), 2108-2121.</w:t>
      </w:r>
    </w:p>
    <w:p w14:paraId="68DBE9B2" w14:textId="77777777" w:rsidR="00B83C92" w:rsidRPr="00B83C92" w:rsidRDefault="00B83C92" w:rsidP="00B83C92">
      <w:pPr>
        <w:numPr>
          <w:ilvl w:val="0"/>
          <w:numId w:val="1"/>
        </w:numPr>
        <w:rPr>
          <w:lang w:val="en-GB"/>
        </w:rPr>
      </w:pPr>
      <w:r w:rsidRPr="00B83C92">
        <w:rPr>
          <w:lang w:val="en-GB"/>
        </w:rPr>
        <w:t xml:space="preserve">Brahmer, J. R., </w:t>
      </w:r>
      <w:proofErr w:type="spellStart"/>
      <w:r w:rsidRPr="00B83C92">
        <w:rPr>
          <w:lang w:val="en-GB"/>
        </w:rPr>
        <w:t>Lacchetti</w:t>
      </w:r>
      <w:proofErr w:type="spellEnd"/>
      <w:r w:rsidRPr="00B83C92">
        <w:rPr>
          <w:lang w:val="en-GB"/>
        </w:rPr>
        <w:t xml:space="preserve">, C., Schneider, B. J., Atkins, M. B., Brassil, K. J., Caterino, J. M., ... &amp; Thompson, J. A. (2018). Management of immune-related adverse events in patients treated with immune checkpoint inhibitor therapy: American Society of Clinical Oncology Clinical Practice Guideline. </w:t>
      </w:r>
      <w:r w:rsidRPr="00B83C92">
        <w:rPr>
          <w:i/>
          <w:iCs/>
          <w:lang w:val="en-GB"/>
        </w:rPr>
        <w:t>Journal of Clinical Oncology</w:t>
      </w:r>
      <w:r w:rsidRPr="00B83C92">
        <w:rPr>
          <w:lang w:val="en-GB"/>
        </w:rPr>
        <w:t>, 36(17), 1714-1768.</w:t>
      </w:r>
    </w:p>
    <w:p w14:paraId="57A14F05" w14:textId="77777777" w:rsidR="00B83C92" w:rsidRPr="00B83C92" w:rsidRDefault="00B83C92" w:rsidP="00B83C92">
      <w:pPr>
        <w:numPr>
          <w:ilvl w:val="0"/>
          <w:numId w:val="1"/>
        </w:numPr>
        <w:rPr>
          <w:lang w:val="en-GB"/>
        </w:rPr>
      </w:pPr>
      <w:r w:rsidRPr="00B83C92">
        <w:rPr>
          <w:lang w:val="en-GB"/>
        </w:rPr>
        <w:t xml:space="preserve">Reynolds, K. L., Bedard, P. L., Lee, S. H., Lin, C. C., Matos, I., Sano, T., ... &amp; Varga, A. (2022). Immunotherapy toxicity: identification and management. </w:t>
      </w:r>
      <w:r w:rsidRPr="00B83C92">
        <w:rPr>
          <w:i/>
          <w:iCs/>
          <w:lang w:val="en-GB"/>
        </w:rPr>
        <w:t>Breast Cancer Research and Treatment</w:t>
      </w:r>
      <w:r w:rsidRPr="00B83C92">
        <w:rPr>
          <w:lang w:val="en-GB"/>
        </w:rPr>
        <w:t>, 192(1), 1-17.</w:t>
      </w:r>
    </w:p>
    <w:p w14:paraId="6261483C" w14:textId="77777777" w:rsidR="00B83C92" w:rsidRPr="00B83C92" w:rsidRDefault="00B83C92" w:rsidP="00B83C92">
      <w:pPr>
        <w:numPr>
          <w:ilvl w:val="0"/>
          <w:numId w:val="1"/>
        </w:numPr>
        <w:rPr>
          <w:lang w:val="en-GB"/>
        </w:rPr>
      </w:pPr>
      <w:r w:rsidRPr="00B83C92">
        <w:rPr>
          <w:lang w:val="en-GB"/>
        </w:rPr>
        <w:t xml:space="preserve">Wang, C., Qiao, W., Jiang, Y., Zhu, M., Shao, J., Wang, T., ... &amp; Song, Y. (2022). Immune checkpoint inhibitors combined with chemotherapy compared with chemotherapy alone for triple-negative breast cancer: a systematic review and meta-analysis. </w:t>
      </w:r>
      <w:r w:rsidRPr="00B83C92">
        <w:rPr>
          <w:i/>
          <w:iCs/>
          <w:lang w:val="en-GB"/>
        </w:rPr>
        <w:t>Frontiers in Oncology</w:t>
      </w:r>
      <w:r w:rsidRPr="00B83C92">
        <w:rPr>
          <w:lang w:val="en-GB"/>
        </w:rPr>
        <w:t>, 11, 795650.</w:t>
      </w:r>
    </w:p>
    <w:p w14:paraId="491D0255" w14:textId="77777777" w:rsidR="00B83C92" w:rsidRPr="00B83C92" w:rsidRDefault="00B83C92" w:rsidP="00B83C92">
      <w:pPr>
        <w:numPr>
          <w:ilvl w:val="0"/>
          <w:numId w:val="1"/>
        </w:numPr>
        <w:rPr>
          <w:lang w:val="en-GB"/>
        </w:rPr>
      </w:pPr>
      <w:r w:rsidRPr="00B83C92">
        <w:rPr>
          <w:lang w:val="en-GB"/>
        </w:rPr>
        <w:t xml:space="preserve">Xing, P., Zhang, F., Wang, G., Xu, Y., Li, C., Wang, S., ... &amp; Wang, Y. (2019). Fatal adverse events associated with pembrolizumab in cancer patients: a meta-analysis. </w:t>
      </w:r>
      <w:r w:rsidRPr="00B83C92">
        <w:rPr>
          <w:i/>
          <w:iCs/>
          <w:lang w:val="en-GB"/>
        </w:rPr>
        <w:t>Immunotherapy</w:t>
      </w:r>
      <w:r w:rsidRPr="00B83C92">
        <w:rPr>
          <w:lang w:val="en-GB"/>
        </w:rPr>
        <w:t>, 11(15), 1303-1312.</w:t>
      </w:r>
    </w:p>
    <w:p w14:paraId="78EF5D3A" w14:textId="77777777" w:rsidR="00B83C92" w:rsidRPr="00B83C92" w:rsidRDefault="00B83C92" w:rsidP="00B83C92">
      <w:pPr>
        <w:numPr>
          <w:ilvl w:val="0"/>
          <w:numId w:val="1"/>
        </w:numPr>
        <w:rPr>
          <w:lang w:val="en-GB"/>
        </w:rPr>
      </w:pPr>
      <w:r w:rsidRPr="00B83C92">
        <w:rPr>
          <w:lang w:val="en-GB"/>
        </w:rPr>
        <w:t xml:space="preserve">Harbeck, N., Schneeweiss, A., </w:t>
      </w:r>
      <w:proofErr w:type="spellStart"/>
      <w:r w:rsidRPr="00B83C92">
        <w:rPr>
          <w:lang w:val="en-GB"/>
        </w:rPr>
        <w:t>Blohmer</w:t>
      </w:r>
      <w:proofErr w:type="spellEnd"/>
      <w:r w:rsidRPr="00B83C92">
        <w:rPr>
          <w:lang w:val="en-GB"/>
        </w:rPr>
        <w:t xml:space="preserve">, J. U., </w:t>
      </w:r>
      <w:proofErr w:type="spellStart"/>
      <w:r w:rsidRPr="00B83C92">
        <w:rPr>
          <w:lang w:val="en-GB"/>
        </w:rPr>
        <w:t>Huober</w:t>
      </w:r>
      <w:proofErr w:type="spellEnd"/>
      <w:r w:rsidRPr="00B83C92">
        <w:rPr>
          <w:lang w:val="en-GB"/>
        </w:rPr>
        <w:t xml:space="preserve">, J., Kittel, K., Fasching, P. A., ... &amp; Loibl, S. (2024). Neoadjuvant pembrolizumab plus chemotherapy/adjuvant pembrolizumab for early-stage triple-negative breast cancer: quality-of-life results from the randomized KEYNOTE-522 study. </w:t>
      </w:r>
      <w:r w:rsidRPr="00B83C92">
        <w:rPr>
          <w:i/>
          <w:iCs/>
          <w:lang w:val="en-GB"/>
        </w:rPr>
        <w:t>JNCI: Journal of the National Cancer Institute</w:t>
      </w:r>
      <w:r w:rsidRPr="00B83C92">
        <w:rPr>
          <w:lang w:val="en-GB"/>
        </w:rPr>
        <w:t>, 116(10), 1654-1664.</w:t>
      </w:r>
    </w:p>
    <w:p w14:paraId="11D87EEC" w14:textId="77777777" w:rsidR="00B83C92" w:rsidRPr="00B83C92" w:rsidRDefault="00B83C92" w:rsidP="00B83C92">
      <w:pPr>
        <w:numPr>
          <w:ilvl w:val="0"/>
          <w:numId w:val="1"/>
        </w:numPr>
        <w:rPr>
          <w:lang w:val="en-GB"/>
        </w:rPr>
      </w:pPr>
      <w:r w:rsidRPr="00B83C92">
        <w:rPr>
          <w:lang w:val="en-GB"/>
        </w:rPr>
        <w:t xml:space="preserve">Zhang, L., Wang, L., Wang, Y., Chen, B., &amp; Wang, Y. (2023). Immune-related adverse events of immune checkpoint inhibitors: a review. </w:t>
      </w:r>
      <w:r w:rsidRPr="00B83C92">
        <w:rPr>
          <w:i/>
          <w:iCs/>
          <w:lang w:val="en-GB"/>
        </w:rPr>
        <w:t>Frontiers in Immunology</w:t>
      </w:r>
      <w:r w:rsidRPr="00B83C92">
        <w:rPr>
          <w:lang w:val="en-GB"/>
        </w:rPr>
        <w:t>, 14, 1167975.</w:t>
      </w:r>
    </w:p>
    <w:p w14:paraId="3989D929" w14:textId="77777777" w:rsidR="00B83C92" w:rsidRPr="00B83C92" w:rsidRDefault="00B83C92" w:rsidP="00B83C92">
      <w:pPr>
        <w:numPr>
          <w:ilvl w:val="0"/>
          <w:numId w:val="1"/>
        </w:numPr>
        <w:rPr>
          <w:lang w:val="en-GB"/>
        </w:rPr>
      </w:pPr>
      <w:r w:rsidRPr="00B83C92">
        <w:rPr>
          <w:lang w:val="en-GB"/>
        </w:rPr>
        <w:lastRenderedPageBreak/>
        <w:t xml:space="preserve">Su, Q., Zhang, X. C., Wang, D. Y., Yang, J. J., Zhong, W. Z., Chen, Z. H., ... &amp; Wu, Y. L. (2023). Comparative efficacy and safety of PD-1/PD-L1 inhibitors in triple negative breast cancer: a systematic review and network meta-analysis of randomized controlled trials. </w:t>
      </w:r>
      <w:r w:rsidRPr="00B83C92">
        <w:rPr>
          <w:i/>
          <w:iCs/>
          <w:lang w:val="en-GB"/>
        </w:rPr>
        <w:t>Cancer Cell International</w:t>
      </w:r>
      <w:r w:rsidRPr="00B83C92">
        <w:rPr>
          <w:lang w:val="en-GB"/>
        </w:rPr>
        <w:t>, 23(1), 94.</w:t>
      </w:r>
    </w:p>
    <w:p w14:paraId="785CC0EC" w14:textId="77777777" w:rsidR="00B83C92" w:rsidRPr="00B83C92" w:rsidRDefault="00B83C92" w:rsidP="00B83C92">
      <w:pPr>
        <w:rPr>
          <w:lang w:val="en-GB"/>
        </w:rPr>
      </w:pPr>
    </w:p>
    <w:p w14:paraId="1962256F" w14:textId="77777777" w:rsidR="00B83C92" w:rsidRPr="00B83C92" w:rsidRDefault="00B83C92" w:rsidP="00B83C92">
      <w:pPr>
        <w:rPr>
          <w:lang w:val="en-GB"/>
        </w:rPr>
      </w:pPr>
    </w:p>
    <w:p w14:paraId="6542C500" w14:textId="77777777" w:rsidR="00B83C92" w:rsidRPr="00B83C92" w:rsidRDefault="00B83C92" w:rsidP="00B83C92">
      <w:pPr>
        <w:rPr>
          <w:lang w:val="en-GB"/>
        </w:rPr>
      </w:pPr>
    </w:p>
    <w:tbl>
      <w:tblPr>
        <w:bidiVisual/>
        <w:tblW w:w="22118" w:type="dxa"/>
        <w:tblInd w:w="-518" w:type="dxa"/>
        <w:tblLook w:val="04A0" w:firstRow="1" w:lastRow="0" w:firstColumn="1" w:lastColumn="0" w:noHBand="0" w:noVBand="1"/>
      </w:tblPr>
      <w:tblGrid>
        <w:gridCol w:w="5918"/>
        <w:gridCol w:w="1080"/>
        <w:gridCol w:w="1080"/>
        <w:gridCol w:w="1080"/>
        <w:gridCol w:w="1080"/>
        <w:gridCol w:w="1080"/>
        <w:gridCol w:w="1080"/>
        <w:gridCol w:w="1080"/>
        <w:gridCol w:w="1080"/>
        <w:gridCol w:w="1080"/>
        <w:gridCol w:w="1080"/>
        <w:gridCol w:w="1080"/>
        <w:gridCol w:w="1080"/>
        <w:gridCol w:w="1080"/>
        <w:gridCol w:w="1080"/>
        <w:gridCol w:w="1080"/>
      </w:tblGrid>
      <w:tr w:rsidR="00B83C92" w:rsidRPr="00B83C92" w14:paraId="117AC09B" w14:textId="77777777" w:rsidTr="00184319">
        <w:trPr>
          <w:trHeight w:val="285"/>
        </w:trPr>
        <w:tc>
          <w:tcPr>
            <w:tcW w:w="5918" w:type="dxa"/>
            <w:tcBorders>
              <w:top w:val="nil"/>
              <w:left w:val="nil"/>
              <w:bottom w:val="nil"/>
              <w:right w:val="nil"/>
            </w:tcBorders>
            <w:noWrap/>
            <w:vAlign w:val="bottom"/>
          </w:tcPr>
          <w:p w14:paraId="4D8C7B3F" w14:textId="77777777" w:rsidR="00B83C92" w:rsidRPr="00B83C92" w:rsidRDefault="00B83C92" w:rsidP="00B83C92">
            <w:pPr>
              <w:rPr>
                <w:lang w:val="en-GB"/>
              </w:rPr>
            </w:pPr>
          </w:p>
        </w:tc>
        <w:tc>
          <w:tcPr>
            <w:tcW w:w="1080" w:type="dxa"/>
            <w:tcBorders>
              <w:top w:val="nil"/>
              <w:left w:val="nil"/>
              <w:bottom w:val="nil"/>
              <w:right w:val="nil"/>
            </w:tcBorders>
            <w:noWrap/>
            <w:vAlign w:val="bottom"/>
          </w:tcPr>
          <w:p w14:paraId="21610F75" w14:textId="77777777" w:rsidR="00B83C92" w:rsidRPr="00B83C92" w:rsidRDefault="00B83C92" w:rsidP="00B83C92">
            <w:pPr>
              <w:rPr>
                <w:rtl/>
              </w:rPr>
            </w:pPr>
          </w:p>
        </w:tc>
        <w:tc>
          <w:tcPr>
            <w:tcW w:w="1080" w:type="dxa"/>
            <w:tcBorders>
              <w:top w:val="nil"/>
              <w:left w:val="nil"/>
              <w:bottom w:val="nil"/>
              <w:right w:val="nil"/>
            </w:tcBorders>
            <w:noWrap/>
            <w:vAlign w:val="bottom"/>
          </w:tcPr>
          <w:p w14:paraId="239AC0BD" w14:textId="77777777" w:rsidR="00B83C92" w:rsidRPr="00B83C92" w:rsidRDefault="00B83C92" w:rsidP="00B83C92">
            <w:pPr>
              <w:rPr>
                <w:lang w:val="en-GB"/>
              </w:rPr>
            </w:pPr>
          </w:p>
        </w:tc>
        <w:tc>
          <w:tcPr>
            <w:tcW w:w="1080" w:type="dxa"/>
            <w:tcBorders>
              <w:top w:val="nil"/>
              <w:left w:val="nil"/>
              <w:bottom w:val="nil"/>
              <w:right w:val="nil"/>
            </w:tcBorders>
            <w:noWrap/>
            <w:vAlign w:val="bottom"/>
          </w:tcPr>
          <w:p w14:paraId="02E0E636" w14:textId="77777777" w:rsidR="00B83C92" w:rsidRPr="00B83C92" w:rsidRDefault="00B83C92" w:rsidP="00B83C92">
            <w:pPr>
              <w:rPr>
                <w:lang w:val="en-GB"/>
              </w:rPr>
            </w:pPr>
          </w:p>
        </w:tc>
        <w:tc>
          <w:tcPr>
            <w:tcW w:w="1080" w:type="dxa"/>
            <w:tcBorders>
              <w:top w:val="nil"/>
              <w:left w:val="nil"/>
              <w:bottom w:val="nil"/>
              <w:right w:val="nil"/>
            </w:tcBorders>
            <w:noWrap/>
            <w:vAlign w:val="bottom"/>
          </w:tcPr>
          <w:p w14:paraId="08EC470A"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B6DFE8F"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75CBA00F"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1FC85490"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360EE8E"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18AC9A0D"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09E9DBF"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501664A1"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061F4FD4"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7A463B99"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736956A3"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B2DA75F" w14:textId="77777777" w:rsidR="00B83C92" w:rsidRPr="00B83C92" w:rsidRDefault="00B83C92" w:rsidP="00B83C92">
            <w:pPr>
              <w:rPr>
                <w:lang w:val="en-GB"/>
              </w:rPr>
            </w:pPr>
          </w:p>
        </w:tc>
      </w:tr>
      <w:tr w:rsidR="00B83C92" w:rsidRPr="00B83C92" w14:paraId="0FA9F09D" w14:textId="77777777" w:rsidTr="00184319">
        <w:trPr>
          <w:trHeight w:val="285"/>
        </w:trPr>
        <w:tc>
          <w:tcPr>
            <w:tcW w:w="14558" w:type="dxa"/>
            <w:gridSpan w:val="9"/>
            <w:tcBorders>
              <w:top w:val="nil"/>
              <w:left w:val="nil"/>
              <w:bottom w:val="nil"/>
              <w:right w:val="nil"/>
            </w:tcBorders>
            <w:noWrap/>
            <w:vAlign w:val="bottom"/>
          </w:tcPr>
          <w:p w14:paraId="2D3BACA9"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55BABA1" w14:textId="77777777" w:rsidR="00B83C92" w:rsidRPr="00B83C92" w:rsidRDefault="00B83C92" w:rsidP="00B83C92">
            <w:pPr>
              <w:rPr>
                <w:rtl/>
              </w:rPr>
            </w:pPr>
          </w:p>
        </w:tc>
        <w:tc>
          <w:tcPr>
            <w:tcW w:w="1080" w:type="dxa"/>
            <w:tcBorders>
              <w:top w:val="nil"/>
              <w:left w:val="nil"/>
              <w:bottom w:val="nil"/>
              <w:right w:val="nil"/>
            </w:tcBorders>
            <w:noWrap/>
            <w:vAlign w:val="bottom"/>
            <w:hideMark/>
          </w:tcPr>
          <w:p w14:paraId="08D43055"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4F4EF57C"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32C7043"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7ADB887D"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53100E8F"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A0B5433" w14:textId="77777777" w:rsidR="00B83C92" w:rsidRPr="00B83C92" w:rsidRDefault="00B83C92" w:rsidP="00B83C92">
            <w:pPr>
              <w:rPr>
                <w:lang w:val="en-GB"/>
              </w:rPr>
            </w:pPr>
          </w:p>
        </w:tc>
      </w:tr>
    </w:tbl>
    <w:p w14:paraId="05806079" w14:textId="77777777" w:rsidR="00B83C92" w:rsidRPr="00B83C92" w:rsidRDefault="00B83C92" w:rsidP="00B83C92">
      <w:pPr>
        <w:rPr>
          <w:lang w:val="en-GB"/>
        </w:rPr>
      </w:pPr>
      <w:r w:rsidRPr="00B83C92">
        <w:rPr>
          <w:lang w:val="en-GB"/>
        </w:rPr>
        <w:br w:type="page"/>
      </w:r>
      <w:r w:rsidRPr="00B83C92">
        <w:rPr>
          <w:rtl/>
        </w:rPr>
        <w:lastRenderedPageBreak/>
        <w:t>דרייב אישי מסמך מס 3</w:t>
      </w:r>
      <w:r w:rsidRPr="00B83C92">
        <w:rPr>
          <w:rtl/>
        </w:rPr>
        <w:br/>
        <w:t>נוהל בטיחות 30.4.25</w:t>
      </w:r>
      <w:r w:rsidRPr="00B83C92">
        <w:rPr>
          <w:rtl/>
        </w:rPr>
        <w:br/>
      </w:r>
      <w:r w:rsidRPr="00B83C92">
        <w:rPr>
          <w:b/>
          <w:bCs/>
          <w:rtl/>
        </w:rPr>
        <w:t>נוהל בטיחות במקרה רעידת אדמה והצפה</w:t>
      </w:r>
      <w:r w:rsidRPr="00B83C92">
        <w:rPr>
          <w:b/>
          <w:bCs/>
          <w:rtl/>
        </w:rPr>
        <w:br/>
        <w:t xml:space="preserve">מטרת הנוהל: </w:t>
      </w:r>
      <w:r w:rsidRPr="00B83C92">
        <w:rPr>
          <w:rtl/>
        </w:rPr>
        <w:t xml:space="preserve">נוהל זה נועד להבטיח את בטיחותם של עובדי המוסד, החוקרים, סטודנטים והאורחים, במקרה של רעידת אדמה או הצפה, ולמזער נזקים לציוד המחקרי, חומרים, נתונים ומידע. </w:t>
      </w:r>
    </w:p>
    <w:p w14:paraId="2901C698" w14:textId="77777777" w:rsidR="00B83C92" w:rsidRPr="00B83C92" w:rsidRDefault="00B83C92" w:rsidP="00B83C92">
      <w:pPr>
        <w:rPr>
          <w:rtl/>
        </w:rPr>
      </w:pPr>
      <w:r w:rsidRPr="00B83C92">
        <w:rPr>
          <w:lang w:val="en-GB"/>
        </w:rPr>
        <w:pict w14:anchorId="6FD2BB0B">
          <v:rect id="_x0000_i1026" style="width:0;height:1.5pt" o:hralign="right" o:hrstd="t" o:hr="t" fillcolor="#a0a0a0" stroked="f"/>
        </w:pict>
      </w:r>
      <w:r w:rsidRPr="00B83C92">
        <w:rPr>
          <w:b/>
          <w:bCs/>
          <w:rtl/>
        </w:rPr>
        <w:t>1. גיבוי נתונים ורציפות תפעולית</w:t>
      </w:r>
      <w:r w:rsidRPr="00B83C92">
        <w:rPr>
          <w:b/>
          <w:bCs/>
          <w:rtl/>
        </w:rPr>
        <w:br/>
        <w:t>1</w:t>
      </w:r>
      <w:r w:rsidRPr="00B83C92">
        <w:rPr>
          <w:b/>
          <w:bCs/>
          <w:lang w:val="en-GB"/>
        </w:rPr>
        <w:t xml:space="preserve">1 </w:t>
      </w:r>
      <w:r w:rsidRPr="00B83C92">
        <w:rPr>
          <w:b/>
          <w:bCs/>
          <w:rtl/>
        </w:rPr>
        <w:t>הגנה על נתוני מחקר קריטיים</w:t>
      </w:r>
      <w:r w:rsidRPr="00B83C92">
        <w:rPr>
          <w:b/>
          <w:bCs/>
          <w:rtl/>
        </w:rPr>
        <w:br/>
      </w:r>
      <w:r w:rsidRPr="00B83C92">
        <w:rPr>
          <w:rtl/>
        </w:rPr>
        <w:t>כל נתוני המחקר הקריטיים של המוסד מגובים באופן יומי למתקן גיבוי חיצוני הממוקם באזור גיאוגרפי שונה. השרתים המרכזיים של המוסד מתוחזקים במתקן ענן מוגן שמבטיח זמינות של 99.9% גם במצבי חירום. במקרה של נזק למתקן הראשי, צוות ה</w:t>
      </w:r>
      <w:r w:rsidRPr="00B83C92">
        <w:rPr>
          <w:lang w:val="en-GB"/>
        </w:rPr>
        <w:t xml:space="preserve">-IT </w:t>
      </w:r>
      <w:r w:rsidRPr="00B83C92">
        <w:rPr>
          <w:rtl/>
        </w:rPr>
        <w:t>בראשות מר טל כרמי (052-9988776) מפעיל תוך שעתיים את מערכת הגיבוי החלופית שמאפשרת המשך עבודה מרחוק</w:t>
      </w:r>
      <w:r w:rsidRPr="00B83C92">
        <w:rPr>
          <w:lang w:val="en-GB"/>
        </w:rPr>
        <w:t>.</w:t>
      </w:r>
      <w:r w:rsidRPr="00B83C92">
        <w:rPr>
          <w:rtl/>
        </w:rPr>
        <w:t xml:space="preserve"> </w:t>
      </w:r>
    </w:p>
    <w:p w14:paraId="442C7761" w14:textId="77777777" w:rsidR="00B83C92" w:rsidRPr="00B83C92" w:rsidRDefault="00B83C92" w:rsidP="00B83C92">
      <w:pPr>
        <w:rPr>
          <w:lang w:val="en-GB"/>
        </w:rPr>
      </w:pPr>
      <w:r w:rsidRPr="00B83C92">
        <w:rPr>
          <w:rtl/>
        </w:rPr>
        <w:t xml:space="preserve">.1.1.1 כל חוקר או סטודנט אחראי להריץ נוהל גבוי יומי בסוף יום ובסיום עבודה על קבצים או מערכות מחשב. </w:t>
      </w:r>
    </w:p>
    <w:p w14:paraId="78ECACFC" w14:textId="77777777" w:rsidR="00B83C92" w:rsidRPr="00B83C92" w:rsidRDefault="00B83C92" w:rsidP="00B83C92">
      <w:pPr>
        <w:rPr>
          <w:rtl/>
        </w:rPr>
      </w:pPr>
      <w:r w:rsidRPr="00B83C92">
        <w:rPr>
          <w:b/>
          <w:bCs/>
          <w:rtl/>
        </w:rPr>
        <w:t>1.2</w:t>
      </w:r>
      <w:r w:rsidRPr="00B83C92">
        <w:rPr>
          <w:b/>
          <w:bCs/>
          <w:lang w:val="en-GB"/>
        </w:rPr>
        <w:t xml:space="preserve"> </w:t>
      </w:r>
      <w:r w:rsidRPr="00B83C92">
        <w:rPr>
          <w:b/>
          <w:bCs/>
          <w:rtl/>
        </w:rPr>
        <w:t>תכנון המשכיות מחקר</w:t>
      </w:r>
      <w:r w:rsidRPr="00B83C92">
        <w:rPr>
          <w:b/>
          <w:bCs/>
          <w:rtl/>
        </w:rPr>
        <w:br/>
      </w:r>
      <w:r w:rsidRPr="00B83C92">
        <w:rPr>
          <w:rtl/>
        </w:rPr>
        <w:t>מחקרים ארוכי טווח הדורשים תנאי מעבדה מיוחדים מוגדרים כקריטיים ועבורם קיימים הסכמי שיתוף עם מוסדות מחקר נוספים. במקרה של נזק מתמשך למעבדות, ניתן להעביר את המחקרים הקריטיים למעבדות שותפות תוך 48 שעות. רשימת המחקרים הקריטיים מתעדכנת מדי רבעון ונמצאת אצל ד"ר שרה לוי</w:t>
      </w:r>
      <w:r w:rsidRPr="00B83C92">
        <w:rPr>
          <w:lang w:val="en-GB"/>
        </w:rPr>
        <w:t>.</w:t>
      </w:r>
      <w:r w:rsidRPr="00B83C92">
        <w:rPr>
          <w:rtl/>
        </w:rPr>
        <w:br/>
        <w:t>1.2.1 10% מחקרים אסטרטגיים</w:t>
      </w:r>
      <w:r w:rsidRPr="00B83C92">
        <w:rPr>
          <w:rtl/>
        </w:rPr>
        <w:br/>
        <w:t xml:space="preserve">מחקרים אסטרטגיים (10 אחוז מכלל המחקרים הקריטיים) יבוצעו במקביל בשני אתרים שונים על פי קביעת ועדת מחקר. ועדת מחקר תגדיר את רשימת המחקרים האסטרטגיים ותתקף הרשימה כל 1 לחודש </w:t>
      </w:r>
      <w:proofErr w:type="spellStart"/>
      <w:r w:rsidRPr="00B83C92">
        <w:rPr>
          <w:rtl/>
        </w:rPr>
        <w:t>קלנדרי</w:t>
      </w:r>
      <w:proofErr w:type="spellEnd"/>
      <w:r w:rsidRPr="00B83C92">
        <w:rPr>
          <w:rtl/>
        </w:rPr>
        <w:t xml:space="preserve"> ותעדכן ראשי מעבדות. ראשי מעבדות אחראים לעדכון והנחיות עבודה לצוות המעבדה. </w:t>
      </w:r>
    </w:p>
    <w:p w14:paraId="2AB53D34" w14:textId="77777777" w:rsidR="00B83C92" w:rsidRPr="00B83C92" w:rsidRDefault="00B83C92" w:rsidP="00B83C92">
      <w:pPr>
        <w:rPr>
          <w:lang w:val="en-GB"/>
        </w:rPr>
      </w:pPr>
      <w:r w:rsidRPr="00B83C92">
        <w:rPr>
          <w:rtl/>
        </w:rPr>
        <w:t xml:space="preserve">1.3 </w:t>
      </w:r>
      <w:r w:rsidRPr="00B83C92">
        <w:rPr>
          <w:b/>
          <w:bCs/>
          <w:rtl/>
        </w:rPr>
        <w:t>שחזור תפעול לאחר אירוע חירום</w:t>
      </w:r>
      <w:r w:rsidRPr="00B83C92">
        <w:rPr>
          <w:rtl/>
        </w:rPr>
        <w:br/>
        <w:t xml:space="preserve">אחר אירוע חירום, צוות השחזור בראשות מנהל התחזוקה אבי מזרחי מתחיל תהליך הערכת נזקים מקיף. התהליך כולל בדיקת מערכות </w:t>
      </w:r>
      <w:proofErr w:type="spellStart"/>
      <w:r w:rsidRPr="00B83C92">
        <w:rPr>
          <w:rtl/>
        </w:rPr>
        <w:t>חאוריות</w:t>
      </w:r>
      <w:proofErr w:type="spellEnd"/>
      <w:r w:rsidRPr="00B83C92">
        <w:rPr>
          <w:rtl/>
        </w:rPr>
        <w:t xml:space="preserve">, הערכת בטיחות המבנה, ובדיקת תקינות ציוד המחקר והמידע הרגיש. על בסיס הערכה זו נקבע לוח זמנים לשחזור הדרגתי של התפעול, תוך מתן עדיפות למחקרים האסטרטגיים והקריטיים ולמעבדות </w:t>
      </w:r>
      <w:proofErr w:type="spellStart"/>
      <w:r w:rsidRPr="00B83C92">
        <w:rPr>
          <w:rtl/>
        </w:rPr>
        <w:t>החאוריות</w:t>
      </w:r>
      <w:proofErr w:type="spellEnd"/>
      <w:r w:rsidRPr="00B83C92">
        <w:rPr>
          <w:rtl/>
        </w:rPr>
        <w:t xml:space="preserve"> לפעילות המוסד</w:t>
      </w:r>
      <w:r w:rsidRPr="00B83C92">
        <w:rPr>
          <w:lang w:val="en-GB"/>
        </w:rPr>
        <w:t>.</w:t>
      </w:r>
    </w:p>
    <w:p w14:paraId="05F9BEE6" w14:textId="77777777" w:rsidR="00B83C92" w:rsidRPr="00B83C92" w:rsidRDefault="00B83C92" w:rsidP="00B83C92">
      <w:pPr>
        <w:rPr>
          <w:lang w:val="en-GB"/>
        </w:rPr>
      </w:pPr>
      <w:r w:rsidRPr="00B83C92">
        <w:rPr>
          <w:lang w:val="en-GB"/>
        </w:rPr>
        <w:pict w14:anchorId="025E774E">
          <v:rect id="_x0000_i1027" style="width:0;height:1.5pt" o:hralign="right" o:hrstd="t" o:hr="t" fillcolor="#a0a0a0" stroked="f"/>
        </w:pict>
      </w:r>
    </w:p>
    <w:p w14:paraId="591D2A36" w14:textId="77777777" w:rsidR="00B83C92" w:rsidRPr="00B83C92" w:rsidRDefault="00B83C92" w:rsidP="00B83C92">
      <w:pPr>
        <w:rPr>
          <w:lang w:val="en-GB"/>
        </w:rPr>
      </w:pPr>
      <w:r w:rsidRPr="00B83C92">
        <w:rPr>
          <w:b/>
          <w:bCs/>
          <w:rtl/>
        </w:rPr>
        <w:t>2. הכנות מוקדמות</w:t>
      </w:r>
      <w:r w:rsidRPr="00B83C92">
        <w:rPr>
          <w:b/>
          <w:bCs/>
          <w:rtl/>
        </w:rPr>
        <w:br/>
      </w:r>
      <w:r w:rsidRPr="00B83C92">
        <w:rPr>
          <w:rtl/>
        </w:rPr>
        <w:t>המוסד מחויב לבצע מיפוי מקיף של כל המעבדות, אזורי האחסון ונקודות הסכנה הפוטנציאליות במתקן. מיפוי זה כולל זיהוי מקומות אחסון נתונים בעלי חשיבות קריית ואסטרטגית, חומרים מסוכנים, ציוד כבד העלול ליפול, ונקודות חולשה מבנית. תכנית פינוי מעודכנת מוצגת בכל קומה ומעבדה, וכוללת מסלולי פינוי ראשיים וחלופיים, מיקום ציוד החירום ונקודות כינוס בטוחות מחוץ למבנה</w:t>
      </w:r>
      <w:r w:rsidRPr="00B83C92">
        <w:rPr>
          <w:lang w:val="en-GB"/>
        </w:rPr>
        <w:t>.</w:t>
      </w:r>
    </w:p>
    <w:p w14:paraId="4EE93D59" w14:textId="77777777" w:rsidR="00B83C92" w:rsidRPr="00B83C92" w:rsidRDefault="00B83C92" w:rsidP="00B83C92">
      <w:pPr>
        <w:rPr>
          <w:lang w:val="en-GB"/>
        </w:rPr>
      </w:pPr>
      <w:r w:rsidRPr="00B83C92">
        <w:rPr>
          <w:rtl/>
        </w:rPr>
        <w:lastRenderedPageBreak/>
        <w:t xml:space="preserve">ציוד הבטיחות כולל ציוד שמירת נתונים ומידע מחקרי, לצד ערכות עזרה ראשונה בכל מעבדה, מטפים הממוקמים בנקודות נגישות אסטרטגיות, ציוד הגנה אישי כולל קסדות וכפפות, מגני קרינה, פנסים ורדיו סוללות לשעת חירום, ומערכת התרעה המשלבת אזעקות קוליות וחזותיות. כל הציוד נבדק </w:t>
      </w:r>
      <w:proofErr w:type="spellStart"/>
      <w:r w:rsidRPr="00B83C92">
        <w:rPr>
          <w:rtl/>
        </w:rPr>
        <w:t>תקופתיה</w:t>
      </w:r>
      <w:proofErr w:type="spellEnd"/>
      <w:r w:rsidRPr="00B83C92">
        <w:rPr>
          <w:rtl/>
        </w:rPr>
        <w:t xml:space="preserve"> ומוחלף לפי הצורך</w:t>
      </w:r>
      <w:r w:rsidRPr="00B83C92">
        <w:rPr>
          <w:lang w:val="en-GB"/>
        </w:rPr>
        <w:t>.</w:t>
      </w:r>
    </w:p>
    <w:p w14:paraId="64E3501A" w14:textId="77777777" w:rsidR="00B83C92" w:rsidRPr="00B83C92" w:rsidRDefault="00B83C92" w:rsidP="00B83C92">
      <w:pPr>
        <w:rPr>
          <w:lang w:val="en-GB"/>
        </w:rPr>
      </w:pPr>
      <w:r w:rsidRPr="00B83C92">
        <w:rPr>
          <w:rtl/>
        </w:rPr>
        <w:t>אבטחת חומרים מסוכנים מתבצעת באמצעות אחסונם במכלים מוגנים ומתוכננים לעמוד ברעידות אדמה, תיוג ברור וקריא של כל החומרים, הכנת נוהלי טיפול חירום ספציפיים לכל סוג חומר, והצבת מכלי ספיגה מיוחדים לטיפול בנוזלים מסוכנים במקרה של שפיכה</w:t>
      </w:r>
      <w:r w:rsidRPr="00B83C92">
        <w:rPr>
          <w:lang w:val="en-GB"/>
        </w:rPr>
        <w:t>.</w:t>
      </w:r>
    </w:p>
    <w:p w14:paraId="7F84EE4D" w14:textId="77777777" w:rsidR="00B83C92" w:rsidRPr="00B83C92" w:rsidRDefault="00B83C92" w:rsidP="00B83C92">
      <w:pPr>
        <w:rPr>
          <w:lang w:val="en-GB"/>
        </w:rPr>
      </w:pPr>
      <w:r w:rsidRPr="00B83C92">
        <w:rPr>
          <w:lang w:val="en-GB"/>
        </w:rPr>
        <w:pict w14:anchorId="7D13AACC">
          <v:rect id="_x0000_i1028" style="width:0;height:1.5pt" o:hralign="right" o:hrstd="t" o:hr="t" fillcolor="#a0a0a0" stroked="f"/>
        </w:pict>
      </w:r>
    </w:p>
    <w:p w14:paraId="29B6FFA7" w14:textId="77777777" w:rsidR="00B83C92" w:rsidRPr="00B83C92" w:rsidRDefault="00B83C92" w:rsidP="00B83C92">
      <w:pPr>
        <w:rPr>
          <w:lang w:val="en-GB"/>
        </w:rPr>
      </w:pPr>
      <w:r w:rsidRPr="00B83C92">
        <w:rPr>
          <w:b/>
          <w:bCs/>
          <w:rtl/>
        </w:rPr>
        <w:t xml:space="preserve">3. </w:t>
      </w:r>
      <w:r w:rsidRPr="00B83C92">
        <w:rPr>
          <w:b/>
          <w:bCs/>
          <w:lang w:val="en-GB"/>
        </w:rPr>
        <w:t xml:space="preserve"> </w:t>
      </w:r>
      <w:r w:rsidRPr="00B83C92">
        <w:rPr>
          <w:b/>
          <w:bCs/>
          <w:rtl/>
        </w:rPr>
        <w:t>נוהל פעולה ברעידת אדמה</w:t>
      </w:r>
      <w:r w:rsidRPr="00B83C92">
        <w:rPr>
          <w:b/>
          <w:bCs/>
          <w:rtl/>
        </w:rPr>
        <w:br/>
      </w:r>
      <w:r w:rsidRPr="00B83C92">
        <w:rPr>
          <w:rtl/>
        </w:rPr>
        <w:t>במהלך הרעידה עצמה, התגובה המיידית כוללת הפסקת פעילות מיידית של כל הציוד הפעיל במעבדה למניעת נזקים ותאונות. יש למצוא מחסה מידי תחת שולחן עבודה חזק או ליד קיר פנימי, תוך הרחקה מחלונות, מדפים גבוהים וציוד כבד העלול ליפול. חשוב להגן על הראש והצוואר באמצעות הזרועות או ציוד זמין, ואסור לנסות לעזוב את המבנה במהלך הרעידה עצמה מחשש לפציעה מפסולת נופלת</w:t>
      </w:r>
      <w:r w:rsidRPr="00B83C92">
        <w:rPr>
          <w:lang w:val="en-GB"/>
        </w:rPr>
        <w:t>.</w:t>
      </w:r>
    </w:p>
    <w:p w14:paraId="6C7A70EC" w14:textId="77777777" w:rsidR="00B83C92" w:rsidRPr="00B83C92" w:rsidRDefault="00B83C92" w:rsidP="00B83C92">
      <w:pPr>
        <w:rPr>
          <w:lang w:val="en-GB"/>
        </w:rPr>
      </w:pPr>
      <w:r w:rsidRPr="00B83C92">
        <w:rPr>
          <w:rtl/>
        </w:rPr>
        <w:t>לאחר הרעידה, יש לבדוק תחילה אם ישנם פצועים במעבדה ולהגיש עזרה ראשונה לפי הצורך. לאחר מכן יש לכבות מקורות אש וגז ולנתק את החשמל ברמת המעבדה, לבדוק אם ישנם נזקים או דליפות של חומרים מסוכנים, ולבצע פינוי מסודר דרך מסלולי הפינוי הבטוחים. חובה לדווח מיידית לממונה הבטיחות על מצב המעבדה והצוות.</w:t>
      </w:r>
      <w:r w:rsidRPr="00B83C92">
        <w:rPr>
          <w:rtl/>
        </w:rPr>
        <w:br/>
      </w:r>
      <w:r w:rsidRPr="00B83C92">
        <w:rPr>
          <w:rtl/>
        </w:rPr>
        <w:br/>
      </w:r>
      <w:r w:rsidRPr="00B83C92">
        <w:rPr>
          <w:b/>
          <w:bCs/>
          <w:rtl/>
        </w:rPr>
        <w:t>4. נוהל פעולה בהצפה</w:t>
      </w:r>
      <w:r w:rsidRPr="00B83C92">
        <w:rPr>
          <w:b/>
          <w:bCs/>
          <w:rtl/>
        </w:rPr>
        <w:br/>
      </w:r>
      <w:r w:rsidRPr="00B83C92">
        <w:rPr>
          <w:rtl/>
        </w:rPr>
        <w:t xml:space="preserve">בקבלת התרעה מוקדמת על גשמים כבדים או שיטפונות, יש להפעיל מיידית את צוות החירום ולהתחיל בהכנות מוקדמות. ציוד רגיש ומסמכים </w:t>
      </w:r>
      <w:proofErr w:type="spellStart"/>
      <w:r w:rsidRPr="00B83C92">
        <w:rPr>
          <w:rtl/>
        </w:rPr>
        <w:t>חאוריים</w:t>
      </w:r>
      <w:proofErr w:type="spellEnd"/>
      <w:r w:rsidRPr="00B83C92">
        <w:rPr>
          <w:rtl/>
        </w:rPr>
        <w:t xml:space="preserve"> מועברים לקומות גבוהות או לאזורים מוגנים, וחומרים מסוכנים מאובטחים במיוחד למניעת דליפה במקרה של מגע עם מים</w:t>
      </w:r>
      <w:r w:rsidRPr="00B83C92">
        <w:rPr>
          <w:lang w:val="en-GB"/>
        </w:rPr>
        <w:t>.</w:t>
      </w:r>
    </w:p>
    <w:p w14:paraId="304B03F9" w14:textId="77777777" w:rsidR="00B83C92" w:rsidRPr="00B83C92" w:rsidRDefault="00B83C92" w:rsidP="00B83C92">
      <w:pPr>
        <w:rPr>
          <w:lang w:val="en-GB"/>
        </w:rPr>
      </w:pPr>
      <w:r w:rsidRPr="00B83C92">
        <w:rPr>
          <w:rtl/>
        </w:rPr>
        <w:t>במהלך ההצפה, במקרה של חדירת מים לבניין יש לנתק מיידית את החשמל למניעת התחשמלות. יש לבצע פינוי מסודר מהמקומות הנמוכים לקומות עליונות, להבטיח שחומרים מסוכנים לא יבואו במגע עם המים, ולשמור על קשר מתמיד עם מכבי האש, המשטרה וכוחות ההצלה</w:t>
      </w:r>
      <w:r w:rsidRPr="00B83C92">
        <w:rPr>
          <w:lang w:val="en-GB"/>
        </w:rPr>
        <w:t>.</w:t>
      </w:r>
    </w:p>
    <w:p w14:paraId="48E43336" w14:textId="77777777" w:rsidR="00B83C92" w:rsidRPr="00B83C92" w:rsidRDefault="00B83C92" w:rsidP="00B83C92">
      <w:pPr>
        <w:rPr>
          <w:lang w:val="en-GB"/>
        </w:rPr>
      </w:pPr>
      <w:r w:rsidRPr="00B83C92">
        <w:rPr>
          <w:rtl/>
        </w:rPr>
        <w:t>לאחר ההצפה, אסור לחזור למתקן עד לקבלת אישור מפורש מגורמי הבטיחות. יש לבצע בדיקה מקיפה של נזקי המים ומערכות החשמל על ידי מומחים מוסמכים בלבד, לנקות ולהחליף ציוד פגוע לפי הנחיות היצרן, ולבדוק את איכות האוויר במעבדות שנפגעו לפני חזרה לפעילות רגילה</w:t>
      </w:r>
      <w:r w:rsidRPr="00B83C92">
        <w:rPr>
          <w:lang w:val="en-GB"/>
        </w:rPr>
        <w:t>.</w:t>
      </w:r>
    </w:p>
    <w:p w14:paraId="758D6A97" w14:textId="77777777" w:rsidR="00B83C92" w:rsidRPr="00B83C92" w:rsidRDefault="00B83C92" w:rsidP="00B83C92">
      <w:pPr>
        <w:rPr>
          <w:lang w:val="en-GB"/>
        </w:rPr>
      </w:pPr>
      <w:r w:rsidRPr="00B83C92">
        <w:rPr>
          <w:lang w:val="en-GB"/>
        </w:rPr>
        <w:pict w14:anchorId="768C4E8B">
          <v:rect id="_x0000_i1029" style="width:0;height:1.5pt" o:hralign="right" o:hrstd="t" o:hr="t" fillcolor="#a0a0a0" stroked="f"/>
        </w:pict>
      </w:r>
    </w:p>
    <w:p w14:paraId="4D3F2A1A" w14:textId="77777777" w:rsidR="00B83C92" w:rsidRPr="00B83C92" w:rsidRDefault="00B83C92" w:rsidP="00B83C92">
      <w:pPr>
        <w:rPr>
          <w:lang w:val="en-GB"/>
        </w:rPr>
      </w:pPr>
      <w:r w:rsidRPr="00B83C92">
        <w:rPr>
          <w:b/>
          <w:bCs/>
          <w:lang w:val="en-GB"/>
        </w:rPr>
        <w:t>5</w:t>
      </w:r>
      <w:r w:rsidRPr="00B83C92">
        <w:rPr>
          <w:b/>
          <w:bCs/>
          <w:rtl/>
        </w:rPr>
        <w:t>. תפקידים ואחריות</w:t>
      </w:r>
      <w:r w:rsidRPr="00B83C92">
        <w:rPr>
          <w:b/>
          <w:bCs/>
          <w:rtl/>
        </w:rPr>
        <w:br/>
        <w:t>5.1</w:t>
      </w:r>
      <w:r w:rsidRPr="00B83C92">
        <w:rPr>
          <w:b/>
          <w:bCs/>
          <w:lang w:val="en-GB"/>
        </w:rPr>
        <w:t xml:space="preserve"> </w:t>
      </w:r>
      <w:r w:rsidRPr="00B83C92">
        <w:rPr>
          <w:b/>
          <w:bCs/>
          <w:rtl/>
        </w:rPr>
        <w:t>ממונה בטיחות ראשי - ד"ר אבי כהן</w:t>
      </w:r>
      <w:r w:rsidRPr="00B83C92">
        <w:rPr>
          <w:b/>
          <w:bCs/>
          <w:rtl/>
        </w:rPr>
        <w:br/>
      </w:r>
      <w:r w:rsidRPr="00B83C92">
        <w:rPr>
          <w:rtl/>
        </w:rPr>
        <w:t>ד"ר כהן אחראי על הפעלת נוהלי החירום בכל המוסד, תיאום עם גורמי חירום חיצוניים והחלטה על פינוי או סגירת מתקנים. בזמן חירום, הוא מהווה את הגורם המתאם הבכיר עם רשויות החירום ומקבל החלטות אסטרטגיות לגבי המשך התפעול. ניתן להגיע אליו בטלפון 052-1234567 או בנייד חירום 050-9876543</w:t>
      </w:r>
      <w:r w:rsidRPr="00B83C92">
        <w:rPr>
          <w:lang w:val="en-GB"/>
        </w:rPr>
        <w:t>.</w:t>
      </w:r>
    </w:p>
    <w:p w14:paraId="0B3EFC0B" w14:textId="77777777" w:rsidR="00B83C92" w:rsidRPr="00B83C92" w:rsidRDefault="00B83C92" w:rsidP="00B83C92">
      <w:pPr>
        <w:rPr>
          <w:lang w:val="en-GB"/>
        </w:rPr>
      </w:pPr>
      <w:proofErr w:type="gramStart"/>
      <w:r w:rsidRPr="00B83C92">
        <w:rPr>
          <w:b/>
          <w:bCs/>
          <w:lang w:val="en-GB"/>
        </w:rPr>
        <w:lastRenderedPageBreak/>
        <w:t xml:space="preserve">4.2 </w:t>
      </w:r>
      <w:r w:rsidRPr="00B83C92">
        <w:rPr>
          <w:b/>
          <w:bCs/>
          <w:rtl/>
        </w:rPr>
        <w:t xml:space="preserve"> ממונה</w:t>
      </w:r>
      <w:proofErr w:type="gramEnd"/>
      <w:r w:rsidRPr="00B83C92">
        <w:rPr>
          <w:b/>
          <w:bCs/>
          <w:rtl/>
        </w:rPr>
        <w:t xml:space="preserve"> בטיחות מעבדת רון - ד"ר שרה לוי</w:t>
      </w:r>
      <w:r w:rsidRPr="00B83C92">
        <w:rPr>
          <w:b/>
          <w:bCs/>
          <w:rtl/>
        </w:rPr>
        <w:br/>
      </w:r>
      <w:r w:rsidRPr="00B83C92">
        <w:rPr>
          <w:rtl/>
        </w:rPr>
        <w:t>ד"ר לוי אחראית על ביטחון וביטחון צוות המעבדות, בצוע הדרכות והסמכות תקופתיות, ביצוע סריקות בטיחות ראשוניות ודיווח מידי על מצב המעבדות לממונה הבטיחות הראשי. במצב חירום, היא מתאמת עם ראשי המעבדות השונות ומבטיחה ביצוע נוהלי הפינוי. ניתן להגיע אליה בטלפון 052-2345678 או דרך מערכת הקשר הפנימית בשלוחה 234</w:t>
      </w:r>
      <w:r w:rsidRPr="00B83C92">
        <w:rPr>
          <w:lang w:val="en-GB"/>
        </w:rPr>
        <w:t>.</w:t>
      </w:r>
    </w:p>
    <w:p w14:paraId="0A57E83F" w14:textId="77777777" w:rsidR="00B83C92" w:rsidRPr="00B83C92" w:rsidRDefault="00B83C92" w:rsidP="00B83C92">
      <w:pPr>
        <w:rPr>
          <w:lang w:val="en-GB"/>
        </w:rPr>
      </w:pPr>
      <w:proofErr w:type="gramStart"/>
      <w:r w:rsidRPr="00B83C92">
        <w:rPr>
          <w:b/>
          <w:bCs/>
          <w:lang w:val="en-GB"/>
        </w:rPr>
        <w:t>4.3</w:t>
      </w:r>
      <w:r w:rsidRPr="00B83C92">
        <w:rPr>
          <w:b/>
          <w:bCs/>
          <w:rtl/>
        </w:rPr>
        <w:t xml:space="preserve">  כל</w:t>
      </w:r>
      <w:proofErr w:type="gramEnd"/>
      <w:r w:rsidRPr="00B83C92">
        <w:rPr>
          <w:b/>
          <w:bCs/>
          <w:rtl/>
        </w:rPr>
        <w:t xml:space="preserve"> עובד ועמיתי מחקר</w:t>
      </w:r>
      <w:r w:rsidRPr="00B83C92">
        <w:rPr>
          <w:b/>
          <w:bCs/>
          <w:rtl/>
        </w:rPr>
        <w:br/>
      </w:r>
      <w:r w:rsidRPr="00B83C92">
        <w:rPr>
          <w:rtl/>
        </w:rPr>
        <w:t xml:space="preserve">כל עובד במוסד נדרש לדעת ולבצע את </w:t>
      </w:r>
      <w:proofErr w:type="spellStart"/>
      <w:r w:rsidRPr="00B83C92">
        <w:rPr>
          <w:rtl/>
        </w:rPr>
        <w:t>הנוהלים</w:t>
      </w:r>
      <w:proofErr w:type="spellEnd"/>
      <w:r w:rsidRPr="00B83C92">
        <w:rPr>
          <w:rtl/>
        </w:rPr>
        <w:t xml:space="preserve"> האישיים של חירום, לסייע לעמיתים במידת הצורך ולדווח מיידית על סכנות שזוהו. במקרה חירום, על כל עובד להקפיד על ביצוע ההוראות בצורה מסודרת ולסייע בפינוי בטוח של כל הנוכחים במעבדה</w:t>
      </w:r>
      <w:r w:rsidRPr="00B83C92">
        <w:rPr>
          <w:lang w:val="en-GB"/>
        </w:rPr>
        <w:t>.</w:t>
      </w:r>
    </w:p>
    <w:p w14:paraId="69757FD7" w14:textId="77777777" w:rsidR="00B83C92" w:rsidRPr="00B83C92" w:rsidRDefault="00B83C92" w:rsidP="00B83C92">
      <w:pPr>
        <w:rPr>
          <w:lang w:val="en-GB"/>
        </w:rPr>
      </w:pPr>
      <w:r w:rsidRPr="00B83C92">
        <w:rPr>
          <w:lang w:val="en-GB"/>
        </w:rPr>
        <w:pict w14:anchorId="7FAE13C4">
          <v:rect id="_x0000_i1030" style="width:0;height:1.5pt" o:hralign="right" o:hrstd="t" o:hr="t" fillcolor="#a0a0a0" stroked="f"/>
        </w:pict>
      </w:r>
      <w:r w:rsidRPr="00B83C92">
        <w:rPr>
          <w:rtl/>
        </w:rPr>
        <w:t xml:space="preserve">6. </w:t>
      </w:r>
      <w:r w:rsidRPr="00B83C92">
        <w:rPr>
          <w:b/>
          <w:bCs/>
          <w:rtl/>
        </w:rPr>
        <w:t>תחזוקה ועדכון הנוהל</w:t>
      </w:r>
      <w:r w:rsidRPr="00B83C92">
        <w:rPr>
          <w:b/>
          <w:bCs/>
          <w:rtl/>
        </w:rPr>
        <w:br/>
      </w:r>
      <w:r w:rsidRPr="00B83C92">
        <w:rPr>
          <w:rtl/>
        </w:rPr>
        <w:t xml:space="preserve">המוסד מקיים בחני בקיאות אחת לרבעון ותרגילי פינוי כל חצי שנה במטרה לוודא שכל הצוות מכיר את נוהלי החירום ויודע לפעול בהתאם. התרגילים כוללים תרחישי רעידת אדמה והצפה, ומבוצעים בפיקוח ממונה הבטיחות הראשי ובנוכחות נציגי כיבוי אש. לאחר כל תרגיל מתקיימת הפקת לקחים שמטרתה לשפר את </w:t>
      </w:r>
      <w:proofErr w:type="spellStart"/>
      <w:r w:rsidRPr="00B83C92">
        <w:rPr>
          <w:rtl/>
        </w:rPr>
        <w:t>הנוהלים</w:t>
      </w:r>
      <w:proofErr w:type="spellEnd"/>
      <w:r w:rsidRPr="00B83C92">
        <w:rPr>
          <w:rtl/>
        </w:rPr>
        <w:t xml:space="preserve"> ולזהות נקודות חולשה</w:t>
      </w:r>
      <w:r w:rsidRPr="00B83C92">
        <w:rPr>
          <w:lang w:val="en-GB"/>
        </w:rPr>
        <w:t>.</w:t>
      </w:r>
    </w:p>
    <w:p w14:paraId="5BB65BD5" w14:textId="77777777" w:rsidR="00B83C92" w:rsidRPr="00B83C92" w:rsidRDefault="00B83C92" w:rsidP="00B83C92">
      <w:pPr>
        <w:rPr>
          <w:lang w:val="en-GB"/>
        </w:rPr>
      </w:pPr>
      <w:r w:rsidRPr="00B83C92">
        <w:rPr>
          <w:rtl/>
        </w:rPr>
        <w:t>הדרכות בטיחות מתקיימות מדי רבעון לכל הצוות, כולל עובדים חדשים, חוקרים אורחים וסטודנטים. ההדרכות כוללות הכרת הנוהל, שימוש בציוד הבטיחות, וטיפול בחומרים מסוכנים במצב חירום. כל עובד נדרש לעבור בוחן בקיאות שנתי ולהציג תעודת הכשרה עדכנית</w:t>
      </w:r>
      <w:r w:rsidRPr="00B83C92">
        <w:rPr>
          <w:lang w:val="en-GB"/>
        </w:rPr>
        <w:t>.</w:t>
      </w:r>
    </w:p>
    <w:p w14:paraId="7DEDD676" w14:textId="77777777" w:rsidR="00B83C92" w:rsidRPr="00B83C92" w:rsidRDefault="00B83C92" w:rsidP="00B83C92">
      <w:pPr>
        <w:rPr>
          <w:lang w:val="en-GB"/>
        </w:rPr>
      </w:pPr>
      <w:r w:rsidRPr="00B83C92">
        <w:rPr>
          <w:rtl/>
        </w:rPr>
        <w:t>ציוד החירום נבדק מדי חודש על ידי צוות התחזוקה, כולל בדיקת מטפים, ערכות עזרה ראשונה, פנסים ומערכות התרעה. הנוהל עצמו נסקר מדי שנה בידי ועדת בטיחות שכוללת נציגי הצוות מכל המחלקות, ומתעדכן לאחר אירועי חירום או שינויים במבנה המוסד</w:t>
      </w:r>
      <w:r w:rsidRPr="00B83C92">
        <w:rPr>
          <w:lang w:val="en-GB"/>
        </w:rPr>
        <w:t>.</w:t>
      </w:r>
    </w:p>
    <w:p w14:paraId="28497623" w14:textId="77777777" w:rsidR="00B83C92" w:rsidRPr="00B83C92" w:rsidRDefault="00B83C92" w:rsidP="00B83C92">
      <w:pPr>
        <w:rPr>
          <w:lang w:val="en-GB"/>
        </w:rPr>
      </w:pPr>
      <w:r w:rsidRPr="00B83C92">
        <w:rPr>
          <w:lang w:val="en-GB"/>
        </w:rPr>
        <w:pict w14:anchorId="54394E59">
          <v:rect id="_x0000_i1031" style="width:0;height:1.5pt" o:hralign="right" o:hrstd="t" o:hr="t" fillcolor="#a0a0a0" stroked="f"/>
        </w:pict>
      </w:r>
      <w:r w:rsidRPr="00B83C92">
        <w:rPr>
          <w:b/>
          <w:bCs/>
          <w:rtl/>
        </w:rPr>
        <w:t>7. פרטי תקשורת חירום</w:t>
      </w:r>
      <w:r w:rsidRPr="00B83C92">
        <w:rPr>
          <w:b/>
          <w:bCs/>
          <w:rtl/>
        </w:rPr>
        <w:br/>
        <w:t>מוקד חירום פנימי</w:t>
      </w:r>
      <w:r w:rsidRPr="00B83C92">
        <w:rPr>
          <w:lang w:val="en-GB"/>
        </w:rPr>
        <w:t xml:space="preserve">: </w:t>
      </w:r>
      <w:r w:rsidRPr="00B83C92">
        <w:rPr>
          <w:rtl/>
        </w:rPr>
        <w:t>שלוחה 911</w:t>
      </w:r>
      <w:r w:rsidRPr="00B83C92">
        <w:rPr>
          <w:lang w:val="en-GB"/>
        </w:rPr>
        <w:t xml:space="preserve"> (24/7) </w:t>
      </w:r>
      <w:r w:rsidRPr="00B83C92">
        <w:rPr>
          <w:b/>
          <w:bCs/>
          <w:rtl/>
        </w:rPr>
        <w:t>כבאות</w:t>
      </w:r>
      <w:r w:rsidRPr="00B83C92">
        <w:rPr>
          <w:lang w:val="en-GB"/>
        </w:rPr>
        <w:t xml:space="preserve">: 102 </w:t>
      </w:r>
      <w:r w:rsidRPr="00B83C92">
        <w:rPr>
          <w:b/>
          <w:bCs/>
          <w:rtl/>
        </w:rPr>
        <w:t>משטרה</w:t>
      </w:r>
      <w:r w:rsidRPr="00B83C92">
        <w:rPr>
          <w:lang w:val="en-GB"/>
        </w:rPr>
        <w:t>: 100</w:t>
      </w:r>
      <w:r w:rsidRPr="00B83C92">
        <w:rPr>
          <w:rtl/>
        </w:rPr>
        <w:t xml:space="preserve">    </w:t>
      </w:r>
      <w:r w:rsidRPr="00B83C92">
        <w:rPr>
          <w:lang w:val="en-GB"/>
        </w:rPr>
        <w:br/>
      </w:r>
      <w:r w:rsidRPr="00B83C92">
        <w:rPr>
          <w:b/>
          <w:bCs/>
          <w:rtl/>
        </w:rPr>
        <w:t>מגן דוד אדום</w:t>
      </w:r>
      <w:r w:rsidRPr="00B83C92">
        <w:rPr>
          <w:lang w:val="en-GB"/>
        </w:rPr>
        <w:t xml:space="preserve">: 101 </w:t>
      </w:r>
      <w:r w:rsidRPr="00B83C92">
        <w:rPr>
          <w:b/>
          <w:bCs/>
          <w:rtl/>
        </w:rPr>
        <w:t>חברת החשמל</w:t>
      </w:r>
      <w:r w:rsidRPr="00B83C92">
        <w:rPr>
          <w:lang w:val="en-GB"/>
        </w:rPr>
        <w:t xml:space="preserve">: 103 </w:t>
      </w:r>
      <w:r w:rsidRPr="00B83C92">
        <w:rPr>
          <w:b/>
          <w:bCs/>
          <w:rtl/>
        </w:rPr>
        <w:t>מוקד מים</w:t>
      </w:r>
      <w:r w:rsidRPr="00B83C92">
        <w:rPr>
          <w:lang w:val="en-GB"/>
        </w:rPr>
        <w:t>: 04-8500500</w:t>
      </w:r>
      <w:r w:rsidRPr="00B83C92">
        <w:rPr>
          <w:rtl/>
        </w:rPr>
        <w:t xml:space="preserve"> </w:t>
      </w:r>
    </w:p>
    <w:p w14:paraId="2545ED90" w14:textId="77777777" w:rsidR="00B83C92" w:rsidRPr="00B83C92" w:rsidRDefault="00B83C92" w:rsidP="00B83C92">
      <w:pPr>
        <w:rPr>
          <w:lang w:val="en-GB"/>
        </w:rPr>
      </w:pPr>
      <w:r w:rsidRPr="00B83C92">
        <w:rPr>
          <w:b/>
          <w:bCs/>
          <w:rtl/>
        </w:rPr>
        <w:t>ממונה בטיחות ראשי</w:t>
      </w:r>
      <w:r w:rsidRPr="00B83C92">
        <w:rPr>
          <w:lang w:val="en-GB"/>
        </w:rPr>
        <w:t xml:space="preserve">: </w:t>
      </w:r>
      <w:r w:rsidRPr="00B83C92">
        <w:rPr>
          <w:rtl/>
        </w:rPr>
        <w:t xml:space="preserve">ד"ר אבי כהן - 052-1234567 </w:t>
      </w:r>
      <w:r w:rsidRPr="00B83C92">
        <w:rPr>
          <w:b/>
          <w:bCs/>
          <w:rtl/>
        </w:rPr>
        <w:t>סגן ממונה בטיחות</w:t>
      </w:r>
      <w:r w:rsidRPr="00B83C92">
        <w:rPr>
          <w:lang w:val="en-GB"/>
        </w:rPr>
        <w:t xml:space="preserve">: </w:t>
      </w:r>
      <w:r w:rsidRPr="00B83C92">
        <w:rPr>
          <w:rtl/>
        </w:rPr>
        <w:t xml:space="preserve">מר דני רוזן - 053-3456789 </w:t>
      </w:r>
      <w:r w:rsidRPr="00B83C92">
        <w:rPr>
          <w:b/>
          <w:bCs/>
          <w:rtl/>
        </w:rPr>
        <w:t>ממונה מעבדות</w:t>
      </w:r>
      <w:r w:rsidRPr="00B83C92">
        <w:rPr>
          <w:lang w:val="en-GB"/>
        </w:rPr>
        <w:t xml:space="preserve">: </w:t>
      </w:r>
      <w:r w:rsidRPr="00B83C92">
        <w:rPr>
          <w:rtl/>
        </w:rPr>
        <w:t xml:space="preserve">ד"ר שרה לוי - 052-2345678 </w:t>
      </w:r>
      <w:r w:rsidRPr="00B83C92">
        <w:rPr>
          <w:b/>
          <w:bCs/>
          <w:rtl/>
        </w:rPr>
        <w:t>מנהל המוסד</w:t>
      </w:r>
      <w:r w:rsidRPr="00B83C92">
        <w:rPr>
          <w:lang w:val="en-GB"/>
        </w:rPr>
        <w:t xml:space="preserve">: </w:t>
      </w:r>
      <w:r w:rsidRPr="00B83C92">
        <w:rPr>
          <w:rtl/>
        </w:rPr>
        <w:t xml:space="preserve">פרופ' רחל גולד - 050-1122334 </w:t>
      </w:r>
      <w:r w:rsidRPr="00B83C92">
        <w:rPr>
          <w:b/>
          <w:bCs/>
          <w:rtl/>
        </w:rPr>
        <w:t>מנהל תחזוקה</w:t>
      </w:r>
      <w:r w:rsidRPr="00B83C92">
        <w:rPr>
          <w:lang w:val="en-GB"/>
        </w:rPr>
        <w:t xml:space="preserve">: </w:t>
      </w:r>
      <w:r w:rsidRPr="00B83C92">
        <w:rPr>
          <w:rtl/>
        </w:rPr>
        <w:t xml:space="preserve">אבי מזרחי - 054-5566778 </w:t>
      </w:r>
      <w:r w:rsidRPr="00B83C92">
        <w:rPr>
          <w:b/>
          <w:bCs/>
          <w:rtl/>
        </w:rPr>
        <w:t>רופא המוסד</w:t>
      </w:r>
      <w:r w:rsidRPr="00B83C92">
        <w:rPr>
          <w:lang w:val="en-GB"/>
        </w:rPr>
        <w:t xml:space="preserve">: </w:t>
      </w:r>
      <w:r w:rsidRPr="00B83C92">
        <w:rPr>
          <w:rtl/>
        </w:rPr>
        <w:t>ד"ר יוסי בן-דוד - 053-7788990</w:t>
      </w:r>
    </w:p>
    <w:p w14:paraId="06B786C8" w14:textId="77777777" w:rsidR="00B83C92" w:rsidRPr="00B83C92" w:rsidRDefault="00B83C92" w:rsidP="00B83C92">
      <w:pPr>
        <w:rPr>
          <w:lang w:val="en-GB"/>
        </w:rPr>
      </w:pPr>
      <w:r w:rsidRPr="00B83C92">
        <w:rPr>
          <w:b/>
          <w:bCs/>
          <w:rtl/>
        </w:rPr>
        <w:t>מוקד הורים/משפחות (במקרה סטודנטים)</w:t>
      </w:r>
      <w:r w:rsidRPr="00B83C92">
        <w:rPr>
          <w:lang w:val="en-GB"/>
        </w:rPr>
        <w:t xml:space="preserve">: </w:t>
      </w:r>
      <w:r w:rsidRPr="00B83C92">
        <w:rPr>
          <w:rtl/>
        </w:rPr>
        <w:t>שלוחה 500</w:t>
      </w:r>
    </w:p>
    <w:p w14:paraId="49BA557C" w14:textId="77777777" w:rsidR="00B83C92" w:rsidRPr="00B83C92" w:rsidRDefault="00B83C92" w:rsidP="00B83C92">
      <w:pPr>
        <w:rPr>
          <w:lang w:val="en-GB"/>
        </w:rPr>
      </w:pPr>
      <w:r w:rsidRPr="00B83C92">
        <w:rPr>
          <w:lang w:val="en-GB"/>
        </w:rPr>
        <w:pict w14:anchorId="357F87D2">
          <v:rect id="_x0000_i1032" style="width:0;height:1.5pt" o:hralign="right" o:hrstd="t" o:hr="t" fillcolor="#a0a0a0" stroked="f"/>
        </w:pict>
      </w:r>
    </w:p>
    <w:p w14:paraId="0C6E640C" w14:textId="77777777" w:rsidR="00B83C92" w:rsidRPr="00B83C92" w:rsidRDefault="00B83C92" w:rsidP="00B83C92">
      <w:pPr>
        <w:rPr>
          <w:lang w:val="en-GB"/>
        </w:rPr>
      </w:pPr>
      <w:r w:rsidRPr="00B83C92">
        <w:rPr>
          <w:i/>
          <w:iCs/>
          <w:rtl/>
        </w:rPr>
        <w:t>הנוהל נכנס לתוקף מתאריך</w:t>
      </w:r>
      <w:r w:rsidRPr="00B83C92">
        <w:rPr>
          <w:i/>
          <w:iCs/>
          <w:lang w:val="en-GB"/>
        </w:rPr>
        <w:t>: ______</w:t>
      </w:r>
      <w:r w:rsidRPr="00B83C92">
        <w:rPr>
          <w:i/>
          <w:iCs/>
          <w:rtl/>
        </w:rPr>
        <w:t>1.5.25</w:t>
      </w:r>
      <w:r w:rsidRPr="00B83C92">
        <w:rPr>
          <w:i/>
          <w:iCs/>
          <w:lang w:val="en-GB"/>
        </w:rPr>
        <w:t>_</w:t>
      </w:r>
      <w:r w:rsidRPr="00B83C92">
        <w:rPr>
          <w:lang w:val="en-GB"/>
        </w:rPr>
        <w:t xml:space="preserve"> </w:t>
      </w:r>
      <w:r w:rsidRPr="00B83C92">
        <w:rPr>
          <w:i/>
          <w:iCs/>
          <w:rtl/>
        </w:rPr>
        <w:t>הנוהל נסקר לאחרונה בתאריך</w:t>
      </w:r>
      <w:r w:rsidRPr="00B83C92">
        <w:rPr>
          <w:i/>
          <w:iCs/>
          <w:lang w:val="en-GB"/>
        </w:rPr>
        <w:t>:</w:t>
      </w:r>
      <w:r w:rsidRPr="00B83C92">
        <w:rPr>
          <w:i/>
          <w:iCs/>
          <w:rtl/>
        </w:rPr>
        <w:t xml:space="preserve"> 30.4.25 מועד הסקירה הבאה</w:t>
      </w:r>
      <w:r w:rsidRPr="00B83C92">
        <w:rPr>
          <w:i/>
          <w:iCs/>
          <w:lang w:val="en-GB"/>
        </w:rPr>
        <w:t>:</w:t>
      </w:r>
      <w:r w:rsidRPr="00B83C92">
        <w:rPr>
          <w:i/>
          <w:iCs/>
          <w:rtl/>
        </w:rPr>
        <w:t xml:space="preserve"> 30.7.25</w:t>
      </w:r>
      <w:r w:rsidRPr="00B83C92">
        <w:rPr>
          <w:i/>
          <w:iCs/>
          <w:lang w:val="en-GB"/>
        </w:rPr>
        <w:t xml:space="preserve"> _______</w:t>
      </w:r>
    </w:p>
    <w:p w14:paraId="0200C65A" w14:textId="77777777" w:rsidR="00B83C92" w:rsidRPr="00B83C92" w:rsidRDefault="00B83C92" w:rsidP="00B83C92">
      <w:pPr>
        <w:rPr>
          <w:lang w:val="en-GB"/>
        </w:rPr>
      </w:pPr>
      <w:r w:rsidRPr="00B83C92">
        <w:rPr>
          <w:lang w:val="en-GB"/>
        </w:rPr>
        <w:pict w14:anchorId="788A54CF">
          <v:rect id="_x0000_i1033" style="width:0;height:1.5pt" o:hralign="right" o:hrstd="t" o:hr="t" fillcolor="#a0a0a0" stroked="f"/>
        </w:pict>
      </w:r>
    </w:p>
    <w:tbl>
      <w:tblPr>
        <w:bidiVisual/>
        <w:tblW w:w="22118" w:type="dxa"/>
        <w:tblInd w:w="-518" w:type="dxa"/>
        <w:tblLook w:val="04A0" w:firstRow="1" w:lastRow="0" w:firstColumn="1" w:lastColumn="0" w:noHBand="0" w:noVBand="1"/>
      </w:tblPr>
      <w:tblGrid>
        <w:gridCol w:w="15638"/>
        <w:gridCol w:w="1080"/>
        <w:gridCol w:w="1080"/>
        <w:gridCol w:w="1080"/>
        <w:gridCol w:w="1080"/>
        <w:gridCol w:w="1080"/>
        <w:gridCol w:w="1080"/>
      </w:tblGrid>
      <w:tr w:rsidR="00B83C92" w:rsidRPr="00B83C92" w14:paraId="240336AE" w14:textId="77777777" w:rsidTr="00184319">
        <w:trPr>
          <w:trHeight w:val="285"/>
        </w:trPr>
        <w:tc>
          <w:tcPr>
            <w:tcW w:w="15638" w:type="dxa"/>
            <w:tcBorders>
              <w:top w:val="nil"/>
              <w:left w:val="nil"/>
              <w:bottom w:val="nil"/>
              <w:right w:val="nil"/>
            </w:tcBorders>
            <w:noWrap/>
            <w:vAlign w:val="bottom"/>
          </w:tcPr>
          <w:p w14:paraId="72C621B1"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36076995" w14:textId="77777777" w:rsidR="00B83C92" w:rsidRPr="00B83C92" w:rsidRDefault="00B83C92" w:rsidP="00B83C92">
            <w:pPr>
              <w:rPr>
                <w:rtl/>
              </w:rPr>
            </w:pPr>
          </w:p>
        </w:tc>
        <w:tc>
          <w:tcPr>
            <w:tcW w:w="1080" w:type="dxa"/>
            <w:tcBorders>
              <w:top w:val="nil"/>
              <w:left w:val="nil"/>
              <w:bottom w:val="nil"/>
              <w:right w:val="nil"/>
            </w:tcBorders>
            <w:noWrap/>
            <w:vAlign w:val="bottom"/>
            <w:hideMark/>
          </w:tcPr>
          <w:p w14:paraId="556A4149"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68576449"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7BAF2B65"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0A20AA98"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23D4816" w14:textId="77777777" w:rsidR="00B83C92" w:rsidRPr="00B83C92" w:rsidRDefault="00B83C92" w:rsidP="00B83C92">
            <w:pPr>
              <w:rPr>
                <w:lang w:val="en-GB"/>
              </w:rPr>
            </w:pPr>
          </w:p>
        </w:tc>
      </w:tr>
      <w:tr w:rsidR="00B83C92" w:rsidRPr="00B83C92" w14:paraId="39EAAD1B" w14:textId="77777777" w:rsidTr="00184319">
        <w:trPr>
          <w:trHeight w:val="285"/>
        </w:trPr>
        <w:tc>
          <w:tcPr>
            <w:tcW w:w="18878" w:type="dxa"/>
            <w:gridSpan w:val="4"/>
            <w:tcBorders>
              <w:top w:val="nil"/>
              <w:left w:val="nil"/>
              <w:bottom w:val="nil"/>
              <w:right w:val="nil"/>
            </w:tcBorders>
            <w:noWrap/>
            <w:vAlign w:val="bottom"/>
          </w:tcPr>
          <w:p w14:paraId="2A557E04"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2CD019E6" w14:textId="77777777" w:rsidR="00B83C92" w:rsidRPr="00B83C92" w:rsidRDefault="00B83C92" w:rsidP="00B83C92">
            <w:pPr>
              <w:rPr>
                <w:rtl/>
              </w:rPr>
            </w:pPr>
          </w:p>
        </w:tc>
        <w:tc>
          <w:tcPr>
            <w:tcW w:w="1080" w:type="dxa"/>
            <w:tcBorders>
              <w:top w:val="nil"/>
              <w:left w:val="nil"/>
              <w:bottom w:val="nil"/>
              <w:right w:val="nil"/>
            </w:tcBorders>
            <w:noWrap/>
            <w:vAlign w:val="bottom"/>
            <w:hideMark/>
          </w:tcPr>
          <w:p w14:paraId="467E5A1B" w14:textId="77777777" w:rsidR="00B83C92" w:rsidRPr="00B83C92" w:rsidRDefault="00B83C92" w:rsidP="00B83C92">
            <w:pPr>
              <w:rPr>
                <w:lang w:val="en-GB"/>
              </w:rPr>
            </w:pPr>
          </w:p>
        </w:tc>
        <w:tc>
          <w:tcPr>
            <w:tcW w:w="1080" w:type="dxa"/>
            <w:tcBorders>
              <w:top w:val="nil"/>
              <w:left w:val="nil"/>
              <w:bottom w:val="nil"/>
              <w:right w:val="nil"/>
            </w:tcBorders>
            <w:noWrap/>
            <w:vAlign w:val="bottom"/>
            <w:hideMark/>
          </w:tcPr>
          <w:p w14:paraId="78539792" w14:textId="77777777" w:rsidR="00B83C92" w:rsidRPr="00B83C92" w:rsidRDefault="00B83C92" w:rsidP="00B83C92">
            <w:pPr>
              <w:rPr>
                <w:lang w:val="en-GB"/>
              </w:rPr>
            </w:pPr>
          </w:p>
        </w:tc>
      </w:tr>
    </w:tbl>
    <w:p w14:paraId="6683375C" w14:textId="77777777" w:rsidR="00B83C92" w:rsidRDefault="00B83C92"/>
    <w:sectPr w:rsidR="00B83C92" w:rsidSect="00D235D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85B57"/>
    <w:multiLevelType w:val="multilevel"/>
    <w:tmpl w:val="DAE8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971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92"/>
    <w:rsid w:val="009E47D1"/>
    <w:rsid w:val="00B83C92"/>
    <w:rsid w:val="00D235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8F573"/>
  <w15:chartTrackingRefBased/>
  <w15:docId w15:val="{ED6ECC41-490E-4DFE-B4A3-AE55A390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83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83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83C9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83C9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83C9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83C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3C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3C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3C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83C92"/>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83C92"/>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83C92"/>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83C92"/>
    <w:rPr>
      <w:rFonts w:eastAsiaTheme="majorEastAsia" w:cstheme="majorBidi"/>
      <w:i/>
      <w:iCs/>
      <w:color w:val="2F5496" w:themeColor="accent1" w:themeShade="BF"/>
    </w:rPr>
  </w:style>
  <w:style w:type="character" w:customStyle="1" w:styleId="50">
    <w:name w:val="כותרת 5 תו"/>
    <w:basedOn w:val="a0"/>
    <w:link w:val="5"/>
    <w:uiPriority w:val="9"/>
    <w:semiHidden/>
    <w:rsid w:val="00B83C92"/>
    <w:rPr>
      <w:rFonts w:eastAsiaTheme="majorEastAsia" w:cstheme="majorBidi"/>
      <w:color w:val="2F5496" w:themeColor="accent1" w:themeShade="BF"/>
    </w:rPr>
  </w:style>
  <w:style w:type="character" w:customStyle="1" w:styleId="60">
    <w:name w:val="כותרת 6 תו"/>
    <w:basedOn w:val="a0"/>
    <w:link w:val="6"/>
    <w:uiPriority w:val="9"/>
    <w:semiHidden/>
    <w:rsid w:val="00B83C92"/>
    <w:rPr>
      <w:rFonts w:eastAsiaTheme="majorEastAsia" w:cstheme="majorBidi"/>
      <w:i/>
      <w:iCs/>
      <w:color w:val="595959" w:themeColor="text1" w:themeTint="A6"/>
    </w:rPr>
  </w:style>
  <w:style w:type="character" w:customStyle="1" w:styleId="70">
    <w:name w:val="כותרת 7 תו"/>
    <w:basedOn w:val="a0"/>
    <w:link w:val="7"/>
    <w:uiPriority w:val="9"/>
    <w:semiHidden/>
    <w:rsid w:val="00B83C92"/>
    <w:rPr>
      <w:rFonts w:eastAsiaTheme="majorEastAsia" w:cstheme="majorBidi"/>
      <w:color w:val="595959" w:themeColor="text1" w:themeTint="A6"/>
    </w:rPr>
  </w:style>
  <w:style w:type="character" w:customStyle="1" w:styleId="80">
    <w:name w:val="כותרת 8 תו"/>
    <w:basedOn w:val="a0"/>
    <w:link w:val="8"/>
    <w:uiPriority w:val="9"/>
    <w:semiHidden/>
    <w:rsid w:val="00B83C92"/>
    <w:rPr>
      <w:rFonts w:eastAsiaTheme="majorEastAsia" w:cstheme="majorBidi"/>
      <w:i/>
      <w:iCs/>
      <w:color w:val="272727" w:themeColor="text1" w:themeTint="D8"/>
    </w:rPr>
  </w:style>
  <w:style w:type="character" w:customStyle="1" w:styleId="90">
    <w:name w:val="כותרת 9 תו"/>
    <w:basedOn w:val="a0"/>
    <w:link w:val="9"/>
    <w:uiPriority w:val="9"/>
    <w:semiHidden/>
    <w:rsid w:val="00B83C92"/>
    <w:rPr>
      <w:rFonts w:eastAsiaTheme="majorEastAsia" w:cstheme="majorBidi"/>
      <w:color w:val="272727" w:themeColor="text1" w:themeTint="D8"/>
    </w:rPr>
  </w:style>
  <w:style w:type="paragraph" w:styleId="a3">
    <w:name w:val="Title"/>
    <w:basedOn w:val="a"/>
    <w:next w:val="a"/>
    <w:link w:val="a4"/>
    <w:uiPriority w:val="10"/>
    <w:qFormat/>
    <w:rsid w:val="00B83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83C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C9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83C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83C92"/>
    <w:pPr>
      <w:spacing w:before="160"/>
      <w:jc w:val="center"/>
    </w:pPr>
    <w:rPr>
      <w:i/>
      <w:iCs/>
      <w:color w:val="404040" w:themeColor="text1" w:themeTint="BF"/>
    </w:rPr>
  </w:style>
  <w:style w:type="character" w:customStyle="1" w:styleId="a8">
    <w:name w:val="ציטוט תו"/>
    <w:basedOn w:val="a0"/>
    <w:link w:val="a7"/>
    <w:uiPriority w:val="29"/>
    <w:rsid w:val="00B83C92"/>
    <w:rPr>
      <w:i/>
      <w:iCs/>
      <w:color w:val="404040" w:themeColor="text1" w:themeTint="BF"/>
    </w:rPr>
  </w:style>
  <w:style w:type="paragraph" w:styleId="a9">
    <w:name w:val="List Paragraph"/>
    <w:basedOn w:val="a"/>
    <w:uiPriority w:val="34"/>
    <w:qFormat/>
    <w:rsid w:val="00B83C92"/>
    <w:pPr>
      <w:ind w:left="720"/>
      <w:contextualSpacing/>
    </w:pPr>
  </w:style>
  <w:style w:type="character" w:styleId="aa">
    <w:name w:val="Intense Emphasis"/>
    <w:basedOn w:val="a0"/>
    <w:uiPriority w:val="21"/>
    <w:qFormat/>
    <w:rsid w:val="00B83C92"/>
    <w:rPr>
      <w:i/>
      <w:iCs/>
      <w:color w:val="2F5496" w:themeColor="accent1" w:themeShade="BF"/>
    </w:rPr>
  </w:style>
  <w:style w:type="paragraph" w:styleId="ab">
    <w:name w:val="Intense Quote"/>
    <w:basedOn w:val="a"/>
    <w:next w:val="a"/>
    <w:link w:val="ac"/>
    <w:uiPriority w:val="30"/>
    <w:qFormat/>
    <w:rsid w:val="00B83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83C92"/>
    <w:rPr>
      <w:i/>
      <w:iCs/>
      <w:color w:val="2F5496" w:themeColor="accent1" w:themeShade="BF"/>
    </w:rPr>
  </w:style>
  <w:style w:type="character" w:styleId="ad">
    <w:name w:val="Intense Reference"/>
    <w:basedOn w:val="a0"/>
    <w:uiPriority w:val="32"/>
    <w:qFormat/>
    <w:rsid w:val="00B83C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2957</Words>
  <Characters>15204</Characters>
  <Application>Microsoft Office Word</Application>
  <DocSecurity>0</DocSecurity>
  <Lines>563</Lines>
  <Paragraphs>232</Paragraphs>
  <ScaleCrop>false</ScaleCrop>
  <Company/>
  <LinksUpToDate>false</LinksUpToDate>
  <CharactersWithSpaces>17929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Efrat Netzer Weiss</dc:creator>
  <cp:keywords/>
  <dc:description/>
  <cp:lastModifiedBy>Efrat Netzer Weiss</cp:lastModifiedBy>
  <cp:revision>1</cp:revision>
  <dcterms:created xsi:type="dcterms:W3CDTF">2026-03-31T16:39:00Z</dcterms:created>
  <dcterms:modified xsi:type="dcterms:W3CDTF">2026-03-31T16:45:00Z</dcterms:modified>
</cp:coreProperties>
</file>