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2021536875"/>
        <w:docPartObj>
          <w:docPartGallery w:val="Cover Pages"/>
          <w:docPartUnique/>
        </w:docPartObj>
      </w:sdtPr>
      <w:sdtEndPr>
        <w:rPr>
          <w:rFonts w:eastAsia="Times New Roman"/>
        </w:rPr>
      </w:sdtEndPr>
      <w:sdtContent>
        <w:p w14:paraId="1EDB8E8B" w14:textId="4ACAA88A" w:rsidR="00E8280C" w:rsidRPr="00C57999" w:rsidRDefault="00DA1EC0" w:rsidP="00C57999">
          <w:pPr>
            <w:jc w:val="both"/>
            <w:rPr>
              <w:rFonts w:ascii="Times New Roman" w:hAnsi="Times New Roman" w:cs="Times New Roman"/>
            </w:rPr>
          </w:pPr>
          <w:r w:rsidRPr="00CD6036">
            <w:rPr>
              <w:rFonts w:ascii="Times New Roman" w:eastAsia="Times New Roman" w:hAnsi="Times New Roman" w:cs="Times New Roman"/>
              <w:b/>
            </w:rPr>
            <w:t>I</w:t>
          </w:r>
          <w:r w:rsidR="004D09C8" w:rsidRPr="00CD6036">
            <w:rPr>
              <w:rFonts w:ascii="Times New Roman" w:eastAsia="Times New Roman" w:hAnsi="Times New Roman" w:cs="Times New Roman"/>
              <w:b/>
            </w:rPr>
            <w:t>ntroducción</w:t>
          </w:r>
        </w:p>
        <w:p w14:paraId="7449A3EB" w14:textId="591495FD" w:rsidR="004B0295" w:rsidRPr="00CD6036" w:rsidRDefault="00DA1EC0" w:rsidP="00C9397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El envejecimiento demográfico es un proceso emergente y acelerado que se inscribe en un contexto de profundos cambios en la institución familiar, cuyo número de miembros disminuye progresivamente (Montoya-Arce et al. 2016).</w:t>
          </w:r>
          <w:r w:rsidR="004E48C1" w:rsidRPr="00CD6036">
            <w:rPr>
              <w:rFonts w:ascii="Times New Roman" w:eastAsia="Times New Roman" w:hAnsi="Times New Roman" w:cs="Times New Roman"/>
              <w:bCs/>
            </w:rPr>
            <w:t xml:space="preserve"> </w:t>
          </w:r>
          <w:r w:rsidR="00161315" w:rsidRPr="00CD6036">
            <w:rPr>
              <w:rFonts w:ascii="Times New Roman" w:eastAsia="Times New Roman" w:hAnsi="Times New Roman" w:cs="Times New Roman"/>
              <w:bCs/>
            </w:rPr>
            <w:t xml:space="preserve">Como destacó Montoya-Arce et al. (2016), se trata del resultado de la transición demográfica marcada por la disminución de la fecundidad y la mortalidad, lo que tiene como consecuencia el aumento de la esperanza de vida. </w:t>
          </w:r>
          <w:r w:rsidR="008B49AB" w:rsidRPr="00CD6036">
            <w:rPr>
              <w:rFonts w:ascii="Times New Roman" w:eastAsia="Times New Roman" w:hAnsi="Times New Roman" w:cs="Times New Roman"/>
              <w:bCs/>
            </w:rPr>
            <w:t>Según algunos expertos, serán los países en desarrollo, como México, los que experimentarán un mayor crecimiento del envejecimiento de la población en el siglo XXI, lo que agravará la situación de pobreza y marginación de las personas mayores en estos países</w:t>
          </w:r>
          <w:r w:rsidR="00E8280C" w:rsidRPr="00CD6036">
            <w:rPr>
              <w:rFonts w:ascii="Times New Roman" w:eastAsia="Times New Roman" w:hAnsi="Times New Roman" w:cs="Times New Roman"/>
              <w:bCs/>
            </w:rPr>
            <w:t xml:space="preserve"> </w:t>
          </w:r>
          <w:r w:rsidR="00377EEE" w:rsidRPr="00CD6036">
            <w:rPr>
              <w:rFonts w:ascii="Times New Roman" w:eastAsia="Times New Roman" w:hAnsi="Times New Roman" w:cs="Times New Roman"/>
              <w:bCs/>
            </w:rPr>
            <w:t>(Sánchez, 2007).</w:t>
          </w:r>
          <w:r w:rsidR="005F5BE4" w:rsidRPr="00CD6036">
            <w:rPr>
              <w:rFonts w:ascii="Times New Roman" w:eastAsia="Times New Roman" w:hAnsi="Times New Roman" w:cs="Times New Roman"/>
              <w:bCs/>
            </w:rPr>
            <w:t xml:space="preserve"> </w:t>
          </w:r>
          <w:r w:rsidR="00C74797" w:rsidRPr="00CD6036">
            <w:rPr>
              <w:rFonts w:ascii="Times New Roman" w:eastAsia="Times New Roman" w:hAnsi="Times New Roman" w:cs="Times New Roman"/>
              <w:bCs/>
            </w:rPr>
            <w:t>También, en algunos países desarrollados, las transformaciones se reflejan en las pirámides poblacionales. En el caso de México, las proyecciones demográficas indican que, para 2050, uno de cada cuatro mexicanos tendrá más de 65 años, pasando de los siete millones de personas mayores a entre 27 y 32 millones (Treviño-Siller et al. 2006).</w:t>
          </w:r>
        </w:p>
        <w:p w14:paraId="36CC34C9" w14:textId="43C6F6E7" w:rsidR="00B364D6" w:rsidRPr="00FB2A40" w:rsidRDefault="005E63C0" w:rsidP="00C93979">
          <w:pPr>
            <w:spacing w:line="360" w:lineRule="auto"/>
            <w:jc w:val="both"/>
            <w:rPr>
              <w:rFonts w:ascii="Times New Roman" w:eastAsia="Times New Roman" w:hAnsi="Times New Roman" w:cs="Times New Roman"/>
              <w:bCs/>
            </w:rPr>
          </w:pPr>
          <w:r w:rsidRPr="00FB2A40">
            <w:rPr>
              <w:rFonts w:ascii="Times New Roman" w:eastAsia="Times New Roman" w:hAnsi="Times New Roman" w:cs="Times New Roman"/>
              <w:bCs/>
            </w:rPr>
            <w:t>De acuerdo con</w:t>
          </w:r>
          <w:r w:rsidR="005F5BE4" w:rsidRPr="00FB2A40">
            <w:rPr>
              <w:rFonts w:ascii="Times New Roman" w:eastAsia="Times New Roman" w:hAnsi="Times New Roman" w:cs="Times New Roman"/>
              <w:bCs/>
            </w:rPr>
            <w:t xml:space="preserve"> Treviño-Siller et al. (2006) este proceso es una realidad en el mundo y está acompañado de cambios con consecuencias estructurales, económicas y sociales sin precedentes en la historia de la humanidad. </w:t>
          </w:r>
          <w:r w:rsidR="00766266" w:rsidRPr="00FB2A40">
            <w:rPr>
              <w:rFonts w:ascii="Times New Roman" w:eastAsia="Times New Roman" w:hAnsi="Times New Roman" w:cs="Times New Roman"/>
              <w:bCs/>
            </w:rPr>
            <w:t xml:space="preserve">En este sentido, </w:t>
          </w:r>
          <w:r w:rsidR="00034DBD" w:rsidRPr="00FB2A40">
            <w:rPr>
              <w:rFonts w:ascii="Times New Roman" w:eastAsia="Times New Roman" w:hAnsi="Times New Roman" w:cs="Times New Roman"/>
              <w:bCs/>
            </w:rPr>
            <w:t>Martínez Girón (2024) destaca que el envejecimiento en las zonas rurales plantea retos únicos que pued</w:t>
          </w:r>
          <w:r w:rsidR="004B0295" w:rsidRPr="00FB2A40">
            <w:rPr>
              <w:rFonts w:ascii="Times New Roman" w:eastAsia="Times New Roman" w:hAnsi="Times New Roman" w:cs="Times New Roman"/>
              <w:bCs/>
            </w:rPr>
            <w:t>en afectar negativamente</w:t>
          </w:r>
          <w:r w:rsidR="00034DBD" w:rsidRPr="00FB2A40">
            <w:rPr>
              <w:rFonts w:ascii="Times New Roman" w:eastAsia="Times New Roman" w:hAnsi="Times New Roman" w:cs="Times New Roman"/>
              <w:bCs/>
            </w:rPr>
            <w:t xml:space="preserve"> la calidad de vida en este segmento de la población, ya que el acceso a los servicios de salud necesarios es más limitado, la oferta de actividades recreativas es escasa, la educación en materia de salud es inadecuada y las oportunidades de interacción social son escasas</w:t>
          </w:r>
          <w:r w:rsidR="00AB155D" w:rsidRPr="00FB2A40">
            <w:rPr>
              <w:rFonts w:ascii="Times New Roman" w:eastAsia="Times New Roman" w:hAnsi="Times New Roman" w:cs="Times New Roman"/>
              <w:bCs/>
            </w:rPr>
            <w:t xml:space="preserve">. </w:t>
          </w:r>
        </w:p>
        <w:p w14:paraId="1815AA85" w14:textId="457F3B77" w:rsidR="00B63041" w:rsidRPr="00CD6036" w:rsidRDefault="003F5A6C" w:rsidP="00C93979">
          <w:pPr>
            <w:spacing w:line="360" w:lineRule="auto"/>
            <w:jc w:val="both"/>
            <w:rPr>
              <w:rFonts w:ascii="Times New Roman" w:eastAsia="Times New Roman" w:hAnsi="Times New Roman" w:cs="Times New Roman"/>
              <w:bCs/>
            </w:rPr>
          </w:pPr>
          <w:r w:rsidRPr="00FB2A40">
            <w:rPr>
              <w:rFonts w:ascii="Times New Roman" w:eastAsia="Times New Roman" w:hAnsi="Times New Roman" w:cs="Times New Roman"/>
              <w:bCs/>
            </w:rPr>
            <w:t>Además,</w:t>
          </w:r>
          <w:r w:rsidR="00AB155D" w:rsidRPr="00FB2A40">
            <w:rPr>
              <w:rFonts w:ascii="Times New Roman" w:eastAsia="Times New Roman" w:hAnsi="Times New Roman" w:cs="Times New Roman"/>
              <w:bCs/>
            </w:rPr>
            <w:t xml:space="preserve"> </w:t>
          </w:r>
          <w:r w:rsidRPr="00FB2A40">
            <w:rPr>
              <w:rFonts w:ascii="Times New Roman" w:eastAsia="Times New Roman" w:hAnsi="Times New Roman" w:cs="Times New Roman"/>
              <w:bCs/>
            </w:rPr>
            <w:t>en las comunidades rurales, los habitantes trabajan en su mayoría en el sector informal, en actividades marginales, y son considerados pobres y muy marginados (Treviño-Siller et al. 2006). Los autores continúan diciendo que las viviendas de estas comunidades se caracterizan, en su mayoría, por construcciones con materiales frágiles y suelos de tierra batida, aunque algunas tienen suelo de cemento; los techos son principalmente de tejas, chapa de amianto o cartón, y algunas casas son de ladrillo con techos de hormigón y otros tipos de materiales que van desde cañas hasta chapas u otros residuos industriales, con techos de palma o paja de arroz marginados (Treviño-Siller et al. 2006). Muchos hogares carecen de</w:t>
          </w:r>
          <w:r w:rsidRPr="00CD6036">
            <w:rPr>
              <w:rFonts w:ascii="Times New Roman" w:eastAsia="Times New Roman" w:hAnsi="Times New Roman" w:cs="Times New Roman"/>
              <w:bCs/>
            </w:rPr>
            <w:t xml:space="preserve"> servicios básicos como agua potable, drenaje o atención médica (Treviño-Siller et al. 2006).</w:t>
          </w:r>
          <w:r w:rsidR="00E308EA" w:rsidRPr="00CD6036">
            <w:rPr>
              <w:rFonts w:ascii="Times New Roman" w:eastAsia="Times New Roman" w:hAnsi="Times New Roman" w:cs="Times New Roman"/>
              <w:bCs/>
            </w:rPr>
            <w:t xml:space="preserve"> </w:t>
          </w:r>
          <w:r w:rsidR="00E308EA" w:rsidRPr="00CD6036">
            <w:rPr>
              <w:rFonts w:ascii="Times New Roman" w:eastAsia="Times New Roman" w:hAnsi="Times New Roman" w:cs="Times New Roman"/>
              <w:bCs/>
            </w:rPr>
            <w:lastRenderedPageBreak/>
            <w:t>De este modo, los cambios en el territorio que responden a las necesidades de las comunidades se traducen en mejores oportunidades y capacidades de desarrollo para los miembros, lo que finalmente se traduce en una mejora de la calidad de vida de los habitantes (Estrada, 2013)</w:t>
          </w:r>
          <w:r w:rsidR="000A15AC" w:rsidRPr="00CD6036">
            <w:rPr>
              <w:rFonts w:ascii="Times New Roman" w:eastAsia="Times New Roman" w:hAnsi="Times New Roman" w:cs="Times New Roman"/>
              <w:bCs/>
            </w:rPr>
            <w:t>.</w:t>
          </w:r>
        </w:p>
        <w:p w14:paraId="70091A01" w14:textId="25CCE2A8" w:rsidR="00ED0502" w:rsidRDefault="00424E3F" w:rsidP="00C9397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La literatura contemporánea coincide en que deben tenerse en cuenta dimensiones como la salud, la educación, el empleo, el ocio, las relaciones sociales, la seguridad, el medio ambiente, el paisaje y el patrimonio cultural (Beltramo et al. 2024).</w:t>
          </w:r>
          <w:r w:rsidR="000A15AC" w:rsidRPr="00CD6036">
            <w:rPr>
              <w:rFonts w:ascii="Times New Roman" w:eastAsia="Times New Roman" w:hAnsi="Times New Roman" w:cs="Times New Roman"/>
              <w:bCs/>
            </w:rPr>
            <w:t xml:space="preserve"> En su parte,</w:t>
          </w:r>
          <w:r w:rsidRPr="00CD6036">
            <w:rPr>
              <w:rFonts w:ascii="Times New Roman" w:eastAsia="Times New Roman" w:hAnsi="Times New Roman" w:cs="Times New Roman"/>
              <w:bCs/>
            </w:rPr>
            <w:t xml:space="preserve"> </w:t>
          </w:r>
          <w:r w:rsidR="005E63C0" w:rsidRPr="00CD6036">
            <w:rPr>
              <w:rFonts w:ascii="Times New Roman" w:eastAsia="Times New Roman" w:hAnsi="Times New Roman" w:cs="Times New Roman"/>
              <w:bCs/>
            </w:rPr>
            <w:t>Soria</w:t>
          </w:r>
          <w:r w:rsidR="00B63041" w:rsidRPr="00CD6036">
            <w:rPr>
              <w:rFonts w:ascii="Times New Roman" w:eastAsia="Times New Roman" w:hAnsi="Times New Roman" w:cs="Times New Roman"/>
              <w:bCs/>
            </w:rPr>
            <w:t xml:space="preserve"> Romero y Montoya Arce (2017) analizaron los factores que influyen en la </w:t>
          </w:r>
          <w:r w:rsidR="00B63041" w:rsidRPr="00FD6E1D">
            <w:rPr>
              <w:rFonts w:ascii="Times New Roman" w:eastAsia="Times New Roman" w:hAnsi="Times New Roman" w:cs="Times New Roman"/>
              <w:bCs/>
            </w:rPr>
            <w:t>calidad de vida</w:t>
          </w:r>
          <w:r w:rsidR="00B63041" w:rsidRPr="00CD6036">
            <w:rPr>
              <w:rFonts w:ascii="Times New Roman" w:eastAsia="Times New Roman" w:hAnsi="Times New Roman" w:cs="Times New Roman"/>
              <w:bCs/>
            </w:rPr>
            <w:t xml:space="preserve"> de los adultos mayores en el Estado de México, destacando que es la unión de diferentes factores como la vivienda, los bienes, el ingreso, el vestido, la alimentación, la educación, el apoyo social percibido e incluso variables sociodemográficas como la edad y el sexo.</w:t>
          </w:r>
          <w:r w:rsidR="00064B9A">
            <w:rPr>
              <w:rFonts w:ascii="Times New Roman" w:eastAsia="Times New Roman" w:hAnsi="Times New Roman" w:cs="Times New Roman"/>
              <w:bCs/>
            </w:rPr>
            <w:t xml:space="preserve"> </w:t>
          </w:r>
        </w:p>
        <w:p w14:paraId="3CA12D3E" w14:textId="01EF4D23" w:rsidR="00FD6E1D" w:rsidRPr="00CD6036" w:rsidRDefault="00FD6E1D" w:rsidP="00C93979">
          <w:pPr>
            <w:spacing w:line="360" w:lineRule="auto"/>
            <w:jc w:val="both"/>
            <w:rPr>
              <w:rFonts w:ascii="Times New Roman" w:eastAsia="Times New Roman" w:hAnsi="Times New Roman" w:cs="Times New Roman"/>
              <w:bCs/>
            </w:rPr>
          </w:pPr>
          <w:r w:rsidRPr="00FD6E1D">
            <w:rPr>
              <w:rFonts w:ascii="Times New Roman" w:eastAsia="Times New Roman" w:hAnsi="Times New Roman" w:cs="Times New Roman"/>
              <w:bCs/>
            </w:rPr>
            <w:t xml:space="preserve">Este documento se estructura en varios apartados: en primer lugar, se presenta </w:t>
          </w:r>
          <w:r>
            <w:rPr>
              <w:rFonts w:ascii="Times New Roman" w:eastAsia="Times New Roman" w:hAnsi="Times New Roman" w:cs="Times New Roman"/>
              <w:bCs/>
            </w:rPr>
            <w:t>una revisión de la literatura seguido con el objetivo y la pregunta de investigación</w:t>
          </w:r>
          <w:r w:rsidRPr="00FD6E1D">
            <w:rPr>
              <w:rFonts w:ascii="Times New Roman" w:eastAsia="Times New Roman" w:hAnsi="Times New Roman" w:cs="Times New Roman"/>
              <w:bCs/>
            </w:rPr>
            <w:t>; posteriormente, se describe la metodología y la selección de variables</w:t>
          </w:r>
          <w:r>
            <w:rPr>
              <w:rFonts w:ascii="Times New Roman" w:eastAsia="Times New Roman" w:hAnsi="Times New Roman" w:cs="Times New Roman"/>
              <w:bCs/>
            </w:rPr>
            <w:t xml:space="preserve"> para construir el índice de bien estar</w:t>
          </w:r>
          <w:r w:rsidRPr="00FD6E1D">
            <w:rPr>
              <w:rFonts w:ascii="Times New Roman" w:eastAsia="Times New Roman" w:hAnsi="Times New Roman" w:cs="Times New Roman"/>
              <w:bCs/>
            </w:rPr>
            <w:t>; enseguida, se exponen los resultados del análisis bivariado; y, finalmente, se desarrollan la conclusión.</w:t>
          </w:r>
        </w:p>
        <w:p w14:paraId="74D9C764" w14:textId="67BE10E0" w:rsidR="00ED0502" w:rsidRPr="00E60213" w:rsidRDefault="00ED0502" w:rsidP="00C93979">
          <w:pPr>
            <w:spacing w:line="360" w:lineRule="auto"/>
            <w:jc w:val="both"/>
            <w:rPr>
              <w:rFonts w:ascii="Times New Roman" w:eastAsia="Times New Roman" w:hAnsi="Times New Roman" w:cs="Times New Roman"/>
              <w:b/>
            </w:rPr>
          </w:pPr>
          <w:r w:rsidRPr="00E60213">
            <w:rPr>
              <w:rFonts w:ascii="Times New Roman" w:eastAsia="Times New Roman" w:hAnsi="Times New Roman" w:cs="Times New Roman"/>
              <w:b/>
            </w:rPr>
            <w:t>Revisión de literatura</w:t>
          </w:r>
        </w:p>
        <w:p w14:paraId="53D1E6F9" w14:textId="51D3E85B" w:rsidR="00311C88" w:rsidRDefault="00941579" w:rsidP="00C9397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El concepto de bienestar ha sido ampliamente abordado en la literatura científica. Tradicionalmente, para medir el bienestar de la sociedad, por un lado, los economistas y los responsables políticos han considerado el producto interior bruto como un excelente indicador </w:t>
          </w:r>
          <w:r w:rsidRPr="00CD6036">
            <w:rPr>
              <w:rFonts w:ascii="Times New Roman" w:eastAsia="Times New Roman" w:hAnsi="Times New Roman" w:cs="Times New Roman"/>
              <w:bCs/>
            </w:rPr>
            <w:fldChar w:fldCharType="begin"/>
          </w:r>
          <w:r w:rsidRPr="00CD6036">
            <w:rPr>
              <w:rFonts w:ascii="Times New Roman" w:eastAsia="Times New Roman" w:hAnsi="Times New Roman" w:cs="Times New Roman"/>
              <w:bCs/>
            </w:rPr>
            <w:instrText xml:space="preserve"> ADDIN ZOTERO_ITEM CSL_CITATION {"citationID":"TZ2Y8Weg","properties":{"formattedCitation":"(Voukelatou et al., 2021)","plainCitation":"(Voukelatou et al., 2021)","noteIndex":0},"citationItems":[{"id":204,"uris":["http://zotero.org/users/local/VaBfvXPR/items/JPNTSQ3K"],"itemData":{"id":204,"type":"article-journal","abstract":"Well-being is an important value for people’s lives, and it could be considered as an index of societal progress. Researchers have suggested two main approaches for the overall measurement of well-being, the objective and the subjective well-being. Both approaches, as well as their relevant dimensions, have been traditionally captured with surveys. During the last decades, new data sources have been suggested as an alternative or complement to traditional data. This paper aims to present the theoretical background of well-being, by distinguishing between objective and subjective approaches, their relevant dimensions, the new data sources used for their measurement and relevant studies. We also intend to shed light on still barely unexplored dimensions and data sources that could potentially contribute as a key for public policing and social development.","container-title":"International Journal of Data Science and Analytics","DOI":"10.1007/s41060-020-00224-2","ISSN":"2364-4168","issue":"4","journalAbbreviation":"International Journal of Data Science and Analytics","page":"279-309","title":"Measuring objective and subjective well-being: dimensions and data sources","volume":"11","author":[{"family":"Voukelatou","given":"Vasiliki"},{"family":"Gabrielli","given":"Lorenzo"},{"family":"Miliou","given":"Ioanna"},{"family":"Cresci","given":"Stefano"},{"family":"Sharma","given":"Rajesh"},{"family":"Tesconi","given":"Maurizio"},{"family":"Pappalardo","given":"Luca"}],"issued":{"date-parts":[["2021",5,1]]}}}],"schema":"https://github.com/citation-style-language/schema/raw/master/csl-citation.json"} </w:instrText>
          </w:r>
          <w:r w:rsidRPr="00CD6036">
            <w:rPr>
              <w:rFonts w:ascii="Times New Roman" w:eastAsia="Times New Roman" w:hAnsi="Times New Roman" w:cs="Times New Roman"/>
              <w:bCs/>
            </w:rPr>
            <w:fldChar w:fldCharType="separate"/>
          </w:r>
          <w:r w:rsidRPr="00CD6036">
            <w:rPr>
              <w:rFonts w:ascii="Times New Roman" w:hAnsi="Times New Roman" w:cs="Times New Roman"/>
            </w:rPr>
            <w:t>(Voukelatou et al., 2021)</w:t>
          </w:r>
          <w:r w:rsidRPr="00CD6036">
            <w:rPr>
              <w:rFonts w:ascii="Times New Roman" w:eastAsia="Times New Roman" w:hAnsi="Times New Roman" w:cs="Times New Roman"/>
              <w:bCs/>
            </w:rPr>
            <w:fldChar w:fldCharType="end"/>
          </w:r>
          <w:r w:rsidRPr="00CD6036">
            <w:rPr>
              <w:rFonts w:ascii="Times New Roman" w:eastAsia="Times New Roman" w:hAnsi="Times New Roman" w:cs="Times New Roman"/>
              <w:bCs/>
            </w:rPr>
            <w:t xml:space="preserve"> y el nivel de ingresos.</w:t>
          </w:r>
          <w:r w:rsidR="00213713" w:rsidRPr="00CD6036">
            <w:rPr>
              <w:rFonts w:ascii="Times New Roman" w:eastAsia="Times New Roman" w:hAnsi="Times New Roman" w:cs="Times New Roman"/>
              <w:bCs/>
            </w:rPr>
            <w:t xml:space="preserve"> Sin embargo, el enfoque de capacidades propuesto por </w:t>
          </w:r>
          <w:r w:rsidR="00213713" w:rsidRPr="00FD6E1D">
            <w:rPr>
              <w:rFonts w:ascii="Times New Roman" w:eastAsia="Times New Roman" w:hAnsi="Times New Roman" w:cs="Times New Roman"/>
              <w:bCs/>
            </w:rPr>
            <w:t>Amartya Sen (1999)</w:t>
          </w:r>
          <w:r w:rsidR="00213713" w:rsidRPr="00CD6036">
            <w:rPr>
              <w:rFonts w:ascii="Times New Roman" w:eastAsia="Times New Roman" w:hAnsi="Times New Roman" w:cs="Times New Roman"/>
              <w:bCs/>
            </w:rPr>
            <w:t xml:space="preserve"> abrió nuevas formas de pensar el bienestar, al considerar que lo importante no es solo lo que las personas tienen, sino lo que pueden hacer y ser con esos recursos. Desde esta perspectiva, el bienestar no se reduce a la satisfacción de necesidades básicas, sino que implica la libertad real de las personas para vivir una vida que valoran.</w:t>
          </w:r>
        </w:p>
        <w:p w14:paraId="09705AB0" w14:textId="09B4DA97" w:rsidR="00E60213" w:rsidRDefault="00E60213" w:rsidP="00C93979">
          <w:pPr>
            <w:spacing w:line="360" w:lineRule="auto"/>
            <w:jc w:val="both"/>
            <w:rPr>
              <w:rFonts w:ascii="Times New Roman" w:eastAsia="Times New Roman" w:hAnsi="Times New Roman" w:cs="Times New Roman"/>
              <w:bCs/>
            </w:rPr>
          </w:pPr>
          <w:r w:rsidRPr="00E60213">
            <w:rPr>
              <w:rFonts w:ascii="Times New Roman" w:eastAsia="Times New Roman" w:hAnsi="Times New Roman" w:cs="Times New Roman"/>
              <w:bCs/>
            </w:rPr>
            <w:t xml:space="preserve">En el caso de América Latina, autores como </w:t>
          </w:r>
          <w:proofErr w:type="spellStart"/>
          <w:r w:rsidRPr="00F278C0">
            <w:rPr>
              <w:rFonts w:ascii="Times New Roman" w:eastAsia="Times New Roman" w:hAnsi="Times New Roman" w:cs="Times New Roman"/>
              <w:bCs/>
            </w:rPr>
            <w:t>Deneulin</w:t>
          </w:r>
          <w:proofErr w:type="spellEnd"/>
          <w:r w:rsidRPr="00F278C0">
            <w:rPr>
              <w:rFonts w:ascii="Times New Roman" w:eastAsia="Times New Roman" w:hAnsi="Times New Roman" w:cs="Times New Roman"/>
              <w:bCs/>
            </w:rPr>
            <w:t xml:space="preserve"> y </w:t>
          </w:r>
          <w:proofErr w:type="spellStart"/>
          <w:r w:rsidRPr="00F278C0">
            <w:rPr>
              <w:rFonts w:ascii="Times New Roman" w:eastAsia="Times New Roman" w:hAnsi="Times New Roman" w:cs="Times New Roman"/>
              <w:bCs/>
            </w:rPr>
            <w:t>Shahani</w:t>
          </w:r>
          <w:proofErr w:type="spellEnd"/>
          <w:r w:rsidRPr="00F278C0">
            <w:rPr>
              <w:rFonts w:ascii="Times New Roman" w:eastAsia="Times New Roman" w:hAnsi="Times New Roman" w:cs="Times New Roman"/>
              <w:bCs/>
            </w:rPr>
            <w:t xml:space="preserve"> (2009)</w:t>
          </w:r>
          <w:r w:rsidRPr="00E60213">
            <w:rPr>
              <w:rFonts w:ascii="Times New Roman" w:eastAsia="Times New Roman" w:hAnsi="Times New Roman" w:cs="Times New Roman"/>
              <w:bCs/>
            </w:rPr>
            <w:t xml:space="preserve"> han resaltado la importancia de adaptar el enfoque de capacidades a contextos marcados por la desigualdad estructural. En particular, la Comisión Económica para América Latina y el Caribe </w:t>
          </w:r>
          <w:r w:rsidRPr="00FD6E1D">
            <w:rPr>
              <w:rFonts w:ascii="Times New Roman" w:eastAsia="Times New Roman" w:hAnsi="Times New Roman" w:cs="Times New Roman"/>
              <w:bCs/>
            </w:rPr>
            <w:t xml:space="preserve">(CEPAL, </w:t>
          </w:r>
          <w:r w:rsidRPr="00FD6E1D">
            <w:rPr>
              <w:rFonts w:ascii="Times New Roman" w:eastAsia="Times New Roman" w:hAnsi="Times New Roman" w:cs="Times New Roman"/>
              <w:bCs/>
            </w:rPr>
            <w:lastRenderedPageBreak/>
            <w:t>2015) ha</w:t>
          </w:r>
          <w:r w:rsidRPr="00E60213">
            <w:rPr>
              <w:rFonts w:ascii="Times New Roman" w:eastAsia="Times New Roman" w:hAnsi="Times New Roman" w:cs="Times New Roman"/>
              <w:bCs/>
            </w:rPr>
            <w:t xml:space="preserve"> promovido una visión del bienestar de las personas mayores centrada en derechos, considerando no solo las condiciones materiales, sino también la participación social, el acceso a cuidados y la valoración cultural de la vejez.</w:t>
          </w:r>
        </w:p>
        <w:p w14:paraId="0B317AA2" w14:textId="644D9CA7" w:rsidR="00213713" w:rsidRPr="00CD6036" w:rsidRDefault="00E60213" w:rsidP="00C93979">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P</w:t>
          </w:r>
          <w:r w:rsidRPr="00E60213">
            <w:rPr>
              <w:rFonts w:ascii="Times New Roman" w:eastAsia="Times New Roman" w:hAnsi="Times New Roman" w:cs="Times New Roman"/>
              <w:bCs/>
            </w:rPr>
            <w:t xml:space="preserve">or otra parte, el bienestar puede entenderse desde distintas dimensiones. </w:t>
          </w:r>
          <w:proofErr w:type="spellStart"/>
          <w:r w:rsidRPr="00DB7050">
            <w:rPr>
              <w:rFonts w:ascii="Times New Roman" w:eastAsia="Times New Roman" w:hAnsi="Times New Roman" w:cs="Times New Roman"/>
              <w:bCs/>
            </w:rPr>
            <w:t>Gough</w:t>
          </w:r>
          <w:proofErr w:type="spellEnd"/>
          <w:r w:rsidRPr="00DB7050">
            <w:rPr>
              <w:rFonts w:ascii="Times New Roman" w:eastAsia="Times New Roman" w:hAnsi="Times New Roman" w:cs="Times New Roman"/>
              <w:bCs/>
            </w:rPr>
            <w:t xml:space="preserve"> y McGregor (2007)</w:t>
          </w:r>
          <w:r w:rsidRPr="00E60213">
            <w:rPr>
              <w:rFonts w:ascii="Times New Roman" w:eastAsia="Times New Roman" w:hAnsi="Times New Roman" w:cs="Times New Roman"/>
              <w:bCs/>
            </w:rPr>
            <w:t xml:space="preserve"> proponen una aproximación multidimensional que distingue entre el bienestar material (como los recursos y condiciones de vida), el relacional (las redes sociales y afectivas) y el subjetivo (la percepción personal de satisfacción con la vida).</w:t>
          </w:r>
          <w:r w:rsidR="00DB7050">
            <w:rPr>
              <w:rFonts w:ascii="Times New Roman" w:eastAsia="Times New Roman" w:hAnsi="Times New Roman" w:cs="Times New Roman"/>
              <w:bCs/>
            </w:rPr>
            <w:t xml:space="preserve"> </w:t>
          </w:r>
          <w:r w:rsidR="00DB7050" w:rsidRPr="00DB7050">
            <w:rPr>
              <w:rFonts w:ascii="Times New Roman" w:eastAsia="Times New Roman" w:hAnsi="Times New Roman" w:cs="Times New Roman"/>
              <w:bCs/>
            </w:rPr>
            <w:t>Y continúa diciendo que</w:t>
          </w:r>
          <w:r w:rsidR="00DB7050">
            <w:rPr>
              <w:rFonts w:ascii="Times New Roman" w:eastAsia="Times New Roman" w:hAnsi="Times New Roman" w:cs="Times New Roman"/>
              <w:bCs/>
            </w:rPr>
            <w:t xml:space="preserve"> </w:t>
          </w:r>
          <w:r w:rsidR="00DB7050" w:rsidRPr="00DB7050">
            <w:rPr>
              <w:rFonts w:ascii="Times New Roman" w:eastAsia="Times New Roman" w:hAnsi="Times New Roman" w:cs="Times New Roman"/>
              <w:bCs/>
            </w:rPr>
            <w:t>“</w:t>
          </w:r>
          <w:r w:rsidR="00DB7050">
            <w:rPr>
              <w:rFonts w:ascii="Times New Roman" w:eastAsia="Times New Roman" w:hAnsi="Times New Roman" w:cs="Times New Roman"/>
              <w:bCs/>
            </w:rPr>
            <w:t>l</w:t>
          </w:r>
          <w:r w:rsidR="00DB7050" w:rsidRPr="00DB7050">
            <w:rPr>
              <w:rFonts w:ascii="Times New Roman" w:eastAsia="Times New Roman" w:hAnsi="Times New Roman" w:cs="Times New Roman"/>
              <w:bCs/>
            </w:rPr>
            <w:t xml:space="preserve">os estados de bienestar o malestar son producidos continuamente por la interacción de los procesos sociales, políticos, económicos y culturales del ser social humano” </w:t>
          </w:r>
          <w:r w:rsidR="00DB7050" w:rsidRPr="00D63D96">
            <w:rPr>
              <w:rFonts w:ascii="Times New Roman" w:eastAsia="Times New Roman" w:hAnsi="Times New Roman" w:cs="Times New Roman"/>
              <w:bCs/>
            </w:rPr>
            <w:t>(</w:t>
          </w:r>
          <w:proofErr w:type="spellStart"/>
          <w:r w:rsidR="00DB7050" w:rsidRPr="00D63D96">
            <w:rPr>
              <w:rFonts w:ascii="Times New Roman" w:eastAsia="Times New Roman" w:hAnsi="Times New Roman" w:cs="Times New Roman"/>
              <w:bCs/>
            </w:rPr>
            <w:t>Gough</w:t>
          </w:r>
          <w:proofErr w:type="spellEnd"/>
          <w:r w:rsidR="00DB7050" w:rsidRPr="00D63D96">
            <w:rPr>
              <w:rFonts w:ascii="Times New Roman" w:eastAsia="Times New Roman" w:hAnsi="Times New Roman" w:cs="Times New Roman"/>
              <w:bCs/>
            </w:rPr>
            <w:t xml:space="preserve"> y McGregor</w:t>
          </w:r>
          <w:r w:rsidR="00DB7050" w:rsidRPr="00DB7050">
            <w:rPr>
              <w:rFonts w:ascii="Times New Roman" w:eastAsia="Times New Roman" w:hAnsi="Times New Roman" w:cs="Times New Roman"/>
              <w:bCs/>
            </w:rPr>
            <w:t xml:space="preserve">, </w:t>
          </w:r>
          <w:r w:rsidR="00DB7050">
            <w:rPr>
              <w:rFonts w:ascii="Times New Roman" w:eastAsia="Times New Roman" w:hAnsi="Times New Roman" w:cs="Times New Roman"/>
              <w:bCs/>
            </w:rPr>
            <w:t>2007</w:t>
          </w:r>
          <w:r w:rsidR="00DB7050" w:rsidRPr="00DB7050">
            <w:rPr>
              <w:rFonts w:ascii="Times New Roman" w:eastAsia="Times New Roman" w:hAnsi="Times New Roman" w:cs="Times New Roman"/>
              <w:bCs/>
            </w:rPr>
            <w:t>, p. 5).</w:t>
          </w:r>
          <w:r w:rsidRPr="00E60213">
            <w:rPr>
              <w:rFonts w:ascii="Times New Roman" w:eastAsia="Times New Roman" w:hAnsi="Times New Roman" w:cs="Times New Roman"/>
              <w:bCs/>
            </w:rPr>
            <w:t xml:space="preserve"> </w:t>
          </w:r>
        </w:p>
        <w:p w14:paraId="4C04DEE2" w14:textId="77777777" w:rsidR="00213713" w:rsidRPr="00CD6036" w:rsidRDefault="00213713" w:rsidP="00C93979">
          <w:pPr>
            <w:spacing w:line="360" w:lineRule="auto"/>
            <w:jc w:val="both"/>
            <w:rPr>
              <w:rFonts w:ascii="Times New Roman" w:eastAsia="Times New Roman" w:hAnsi="Times New Roman" w:cs="Times New Roman"/>
              <w:bCs/>
            </w:rPr>
          </w:pPr>
        </w:p>
        <w:p w14:paraId="66E58D44" w14:textId="018CC529" w:rsidR="00FE549A" w:rsidRPr="00CD6036" w:rsidRDefault="00FE549A" w:rsidP="00C93979">
          <w:pPr>
            <w:spacing w:line="360" w:lineRule="auto"/>
            <w:jc w:val="both"/>
            <w:rPr>
              <w:rFonts w:ascii="Times New Roman" w:hAnsi="Times New Roman" w:cs="Times New Roman"/>
              <w:b/>
              <w:bCs/>
            </w:rPr>
          </w:pPr>
          <w:r w:rsidRPr="00CD6036">
            <w:rPr>
              <w:rFonts w:ascii="Times New Roman" w:hAnsi="Times New Roman" w:cs="Times New Roman"/>
              <w:b/>
              <w:bCs/>
            </w:rPr>
            <w:t>Objetivo y pregunta de investigación</w:t>
          </w:r>
        </w:p>
        <w:p w14:paraId="0B0748BF" w14:textId="72707F61" w:rsidR="006945DF" w:rsidRPr="00CD6036" w:rsidRDefault="00FE549A" w:rsidP="00C9397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Este trabajo tiene como objetivo analizar cómo factores</w:t>
          </w:r>
          <w:r w:rsidR="00C67D29" w:rsidRPr="00CD6036">
            <w:rPr>
              <w:rFonts w:ascii="Times New Roman" w:eastAsia="Times New Roman" w:hAnsi="Times New Roman" w:cs="Times New Roman"/>
              <w:bCs/>
            </w:rPr>
            <w:t xml:space="preserve"> tales que sexo, estado civil, seguro social y ayuda)</w:t>
          </w:r>
          <w:r w:rsidRPr="00CD6036">
            <w:rPr>
              <w:rFonts w:ascii="Times New Roman" w:eastAsia="Times New Roman" w:hAnsi="Times New Roman" w:cs="Times New Roman"/>
              <w:bCs/>
            </w:rPr>
            <w:t xml:space="preserve"> se relacionan con el nivel de </w:t>
          </w:r>
          <w:r w:rsidR="00DA24C1" w:rsidRPr="00CD6036">
            <w:rPr>
              <w:rFonts w:ascii="Times New Roman" w:eastAsia="Times New Roman" w:hAnsi="Times New Roman" w:cs="Times New Roman"/>
              <w:bCs/>
            </w:rPr>
            <w:t>bien estar</w:t>
          </w:r>
          <w:r w:rsidRPr="00CD6036">
            <w:rPr>
              <w:rFonts w:ascii="Times New Roman" w:eastAsia="Times New Roman" w:hAnsi="Times New Roman" w:cs="Times New Roman"/>
              <w:bCs/>
            </w:rPr>
            <w:t xml:space="preserve"> de las personas mayores</w:t>
          </w:r>
          <w:r w:rsidR="00C67D29" w:rsidRPr="00CD6036">
            <w:rPr>
              <w:rFonts w:ascii="Times New Roman" w:eastAsia="Times New Roman" w:hAnsi="Times New Roman" w:cs="Times New Roman"/>
              <w:bCs/>
            </w:rPr>
            <w:t xml:space="preserve"> </w:t>
          </w:r>
          <w:r w:rsidR="006306C9" w:rsidRPr="00CD6036">
            <w:rPr>
              <w:rFonts w:ascii="Times New Roman" w:eastAsia="Times New Roman" w:hAnsi="Times New Roman" w:cs="Times New Roman"/>
              <w:bCs/>
            </w:rPr>
            <w:t>a través con un índice construido con las variables subjetivas y objetivas</w:t>
          </w:r>
          <w:r w:rsidRPr="00CD6036">
            <w:rPr>
              <w:rFonts w:ascii="Times New Roman" w:eastAsia="Times New Roman" w:hAnsi="Times New Roman" w:cs="Times New Roman"/>
              <w:bCs/>
            </w:rPr>
            <w:t>, utilizando la base de datos de la Encuesta Nacional de Salud y Envejecimiento en México (ENASEM) 2021. De esta manera, la pregunta de investigación que se quiere responder en este trabajo es la siguiente:</w:t>
          </w:r>
        </w:p>
        <w:p w14:paraId="5FE00EE8" w14:textId="406FFFBD" w:rsidR="00781E17" w:rsidRPr="00CD6036" w:rsidRDefault="00BE2460" w:rsidP="00C9397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w:t>
          </w:r>
          <w:r w:rsidR="00543BEF">
            <w:rPr>
              <w:rFonts w:ascii="Times New Roman" w:eastAsia="Times New Roman" w:hAnsi="Times New Roman" w:cs="Times New Roman"/>
              <w:bCs/>
            </w:rPr>
            <w:t>Existe una</w:t>
          </w:r>
          <w:r w:rsidRPr="00CD6036">
            <w:rPr>
              <w:rFonts w:ascii="Times New Roman" w:eastAsia="Times New Roman" w:hAnsi="Times New Roman" w:cs="Times New Roman"/>
              <w:bCs/>
            </w:rPr>
            <w:t xml:space="preserve"> relación entre </w:t>
          </w:r>
          <w:r w:rsidR="00946591" w:rsidRPr="00CD6036">
            <w:rPr>
              <w:rFonts w:ascii="Times New Roman" w:eastAsia="Times New Roman" w:hAnsi="Times New Roman" w:cs="Times New Roman"/>
              <w:bCs/>
            </w:rPr>
            <w:t>estos</w:t>
          </w:r>
          <w:r w:rsidRPr="00CD6036">
            <w:rPr>
              <w:rFonts w:ascii="Times New Roman" w:eastAsia="Times New Roman" w:hAnsi="Times New Roman" w:cs="Times New Roman"/>
              <w:bCs/>
            </w:rPr>
            <w:t xml:space="preserve"> factores y el nivel de </w:t>
          </w:r>
          <w:r w:rsidR="00DA24C1" w:rsidRPr="00CD6036">
            <w:rPr>
              <w:rFonts w:ascii="Times New Roman" w:eastAsia="Times New Roman" w:hAnsi="Times New Roman" w:cs="Times New Roman"/>
              <w:bCs/>
            </w:rPr>
            <w:t>bien estar</w:t>
          </w:r>
          <w:r w:rsidRPr="00CD6036">
            <w:rPr>
              <w:rFonts w:ascii="Times New Roman" w:eastAsia="Times New Roman" w:hAnsi="Times New Roman" w:cs="Times New Roman"/>
              <w:bCs/>
            </w:rPr>
            <w:t xml:space="preserve"> de los adultos mayores, según los datos de la ENASEM 2021?</w:t>
          </w:r>
        </w:p>
        <w:p w14:paraId="6CE2B18F" w14:textId="77777777" w:rsidR="0012434B" w:rsidRPr="00CD6036" w:rsidRDefault="0012434B" w:rsidP="00C9397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De manera específica, el objetivo de este trabajo es:</w:t>
          </w:r>
        </w:p>
        <w:p w14:paraId="29E5E345" w14:textId="15B2A470" w:rsidR="0012434B" w:rsidRPr="00CD6036" w:rsidRDefault="0012434B" w:rsidP="00C93979">
          <w:pPr>
            <w:pStyle w:val="ListParagraph"/>
            <w:numPr>
              <w:ilvl w:val="0"/>
              <w:numId w:val="3"/>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Construir un índice de </w:t>
          </w:r>
          <w:r w:rsidR="00DA24C1" w:rsidRPr="00CD6036">
            <w:rPr>
              <w:rFonts w:ascii="Times New Roman" w:eastAsia="Times New Roman" w:hAnsi="Times New Roman" w:cs="Times New Roman"/>
              <w:bCs/>
            </w:rPr>
            <w:t>bien estar</w:t>
          </w:r>
          <w:r w:rsidRPr="00CD6036">
            <w:rPr>
              <w:rFonts w:ascii="Times New Roman" w:eastAsia="Times New Roman" w:hAnsi="Times New Roman" w:cs="Times New Roman"/>
              <w:bCs/>
            </w:rPr>
            <w:t xml:space="preserve"> para los adultos mayores que viven en México utilizando la técnica de </w:t>
          </w:r>
          <w:r w:rsidR="00987CDA" w:rsidRPr="00CD6036">
            <w:rPr>
              <w:rFonts w:ascii="Times New Roman" w:eastAsia="Times New Roman" w:hAnsi="Times New Roman" w:cs="Times New Roman"/>
              <w:bCs/>
            </w:rPr>
            <w:t>A</w:t>
          </w:r>
          <w:r w:rsidRPr="00CD6036">
            <w:rPr>
              <w:rFonts w:ascii="Times New Roman" w:eastAsia="Times New Roman" w:hAnsi="Times New Roman" w:cs="Times New Roman"/>
              <w:bCs/>
            </w:rPr>
            <w:t xml:space="preserve">nálisis de </w:t>
          </w:r>
          <w:r w:rsidR="00987CDA" w:rsidRPr="00CD6036">
            <w:rPr>
              <w:rFonts w:ascii="Times New Roman" w:eastAsia="Times New Roman" w:hAnsi="Times New Roman" w:cs="Times New Roman"/>
              <w:bCs/>
            </w:rPr>
            <w:t>Correspondencia Múltiples</w:t>
          </w:r>
          <w:r w:rsidRPr="00CD6036">
            <w:rPr>
              <w:rFonts w:ascii="Times New Roman" w:eastAsia="Times New Roman" w:hAnsi="Times New Roman" w:cs="Times New Roman"/>
              <w:bCs/>
            </w:rPr>
            <w:t xml:space="preserve"> (AC</w:t>
          </w:r>
          <w:r w:rsidR="00987CDA" w:rsidRPr="00CD6036">
            <w:rPr>
              <w:rFonts w:ascii="Times New Roman" w:eastAsia="Times New Roman" w:hAnsi="Times New Roman" w:cs="Times New Roman"/>
              <w:bCs/>
            </w:rPr>
            <w:t>M</w:t>
          </w:r>
          <w:r w:rsidRPr="00CD6036">
            <w:rPr>
              <w:rFonts w:ascii="Times New Roman" w:eastAsia="Times New Roman" w:hAnsi="Times New Roman" w:cs="Times New Roman"/>
              <w:bCs/>
            </w:rPr>
            <w:t>).</w:t>
          </w:r>
        </w:p>
        <w:p w14:paraId="4E32D55B" w14:textId="77842C71" w:rsidR="00137505" w:rsidRPr="00CD6036" w:rsidRDefault="00543BEF" w:rsidP="00137505">
          <w:pPr>
            <w:pStyle w:val="ListParagraph"/>
            <w:numPr>
              <w:ilvl w:val="0"/>
              <w:numId w:val="3"/>
            </w:num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Ver si existe una</w:t>
          </w:r>
          <w:r w:rsidR="0012434B" w:rsidRPr="00CD6036">
            <w:rPr>
              <w:rFonts w:ascii="Times New Roman" w:eastAsia="Times New Roman" w:hAnsi="Times New Roman" w:cs="Times New Roman"/>
              <w:bCs/>
            </w:rPr>
            <w:t xml:space="preserve"> relación entre los niveles </w:t>
          </w:r>
          <w:r w:rsidR="00DA24C1" w:rsidRPr="00CD6036">
            <w:rPr>
              <w:rFonts w:ascii="Times New Roman" w:eastAsia="Times New Roman" w:hAnsi="Times New Roman" w:cs="Times New Roman"/>
              <w:bCs/>
            </w:rPr>
            <w:t>de bien estar</w:t>
          </w:r>
          <w:r w:rsidR="0012434B" w:rsidRPr="00CD6036">
            <w:rPr>
              <w:rFonts w:ascii="Times New Roman" w:eastAsia="Times New Roman" w:hAnsi="Times New Roman" w:cs="Times New Roman"/>
              <w:bCs/>
            </w:rPr>
            <w:t xml:space="preserve"> y los factores seleccionados mediante un análisis bivariado (</w:t>
          </w:r>
          <w:r>
            <w:rPr>
              <w:rFonts w:ascii="Times New Roman" w:eastAsia="Times New Roman" w:hAnsi="Times New Roman" w:cs="Times New Roman"/>
              <w:bCs/>
            </w:rPr>
            <w:t>chi cuadrado</w:t>
          </w:r>
          <w:r w:rsidR="0012434B" w:rsidRPr="00CD6036">
            <w:rPr>
              <w:rFonts w:ascii="Times New Roman" w:eastAsia="Times New Roman" w:hAnsi="Times New Roman" w:cs="Times New Roman"/>
              <w:bCs/>
            </w:rPr>
            <w:t>).</w:t>
          </w:r>
        </w:p>
        <w:p w14:paraId="0CCA5486" w14:textId="77777777" w:rsidR="00FD6E1D" w:rsidRDefault="00FD6E1D" w:rsidP="00C93979">
          <w:pPr>
            <w:jc w:val="both"/>
            <w:rPr>
              <w:rFonts w:ascii="Times New Roman" w:hAnsi="Times New Roman" w:cs="Times New Roman"/>
              <w:b/>
              <w:bCs/>
            </w:rPr>
          </w:pPr>
        </w:p>
        <w:p w14:paraId="68FE6DFD" w14:textId="107FAADB" w:rsidR="00FF1ED5" w:rsidRPr="00CD6036" w:rsidRDefault="00781E17" w:rsidP="00C93979">
          <w:pPr>
            <w:jc w:val="both"/>
            <w:rPr>
              <w:rFonts w:ascii="Times New Roman" w:hAnsi="Times New Roman" w:cs="Times New Roman"/>
              <w:b/>
              <w:bCs/>
            </w:rPr>
          </w:pPr>
          <w:r w:rsidRPr="00CD6036">
            <w:rPr>
              <w:rFonts w:ascii="Times New Roman" w:hAnsi="Times New Roman" w:cs="Times New Roman"/>
              <w:b/>
              <w:bCs/>
            </w:rPr>
            <w:t>Hipótesis</w:t>
          </w:r>
        </w:p>
        <w:p w14:paraId="32DBC7AD" w14:textId="638F63ED" w:rsidR="00D738E3" w:rsidRPr="00CD6036" w:rsidRDefault="00FF1ED5" w:rsidP="00BE41B3">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Como hipótesis general: Existe una relación significativa entre </w:t>
          </w:r>
          <w:r w:rsidR="00C67D29" w:rsidRPr="00CD6036">
            <w:rPr>
              <w:rFonts w:ascii="Times New Roman" w:eastAsia="Times New Roman" w:hAnsi="Times New Roman" w:cs="Times New Roman"/>
              <w:bCs/>
            </w:rPr>
            <w:t>estos</w:t>
          </w:r>
          <w:r w:rsidRPr="00CD6036">
            <w:rPr>
              <w:rFonts w:ascii="Times New Roman" w:eastAsia="Times New Roman" w:hAnsi="Times New Roman" w:cs="Times New Roman"/>
              <w:bCs/>
            </w:rPr>
            <w:t xml:space="preserve"> factores </w:t>
          </w:r>
          <w:r w:rsidR="00C67D29" w:rsidRPr="00CD6036">
            <w:rPr>
              <w:rFonts w:ascii="Times New Roman" w:eastAsia="Times New Roman" w:hAnsi="Times New Roman" w:cs="Times New Roman"/>
              <w:bCs/>
            </w:rPr>
            <w:t xml:space="preserve">(sexo, estado civil, seguro social y ayuda) </w:t>
          </w:r>
          <w:r w:rsidRPr="00CD6036">
            <w:rPr>
              <w:rFonts w:ascii="Times New Roman" w:eastAsia="Times New Roman" w:hAnsi="Times New Roman" w:cs="Times New Roman"/>
              <w:bCs/>
            </w:rPr>
            <w:t xml:space="preserve">y el nivel de </w:t>
          </w:r>
          <w:r w:rsidR="00DA24C1" w:rsidRPr="00CD6036">
            <w:rPr>
              <w:rFonts w:ascii="Times New Roman" w:eastAsia="Times New Roman" w:hAnsi="Times New Roman" w:cs="Times New Roman"/>
              <w:bCs/>
            </w:rPr>
            <w:t xml:space="preserve">bien estar </w:t>
          </w:r>
          <w:r w:rsidRPr="00CD6036">
            <w:rPr>
              <w:rFonts w:ascii="Times New Roman" w:eastAsia="Times New Roman" w:hAnsi="Times New Roman" w:cs="Times New Roman"/>
              <w:bCs/>
            </w:rPr>
            <w:t xml:space="preserve">de los adultos mayores </w:t>
          </w:r>
          <w:r w:rsidR="00FD6E1D">
            <w:rPr>
              <w:rFonts w:ascii="Times New Roman" w:eastAsia="Times New Roman" w:hAnsi="Times New Roman" w:cs="Times New Roman"/>
              <w:bCs/>
            </w:rPr>
            <w:t>en</w:t>
          </w:r>
          <w:r w:rsidRPr="00CD6036">
            <w:rPr>
              <w:rFonts w:ascii="Times New Roman" w:eastAsia="Times New Roman" w:hAnsi="Times New Roman" w:cs="Times New Roman"/>
              <w:bCs/>
            </w:rPr>
            <w:t xml:space="preserve"> México.</w:t>
          </w:r>
        </w:p>
        <w:p w14:paraId="1AA36B7F" w14:textId="77777777" w:rsidR="00201AB5" w:rsidRPr="00CD6036" w:rsidRDefault="00201AB5" w:rsidP="00C93979">
          <w:pPr>
            <w:jc w:val="both"/>
            <w:rPr>
              <w:rFonts w:ascii="Times New Roman" w:hAnsi="Times New Roman" w:cs="Times New Roman"/>
            </w:rPr>
          </w:pPr>
        </w:p>
        <w:p w14:paraId="1599CDE8" w14:textId="7A49F5CA" w:rsidR="00FF1ED5" w:rsidRPr="00CD6036" w:rsidRDefault="00D738E3" w:rsidP="00C93979">
          <w:pPr>
            <w:jc w:val="both"/>
            <w:rPr>
              <w:rFonts w:ascii="Times New Roman" w:hAnsi="Times New Roman" w:cs="Times New Roman"/>
              <w:i/>
              <w:iCs/>
            </w:rPr>
          </w:pPr>
          <w:r w:rsidRPr="00CD6036">
            <w:rPr>
              <w:rFonts w:ascii="Times New Roman" w:hAnsi="Times New Roman" w:cs="Times New Roman"/>
              <w:i/>
              <w:iCs/>
            </w:rPr>
            <w:t xml:space="preserve">          </w:t>
          </w:r>
          <w:r w:rsidR="00FF1ED5" w:rsidRPr="00CD6036">
            <w:rPr>
              <w:rFonts w:ascii="Times New Roman" w:hAnsi="Times New Roman" w:cs="Times New Roman"/>
              <w:i/>
              <w:iCs/>
            </w:rPr>
            <w:t>Hipótesis específicas</w:t>
          </w:r>
        </w:p>
        <w:p w14:paraId="1614326F" w14:textId="23964DFC" w:rsidR="00FF1ED5" w:rsidRPr="00CD6036" w:rsidRDefault="00000000" w:rsidP="003F0C57">
          <w:p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xml:space="preserve"> </m:t>
            </m:r>
          </m:oMath>
          <w:r w:rsidR="00FF1ED5" w:rsidRPr="00543BEF">
            <w:rPr>
              <w:rFonts w:ascii="Times New Roman" w:hAnsi="Times New Roman" w:cs="Times New Roman"/>
            </w:rPr>
            <w:t xml:space="preserve">: El </w:t>
          </w:r>
          <w:r w:rsidR="00946591" w:rsidRPr="00543BEF">
            <w:rPr>
              <w:rFonts w:ascii="Times New Roman" w:eastAsia="Times New Roman" w:hAnsi="Times New Roman" w:cs="Times New Roman"/>
              <w:bCs/>
            </w:rPr>
            <w:t>seguro social</w:t>
          </w:r>
          <w:r w:rsidR="00FF1ED5" w:rsidRPr="00543BEF">
            <w:rPr>
              <w:rFonts w:ascii="Times New Roman" w:hAnsi="Times New Roman" w:cs="Times New Roman"/>
            </w:rPr>
            <w:t xml:space="preserve"> está asociado con </w:t>
          </w:r>
          <w:r w:rsidR="00DA24C1" w:rsidRPr="00543BEF">
            <w:rPr>
              <w:rFonts w:ascii="Times New Roman" w:hAnsi="Times New Roman" w:cs="Times New Roman"/>
            </w:rPr>
            <w:t>el nivel de bien estar</w:t>
          </w:r>
          <w:r w:rsidR="00FF1ED5" w:rsidRPr="00543BEF">
            <w:rPr>
              <w:rFonts w:ascii="Times New Roman" w:hAnsi="Times New Roman" w:cs="Times New Roman"/>
            </w:rPr>
            <w:t xml:space="preserve"> </w:t>
          </w:r>
          <w:r w:rsidR="00C93979" w:rsidRPr="00543BEF">
            <w:rPr>
              <w:rFonts w:ascii="Times New Roman" w:hAnsi="Times New Roman" w:cs="Times New Roman"/>
            </w:rPr>
            <w:t>de los</w:t>
          </w:r>
          <w:r w:rsidR="00FF1ED5" w:rsidRPr="00543BEF">
            <w:rPr>
              <w:rFonts w:ascii="Times New Roman" w:hAnsi="Times New Roman" w:cs="Times New Roman"/>
            </w:rPr>
            <w:t xml:space="preserve"> adultos</w:t>
          </w:r>
          <w:r w:rsidR="00FF1ED5" w:rsidRPr="00CD6036">
            <w:rPr>
              <w:rFonts w:ascii="Times New Roman" w:hAnsi="Times New Roman" w:cs="Times New Roman"/>
            </w:rPr>
            <w:t xml:space="preserve"> </w:t>
          </w:r>
          <w:r w:rsidR="00FD6E1D">
            <w:rPr>
              <w:rFonts w:ascii="Times New Roman" w:hAnsi="Times New Roman" w:cs="Times New Roman"/>
            </w:rPr>
            <w:t>mayores</w:t>
          </w:r>
        </w:p>
        <w:p w14:paraId="3BC9595E" w14:textId="64F9219A" w:rsidR="006306C9" w:rsidRPr="00CD6036" w:rsidRDefault="00000000" w:rsidP="00AD1000">
          <w:p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oMath>
          <w:r w:rsidR="00FF1ED5" w:rsidRPr="00CD6036">
            <w:rPr>
              <w:rFonts w:ascii="Times New Roman" w:hAnsi="Times New Roman" w:cs="Times New Roman"/>
            </w:rPr>
            <w:t xml:space="preserve">: Los </w:t>
          </w:r>
          <w:r w:rsidR="00FF1ED5" w:rsidRPr="00CD6036">
            <w:rPr>
              <w:rFonts w:ascii="Times New Roman" w:eastAsia="Times New Roman" w:hAnsi="Times New Roman" w:cs="Times New Roman"/>
              <w:bCs/>
            </w:rPr>
            <w:t>factores</w:t>
          </w:r>
          <w:r w:rsidR="00FD6E1D">
            <w:rPr>
              <w:rFonts w:ascii="Times New Roman" w:hAnsi="Times New Roman" w:cs="Times New Roman"/>
            </w:rPr>
            <w:t xml:space="preserve"> </w:t>
          </w:r>
          <w:r w:rsidR="00FF1ED5" w:rsidRPr="00CD6036">
            <w:rPr>
              <w:rFonts w:ascii="Times New Roman" w:hAnsi="Times New Roman" w:cs="Times New Roman"/>
            </w:rPr>
            <w:t>como el sexo</w:t>
          </w:r>
          <w:r w:rsidR="00946591" w:rsidRPr="00CD6036">
            <w:rPr>
              <w:rFonts w:ascii="Times New Roman" w:hAnsi="Times New Roman" w:cs="Times New Roman"/>
            </w:rPr>
            <w:t xml:space="preserve"> </w:t>
          </w:r>
          <w:r w:rsidR="00FF1ED5" w:rsidRPr="00CD6036">
            <w:rPr>
              <w:rFonts w:ascii="Times New Roman" w:hAnsi="Times New Roman" w:cs="Times New Roman"/>
            </w:rPr>
            <w:t xml:space="preserve">y el estado civil están relacionados con diferencias significativas en los niveles de </w:t>
          </w:r>
          <w:r w:rsidR="00DA24C1" w:rsidRPr="00CD6036">
            <w:rPr>
              <w:rFonts w:ascii="Times New Roman" w:hAnsi="Times New Roman" w:cs="Times New Roman"/>
            </w:rPr>
            <w:t>bien estar</w:t>
          </w:r>
          <w:r w:rsidR="00FF1ED5" w:rsidRPr="00CD6036">
            <w:rPr>
              <w:rFonts w:ascii="Times New Roman" w:hAnsi="Times New Roman" w:cs="Times New Roman"/>
            </w:rPr>
            <w:t>.</w:t>
          </w:r>
        </w:p>
        <w:p w14:paraId="362F4F65" w14:textId="6E7DB5A6" w:rsidR="00781E17" w:rsidRPr="00CD6036" w:rsidRDefault="00781E17" w:rsidP="00D25815">
          <w:pPr>
            <w:jc w:val="both"/>
            <w:rPr>
              <w:rFonts w:ascii="Times New Roman" w:hAnsi="Times New Roman" w:cs="Times New Roman"/>
              <w:b/>
              <w:bCs/>
            </w:rPr>
          </w:pPr>
          <w:r w:rsidRPr="00CD6036">
            <w:rPr>
              <w:rFonts w:ascii="Times New Roman" w:hAnsi="Times New Roman" w:cs="Times New Roman"/>
              <w:b/>
              <w:bCs/>
            </w:rPr>
            <w:t>Justificación</w:t>
          </w:r>
        </w:p>
        <w:p w14:paraId="40172FF3" w14:textId="77777777" w:rsidR="00DA24C1" w:rsidRPr="00CD6036" w:rsidRDefault="00DA24C1" w:rsidP="00DA24C1">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El bienestar es una noción central en el análisis de las poblaciones contemporáneas, especialmente en el campo de los estudios del desarrollo. Tradicionalmente asociado con niveles de ingreso, el bienestar ha sido reformulado en las últimas décadas a partir de enfoques que integran dimensiones más amplias de la vida social y humana, como la salud, la educación, la autonomía o las relaciones sociales. Tal es el caso del enfoque de las capacidades desarrollado por </w:t>
          </w:r>
          <w:r w:rsidRPr="00FD6E1D">
            <w:rPr>
              <w:rFonts w:ascii="Times New Roman" w:eastAsia="Times New Roman" w:hAnsi="Times New Roman" w:cs="Times New Roman"/>
              <w:bCs/>
            </w:rPr>
            <w:t>Amartya Sen (1993),</w:t>
          </w:r>
          <w:r w:rsidRPr="00CD6036">
            <w:rPr>
              <w:rFonts w:ascii="Times New Roman" w:eastAsia="Times New Roman" w:hAnsi="Times New Roman" w:cs="Times New Roman"/>
              <w:bCs/>
            </w:rPr>
            <w:t xml:space="preserve"> que propone evaluar el bienestar en función de la libertad real que tienen las personas para elegir y llevar a cabo los planes de vida que valoran.</w:t>
          </w:r>
        </w:p>
        <w:p w14:paraId="385E773B" w14:textId="39DCFA7A" w:rsidR="006306C9" w:rsidRPr="00CD6036" w:rsidRDefault="00DA24C1" w:rsidP="00584BE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Este giro teórico ha tenido importantes implicaciones para la medición del bienestar. En lugar de centrarse exclusivamente en indicadores económicos,</w:t>
          </w:r>
          <w:r w:rsidR="00FE1FCB" w:rsidRPr="00CD6036">
            <w:rPr>
              <w:rFonts w:ascii="Times New Roman" w:eastAsia="Times New Roman" w:hAnsi="Times New Roman" w:cs="Times New Roman"/>
              <w:bCs/>
            </w:rPr>
            <w:t xml:space="preserve"> c</w:t>
          </w:r>
          <w:r w:rsidR="008C69B7" w:rsidRPr="00CD6036">
            <w:rPr>
              <w:rFonts w:ascii="Times New Roman" w:eastAsia="Times New Roman" w:hAnsi="Times New Roman" w:cs="Times New Roman"/>
              <w:bCs/>
            </w:rPr>
            <w:t xml:space="preserve">omo señalan </w:t>
          </w:r>
          <w:proofErr w:type="spellStart"/>
          <w:r w:rsidR="008C69B7" w:rsidRPr="00CD6036">
            <w:rPr>
              <w:rFonts w:ascii="Times New Roman" w:eastAsia="Times New Roman" w:hAnsi="Times New Roman" w:cs="Times New Roman"/>
              <w:bCs/>
            </w:rPr>
            <w:t>Land</w:t>
          </w:r>
          <w:proofErr w:type="spellEnd"/>
          <w:r w:rsidR="00A50319" w:rsidRPr="00CD6036">
            <w:rPr>
              <w:rFonts w:ascii="Times New Roman" w:eastAsia="Times New Roman" w:hAnsi="Times New Roman" w:cs="Times New Roman"/>
              <w:bCs/>
            </w:rPr>
            <w:t xml:space="preserve"> et al. </w:t>
          </w:r>
          <w:r w:rsidR="008C69B7" w:rsidRPr="00CD6036">
            <w:rPr>
              <w:rFonts w:ascii="Times New Roman" w:eastAsia="Times New Roman" w:hAnsi="Times New Roman" w:cs="Times New Roman"/>
              <w:bCs/>
            </w:rPr>
            <w:t xml:space="preserve">2012, y también </w:t>
          </w:r>
          <w:proofErr w:type="spellStart"/>
          <w:r w:rsidR="008C69B7" w:rsidRPr="00CD6036">
            <w:rPr>
              <w:rFonts w:ascii="Times New Roman" w:eastAsia="Times New Roman" w:hAnsi="Times New Roman" w:cs="Times New Roman"/>
              <w:bCs/>
            </w:rPr>
            <w:t>Skevington</w:t>
          </w:r>
          <w:proofErr w:type="spellEnd"/>
          <w:r w:rsidR="008C69B7" w:rsidRPr="00CD6036">
            <w:rPr>
              <w:rFonts w:ascii="Times New Roman" w:eastAsia="Times New Roman" w:hAnsi="Times New Roman" w:cs="Times New Roman"/>
              <w:bCs/>
            </w:rPr>
            <w:t xml:space="preserve"> y </w:t>
          </w:r>
          <w:proofErr w:type="spellStart"/>
          <w:r w:rsidR="008C69B7" w:rsidRPr="00CD6036">
            <w:rPr>
              <w:rFonts w:ascii="Times New Roman" w:eastAsia="Times New Roman" w:hAnsi="Times New Roman" w:cs="Times New Roman"/>
              <w:bCs/>
            </w:rPr>
            <w:t>Böhnke</w:t>
          </w:r>
          <w:proofErr w:type="spellEnd"/>
          <w:r w:rsidR="008C69B7" w:rsidRPr="00CD6036">
            <w:rPr>
              <w:rFonts w:ascii="Times New Roman" w:eastAsia="Times New Roman" w:hAnsi="Times New Roman" w:cs="Times New Roman"/>
              <w:bCs/>
            </w:rPr>
            <w:t xml:space="preserve"> (2018), el bienestar debe comprenderse como un concepto multidimensional que incluye tanto aspectos objetivos como aspectos subjetivos</w:t>
          </w:r>
          <w:r w:rsidR="00A50319" w:rsidRPr="00CD6036">
            <w:rPr>
              <w:rFonts w:ascii="Times New Roman" w:eastAsia="Times New Roman" w:hAnsi="Times New Roman" w:cs="Times New Roman"/>
              <w:bCs/>
            </w:rPr>
            <w:t xml:space="preserve">. </w:t>
          </w:r>
          <w:r w:rsidR="006306C9" w:rsidRPr="00CD6036">
            <w:rPr>
              <w:rFonts w:ascii="Times New Roman" w:eastAsia="Times New Roman" w:hAnsi="Times New Roman" w:cs="Times New Roman"/>
              <w:bCs/>
            </w:rPr>
            <w:t xml:space="preserve">Esta dualidad permite evaluar no solo los recursos y condiciones materiales, sino también la percepción personal y social del bienestar. </w:t>
          </w:r>
        </w:p>
        <w:p w14:paraId="49D392CA" w14:textId="15F34394" w:rsidR="00DA24C1" w:rsidRPr="00CD6036" w:rsidRDefault="00DA24C1" w:rsidP="00584BE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En este marco, resulta fundamental analizar el bienestar en la vejez, etapa del ciclo vital en la que se presentan desafíos particulares derivados</w:t>
          </w:r>
          <w:r w:rsidR="00A50319" w:rsidRPr="00CD6036">
            <w:rPr>
              <w:rFonts w:ascii="Times New Roman" w:eastAsia="Times New Roman" w:hAnsi="Times New Roman" w:cs="Times New Roman"/>
              <w:bCs/>
            </w:rPr>
            <w:t xml:space="preserve"> de</w:t>
          </w:r>
          <w:r w:rsidRPr="00CD6036">
            <w:rPr>
              <w:rFonts w:ascii="Times New Roman" w:eastAsia="Times New Roman" w:hAnsi="Times New Roman" w:cs="Times New Roman"/>
              <w:bCs/>
            </w:rPr>
            <w:t xml:space="preserve"> la reducción de ingresos laborales, el aumento en necesidades de atención en salud y la transformación de las redes de apoyo. Como señalan PNUD y CONEVAL (2014), las desigualdades territoriales en México son persistentes y se expresan en brechas importantes en salud, educación y protección social, afectando directamente el bienestar de la población.</w:t>
          </w:r>
        </w:p>
        <w:p w14:paraId="546A7CF8" w14:textId="448AFA85" w:rsidR="00DA24C1" w:rsidRPr="00CD6036" w:rsidRDefault="00DA24C1" w:rsidP="00584BE9">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El presente trabajo se inscribe en esta línea de análisis, retomando la noción de bienestar como categoría analítica central de los estudios poblacionales, y proponiendo su aplicación </w:t>
          </w:r>
          <w:r w:rsidRPr="00CD6036">
            <w:rPr>
              <w:rFonts w:ascii="Times New Roman" w:eastAsia="Times New Roman" w:hAnsi="Times New Roman" w:cs="Times New Roman"/>
              <w:bCs/>
            </w:rPr>
            <w:lastRenderedPageBreak/>
            <w:t>empírica a través del estudio de adultos mayores, a partir de los datos de la Encuesta Nacional sobre Salud y Envejecimiento en México (ENASEM) 2021.</w:t>
          </w:r>
        </w:p>
        <w:p w14:paraId="2B232B89" w14:textId="4929CD8A" w:rsidR="00403C24" w:rsidRPr="00CD6036" w:rsidRDefault="00C76798" w:rsidP="00C93979">
          <w:pPr>
            <w:jc w:val="both"/>
            <w:rPr>
              <w:rFonts w:ascii="Times New Roman" w:hAnsi="Times New Roman" w:cs="Times New Roman"/>
              <w:b/>
              <w:bCs/>
            </w:rPr>
          </w:pPr>
          <w:r w:rsidRPr="00CD6036">
            <w:rPr>
              <w:rFonts w:ascii="Times New Roman" w:hAnsi="Times New Roman" w:cs="Times New Roman"/>
              <w:b/>
              <w:bCs/>
            </w:rPr>
            <w:t>Metodología y fuentes de información</w:t>
          </w:r>
        </w:p>
        <w:p w14:paraId="17088E6C" w14:textId="22B99789" w:rsidR="009F7D10" w:rsidRPr="00CD6036" w:rsidRDefault="009F7D10" w:rsidP="00A626F1">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La metodología utilizada en este trabajo es cuantitativa y se basa en la Encuesta Nacional de Salud y Envejecimiento en México (ENASEM) 2021, cuyo objetivo es actualizar los datos estadísticos recopilados las encuestas anteriores (2001, 2003, 2012, 2015 y 2018) sobre la población de 50 años y más en México, con representación urbana y rural, con el fin de evaluar el proceso de envejecimiento, el impacto de las enfermedades, la mortalidad y la discapacidad en el ejercicio de sus actividades</w:t>
          </w:r>
          <w:r w:rsidR="00736122" w:rsidRPr="00CD6036">
            <w:rPr>
              <w:rStyle w:val="FootnoteReference"/>
              <w:rFonts w:ascii="Times New Roman" w:eastAsia="Times New Roman" w:hAnsi="Times New Roman" w:cs="Times New Roman"/>
              <w:bCs/>
            </w:rPr>
            <w:footnoteReference w:id="1"/>
          </w:r>
          <w:r w:rsidRPr="00CD6036">
            <w:rPr>
              <w:rFonts w:ascii="Times New Roman" w:eastAsia="Times New Roman" w:hAnsi="Times New Roman" w:cs="Times New Roman"/>
              <w:bCs/>
            </w:rPr>
            <w:t>.</w:t>
          </w:r>
          <w:r w:rsidR="00736122" w:rsidRPr="00CD6036">
            <w:rPr>
              <w:rFonts w:ascii="Times New Roman" w:eastAsia="Times New Roman" w:hAnsi="Times New Roman" w:cs="Times New Roman"/>
              <w:bCs/>
            </w:rPr>
            <w:t xml:space="preserve"> </w:t>
          </w:r>
        </w:p>
        <w:p w14:paraId="57F0B99A" w14:textId="0FA6CC03" w:rsidR="009F7D10" w:rsidRPr="00CD6036" w:rsidRDefault="009F7D10" w:rsidP="00A626F1">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La ENASEM es un proyecto conjunto del Instituto Nacional de Estadística y Geografía (INEGI), investigadores de las Universidades de Texas, Wisconsin y California de los Estados Unidos de América (</w:t>
          </w:r>
          <w:r w:rsidR="00736122" w:rsidRPr="00CD6036">
            <w:rPr>
              <w:rFonts w:ascii="Times New Roman" w:eastAsia="Times New Roman" w:hAnsi="Times New Roman" w:cs="Times New Roman"/>
              <w:bCs/>
            </w:rPr>
            <w:t>Benítez, 2008</w:t>
          </w:r>
          <w:r w:rsidRPr="00CD6036">
            <w:rPr>
              <w:rFonts w:ascii="Times New Roman" w:eastAsia="Times New Roman" w:hAnsi="Times New Roman" w:cs="Times New Roman"/>
              <w:bCs/>
            </w:rPr>
            <w:t>).</w:t>
          </w:r>
          <w:r w:rsidR="00736122" w:rsidRPr="00CD6036">
            <w:rPr>
              <w:rFonts w:ascii="Times New Roman" w:eastAsia="Times New Roman" w:hAnsi="Times New Roman" w:cs="Times New Roman"/>
              <w:bCs/>
            </w:rPr>
            <w:t xml:space="preserve"> La información más relevante recopilada en esta encuesta incluye: características sociodemográficas, salud, redes de apoyo familiar y financiero, situación laboral, condiciones de vida durante la infancia, historia migratoria, características de la vivienda y servicios de salud (Benítez, 2008).</w:t>
          </w:r>
        </w:p>
        <w:p w14:paraId="34EE67CC" w14:textId="1CDF7383" w:rsidR="00A626F1" w:rsidRPr="00CD6036" w:rsidRDefault="00A626F1" w:rsidP="00D25815">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La técnica principal será el Análisis de </w:t>
          </w:r>
          <w:r w:rsidR="00946591" w:rsidRPr="00CD6036">
            <w:rPr>
              <w:rFonts w:ascii="Times New Roman" w:eastAsia="Times New Roman" w:hAnsi="Times New Roman" w:cs="Times New Roman"/>
              <w:bCs/>
            </w:rPr>
            <w:t>Correspondencia Múltiples</w:t>
          </w:r>
          <w:r w:rsidRPr="00CD6036">
            <w:rPr>
              <w:rFonts w:ascii="Times New Roman" w:eastAsia="Times New Roman" w:hAnsi="Times New Roman" w:cs="Times New Roman"/>
              <w:bCs/>
            </w:rPr>
            <w:t xml:space="preserve"> (AC</w:t>
          </w:r>
          <w:r w:rsidR="00946591" w:rsidRPr="00CD6036">
            <w:rPr>
              <w:rFonts w:ascii="Times New Roman" w:eastAsia="Times New Roman" w:hAnsi="Times New Roman" w:cs="Times New Roman"/>
              <w:bCs/>
            </w:rPr>
            <w:t>M</w:t>
          </w:r>
          <w:r w:rsidRPr="00CD6036">
            <w:rPr>
              <w:rFonts w:ascii="Times New Roman" w:eastAsia="Times New Roman" w:hAnsi="Times New Roman" w:cs="Times New Roman"/>
              <w:bCs/>
            </w:rPr>
            <w:t xml:space="preserve">), que permitirá construir un índice de </w:t>
          </w:r>
          <w:r w:rsidR="00424E3F" w:rsidRPr="00CD6036">
            <w:rPr>
              <w:rFonts w:ascii="Times New Roman" w:eastAsia="Times New Roman" w:hAnsi="Times New Roman" w:cs="Times New Roman"/>
              <w:bCs/>
            </w:rPr>
            <w:t>bien estar</w:t>
          </w:r>
          <w:r w:rsidRPr="00CD6036">
            <w:rPr>
              <w:rFonts w:ascii="Times New Roman" w:eastAsia="Times New Roman" w:hAnsi="Times New Roman" w:cs="Times New Roman"/>
              <w:bCs/>
            </w:rPr>
            <w:t xml:space="preserve"> </w:t>
          </w:r>
          <w:r w:rsidR="00424E3F" w:rsidRPr="00CD6036">
            <w:rPr>
              <w:rFonts w:ascii="Times New Roman" w:eastAsia="Times New Roman" w:hAnsi="Times New Roman" w:cs="Times New Roman"/>
              <w:bCs/>
            </w:rPr>
            <w:t>construido con</w:t>
          </w:r>
          <w:r w:rsidRPr="00CD6036">
            <w:rPr>
              <w:rFonts w:ascii="Times New Roman" w:eastAsia="Times New Roman" w:hAnsi="Times New Roman" w:cs="Times New Roman"/>
              <w:bCs/>
            </w:rPr>
            <w:t xml:space="preserve"> variables</w:t>
          </w:r>
          <w:r w:rsidR="00FD6E1D">
            <w:rPr>
              <w:rFonts w:ascii="Times New Roman" w:eastAsia="Times New Roman" w:hAnsi="Times New Roman" w:cs="Times New Roman"/>
              <w:bCs/>
            </w:rPr>
            <w:t xml:space="preserve"> numéricas y ordinales</w:t>
          </w:r>
          <w:r w:rsidR="00424E3F" w:rsidRPr="00CD6036">
            <w:rPr>
              <w:rFonts w:ascii="Times New Roman" w:eastAsia="Times New Roman" w:hAnsi="Times New Roman" w:cs="Times New Roman"/>
              <w:bCs/>
            </w:rPr>
            <w:t>.</w:t>
          </w:r>
          <w:r w:rsidRPr="00CD6036">
            <w:rPr>
              <w:rFonts w:ascii="Times New Roman" w:eastAsia="Times New Roman" w:hAnsi="Times New Roman" w:cs="Times New Roman"/>
              <w:bCs/>
            </w:rPr>
            <w:t xml:space="preserve"> El AC</w:t>
          </w:r>
          <w:r w:rsidR="00D1220C">
            <w:rPr>
              <w:rFonts w:ascii="Times New Roman" w:eastAsia="Times New Roman" w:hAnsi="Times New Roman" w:cs="Times New Roman"/>
              <w:bCs/>
            </w:rPr>
            <w:t>M</w:t>
          </w:r>
          <w:r w:rsidRPr="00CD6036">
            <w:rPr>
              <w:rFonts w:ascii="Times New Roman" w:eastAsia="Times New Roman" w:hAnsi="Times New Roman" w:cs="Times New Roman"/>
              <w:bCs/>
            </w:rPr>
            <w:t xml:space="preserve"> es una técnica de reducción de dimensiones que facilita identificar patrones generales a partir de datos complejos.</w:t>
          </w:r>
        </w:p>
        <w:p w14:paraId="6C2338D9" w14:textId="546EEE7D" w:rsidR="00FD6E1D" w:rsidRPr="00CD6036" w:rsidRDefault="00A626F1" w:rsidP="009F6C94">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Posteriormente, se aplicará un análisis descriptivo bivariado</w:t>
          </w:r>
          <w:r w:rsidR="00FD6E1D">
            <w:rPr>
              <w:rFonts w:ascii="Times New Roman" w:eastAsia="Times New Roman" w:hAnsi="Times New Roman" w:cs="Times New Roman"/>
              <w:bCs/>
            </w:rPr>
            <w:t xml:space="preserve"> (chi cuadrado)</w:t>
          </w:r>
          <w:r w:rsidRPr="00CD6036">
            <w:rPr>
              <w:rFonts w:ascii="Times New Roman" w:eastAsia="Times New Roman" w:hAnsi="Times New Roman" w:cs="Times New Roman"/>
              <w:bCs/>
            </w:rPr>
            <w:t xml:space="preserve">, mediante tablas de contingencia, para explorar la relación entre los niveles de </w:t>
          </w:r>
          <w:r w:rsidR="006306C9" w:rsidRPr="00CD6036">
            <w:rPr>
              <w:rFonts w:ascii="Times New Roman" w:eastAsia="Times New Roman" w:hAnsi="Times New Roman" w:cs="Times New Roman"/>
              <w:bCs/>
            </w:rPr>
            <w:t>bien estar</w:t>
          </w:r>
          <w:r w:rsidRPr="00CD6036">
            <w:rPr>
              <w:rFonts w:ascii="Times New Roman" w:eastAsia="Times New Roman" w:hAnsi="Times New Roman" w:cs="Times New Roman"/>
              <w:bCs/>
            </w:rPr>
            <w:t xml:space="preserve"> y las variables </w:t>
          </w:r>
          <w:r w:rsidR="00946591" w:rsidRPr="00CD6036">
            <w:rPr>
              <w:rFonts w:ascii="Times New Roman" w:eastAsia="Times New Roman" w:hAnsi="Times New Roman" w:cs="Times New Roman"/>
              <w:bCs/>
            </w:rPr>
            <w:t>seleccionadas</w:t>
          </w:r>
          <w:r w:rsidR="00D25815" w:rsidRPr="00CD6036">
            <w:rPr>
              <w:rFonts w:ascii="Times New Roman" w:eastAsia="Times New Roman" w:hAnsi="Times New Roman" w:cs="Times New Roman"/>
              <w:bCs/>
            </w:rPr>
            <w:t>.</w:t>
          </w:r>
        </w:p>
        <w:p w14:paraId="59AE14B2" w14:textId="742C2966" w:rsidR="00403C24" w:rsidRPr="00CD6036" w:rsidRDefault="007B2189" w:rsidP="00C93979">
          <w:pPr>
            <w:jc w:val="both"/>
            <w:rPr>
              <w:rFonts w:ascii="Times New Roman" w:hAnsi="Times New Roman" w:cs="Times New Roman"/>
              <w:b/>
              <w:bCs/>
            </w:rPr>
          </w:pPr>
          <w:r w:rsidRPr="00CD6036">
            <w:rPr>
              <w:rFonts w:ascii="Times New Roman" w:hAnsi="Times New Roman" w:cs="Times New Roman"/>
              <w:b/>
              <w:bCs/>
            </w:rPr>
            <w:t>Variables del índice de bienestar</w:t>
          </w:r>
        </w:p>
        <w:p w14:paraId="3856C2CB" w14:textId="1E48D1CC" w:rsidR="00117F60" w:rsidRPr="00CD6036" w:rsidRDefault="00117F60" w:rsidP="00117F60">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El bienestar es un fenómeno multidimensional que combina percepciones subjetivas y condiciones materiales objetivas. La percepción de salud y la situación económica percibida se incluyeron por su relevancia como predictores validados de calidad de vida. Ambas variables fueron recodificadas en tres categorías: Buena a excelente, Regular y Mala.</w:t>
          </w:r>
        </w:p>
        <w:p w14:paraId="6D85CE42" w14:textId="22B4D4FF" w:rsidR="00117F60" w:rsidRPr="00CD6036" w:rsidRDefault="00117F60" w:rsidP="00117F60">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lastRenderedPageBreak/>
            <w:t>El componente emocional del bienestar se consideró a través de la variable felicidad, que capta la presencia de afecto positivo y satisfacción subjetiva con la vida, siguiendo recomendaciones internacionales de medición de bienestar. En el plano material, se incorporó el gasto mensual del hogar como indicador indirecto de capacidad de consumo, ajustado en rangos equivalentes a múltiplos del salario mínimo.</w:t>
          </w:r>
        </w:p>
        <w:p w14:paraId="018A4939" w14:textId="6BB9A09F" w:rsidR="00543BEF" w:rsidRPr="00F278C0" w:rsidRDefault="00117F60" w:rsidP="00F278C0">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Finalmente, las condiciones de la vivienda se evaluaron a partir de la tenencia de bienes duraderos como radio, televisión, refrigerador, lavadora, teléfono, calentador de agua, internet y computadora. Para el análisis, se clasificaron como Buenas condiciones aquellas viviendas con cuatro o más bienes y como </w:t>
          </w:r>
          <w:r w:rsidR="007952B5">
            <w:rPr>
              <w:rFonts w:ascii="Times New Roman" w:eastAsia="Times New Roman" w:hAnsi="Times New Roman" w:cs="Times New Roman"/>
              <w:bCs/>
            </w:rPr>
            <w:t>m</w:t>
          </w:r>
          <w:r w:rsidRPr="00CD6036">
            <w:rPr>
              <w:rFonts w:ascii="Times New Roman" w:eastAsia="Times New Roman" w:hAnsi="Times New Roman" w:cs="Times New Roman"/>
              <w:bCs/>
            </w:rPr>
            <w:t>alas condiciones las que tenían menos de cuatro.</w:t>
          </w:r>
        </w:p>
        <w:p w14:paraId="1E066DBE" w14:textId="6A3FEDD2" w:rsidR="007B2189" w:rsidRPr="00CD6036" w:rsidRDefault="00FF3EA9" w:rsidP="00D37F22">
          <w:pPr>
            <w:spacing w:line="240" w:lineRule="auto"/>
            <w:jc w:val="both"/>
            <w:rPr>
              <w:rFonts w:ascii="Times New Roman" w:hAnsi="Times New Roman" w:cs="Times New Roman"/>
              <w:b/>
              <w:bCs/>
            </w:rPr>
          </w:pPr>
          <w:r w:rsidRPr="00CD6036">
            <w:rPr>
              <w:rFonts w:ascii="Times New Roman" w:hAnsi="Times New Roman" w:cs="Times New Roman"/>
              <w:b/>
              <w:bCs/>
            </w:rPr>
            <w:t>Cuadro</w:t>
          </w:r>
          <w:r w:rsidR="00543BEF">
            <w:rPr>
              <w:rFonts w:ascii="Times New Roman" w:hAnsi="Times New Roman" w:cs="Times New Roman"/>
              <w:b/>
              <w:bCs/>
            </w:rPr>
            <w:t xml:space="preserve"> 1.-</w:t>
          </w:r>
          <w:r w:rsidR="00D37F22" w:rsidRPr="00CD6036">
            <w:rPr>
              <w:rFonts w:ascii="Times New Roman" w:hAnsi="Times New Roman" w:cs="Times New Roman"/>
              <w:b/>
              <w:bCs/>
            </w:rPr>
            <w:t>Construcción de indicadores para el índice de bienestar.  México, 2021</w:t>
          </w:r>
        </w:p>
        <w:tbl>
          <w:tblPr>
            <w:tblStyle w:val="TableGrid"/>
            <w:tblW w:w="9487" w:type="dxa"/>
            <w:tblLook w:val="04A0" w:firstRow="1" w:lastRow="0" w:firstColumn="1" w:lastColumn="0" w:noHBand="0" w:noVBand="1"/>
          </w:tblPr>
          <w:tblGrid>
            <w:gridCol w:w="1805"/>
            <w:gridCol w:w="1883"/>
            <w:gridCol w:w="1810"/>
            <w:gridCol w:w="2269"/>
            <w:gridCol w:w="1720"/>
          </w:tblGrid>
          <w:tr w:rsidR="00987CDA" w:rsidRPr="00CD6036" w14:paraId="7552D125" w14:textId="4098A5F2" w:rsidTr="00987CDA">
            <w:trPr>
              <w:trHeight w:val="1473"/>
            </w:trPr>
            <w:tc>
              <w:tcPr>
                <w:tcW w:w="1805" w:type="dxa"/>
              </w:tcPr>
              <w:p w14:paraId="21B98162" w14:textId="3D4E22C7" w:rsidR="00987CDA" w:rsidRPr="00CD6036" w:rsidRDefault="00987CDA" w:rsidP="00C93979">
                <w:pPr>
                  <w:jc w:val="both"/>
                  <w:rPr>
                    <w:rFonts w:ascii="Times New Roman" w:hAnsi="Times New Roman" w:cs="Times New Roman"/>
                  </w:rPr>
                </w:pPr>
                <w:r w:rsidRPr="00CD6036">
                  <w:rPr>
                    <w:rFonts w:ascii="Times New Roman" w:hAnsi="Times New Roman" w:cs="Times New Roman"/>
                  </w:rPr>
                  <w:t>Indicador</w:t>
                </w:r>
              </w:p>
            </w:tc>
            <w:tc>
              <w:tcPr>
                <w:tcW w:w="1883" w:type="dxa"/>
              </w:tcPr>
              <w:p w14:paraId="64A55DBF" w14:textId="3DF68D3E" w:rsidR="00987CDA" w:rsidRPr="00CD6036" w:rsidRDefault="00987CDA" w:rsidP="00C93979">
                <w:pPr>
                  <w:jc w:val="both"/>
                  <w:rPr>
                    <w:rFonts w:ascii="Times New Roman" w:hAnsi="Times New Roman" w:cs="Times New Roman"/>
                  </w:rPr>
                </w:pPr>
                <w:r w:rsidRPr="00CD6036">
                  <w:rPr>
                    <w:rFonts w:ascii="Times New Roman" w:hAnsi="Times New Roman" w:cs="Times New Roman"/>
                  </w:rPr>
                  <w:t>Pregunta</w:t>
                </w:r>
              </w:p>
            </w:tc>
            <w:tc>
              <w:tcPr>
                <w:tcW w:w="1810" w:type="dxa"/>
              </w:tcPr>
              <w:p w14:paraId="370A5DBA" w14:textId="3690558D" w:rsidR="00987CDA" w:rsidRPr="00CD6036" w:rsidRDefault="00987CDA" w:rsidP="00C93979">
                <w:pPr>
                  <w:jc w:val="both"/>
                  <w:rPr>
                    <w:rFonts w:ascii="Times New Roman" w:hAnsi="Times New Roman" w:cs="Times New Roman"/>
                  </w:rPr>
                </w:pPr>
                <w:r w:rsidRPr="00CD6036">
                  <w:rPr>
                    <w:rFonts w:ascii="Times New Roman" w:hAnsi="Times New Roman" w:cs="Times New Roman"/>
                  </w:rPr>
                  <w:t>Escala original</w:t>
                </w:r>
              </w:p>
            </w:tc>
            <w:tc>
              <w:tcPr>
                <w:tcW w:w="2269" w:type="dxa"/>
              </w:tcPr>
              <w:p w14:paraId="23BA6D48" w14:textId="52004434" w:rsidR="00987CDA" w:rsidRPr="00CD6036" w:rsidRDefault="00987CDA" w:rsidP="00C93979">
                <w:pPr>
                  <w:jc w:val="both"/>
                  <w:rPr>
                    <w:rFonts w:ascii="Times New Roman" w:hAnsi="Times New Roman" w:cs="Times New Roman"/>
                  </w:rPr>
                </w:pPr>
                <w:r w:rsidRPr="00CD6036">
                  <w:rPr>
                    <w:rFonts w:ascii="Times New Roman" w:hAnsi="Times New Roman" w:cs="Times New Roman"/>
                  </w:rPr>
                  <w:t>Escala simplificada</w:t>
                </w:r>
              </w:p>
            </w:tc>
            <w:tc>
              <w:tcPr>
                <w:tcW w:w="1720" w:type="dxa"/>
              </w:tcPr>
              <w:p w14:paraId="41FF2C49" w14:textId="16342407" w:rsidR="00987CDA" w:rsidRPr="00CD6036" w:rsidRDefault="00987CDA" w:rsidP="00C93979">
                <w:pPr>
                  <w:jc w:val="both"/>
                  <w:rPr>
                    <w:rFonts w:ascii="Times New Roman" w:hAnsi="Times New Roman" w:cs="Times New Roman"/>
                  </w:rPr>
                </w:pPr>
                <w:r w:rsidRPr="00CD6036">
                  <w:rPr>
                    <w:rFonts w:ascii="Times New Roman" w:hAnsi="Times New Roman" w:cs="Times New Roman"/>
                  </w:rPr>
                  <w:t>Tipo de variable</w:t>
                </w:r>
              </w:p>
            </w:tc>
          </w:tr>
          <w:tr w:rsidR="00987CDA" w:rsidRPr="00CD6036" w14:paraId="08CFCC16" w14:textId="4C4A24A7" w:rsidTr="00987CDA">
            <w:trPr>
              <w:trHeight w:val="736"/>
            </w:trPr>
            <w:tc>
              <w:tcPr>
                <w:tcW w:w="1805" w:type="dxa"/>
              </w:tcPr>
              <w:p w14:paraId="11C0EE62" w14:textId="77777777" w:rsidR="00987CDA" w:rsidRPr="00CD6036" w:rsidRDefault="00987CDA" w:rsidP="007B2189">
                <w:pPr>
                  <w:jc w:val="both"/>
                  <w:rPr>
                    <w:rFonts w:ascii="Times New Roman" w:hAnsi="Times New Roman" w:cs="Times New Roman"/>
                  </w:rPr>
                </w:pPr>
                <w:r w:rsidRPr="00CD6036">
                  <w:rPr>
                    <w:rFonts w:ascii="Times New Roman" w:hAnsi="Times New Roman" w:cs="Times New Roman"/>
                  </w:rPr>
                  <w:t xml:space="preserve">Percepción de </w:t>
                </w:r>
              </w:p>
              <w:p w14:paraId="052E767A" w14:textId="3185D302" w:rsidR="00987CDA" w:rsidRPr="00CD6036" w:rsidRDefault="00987CDA" w:rsidP="007B2189">
                <w:pPr>
                  <w:jc w:val="both"/>
                  <w:rPr>
                    <w:rFonts w:ascii="Times New Roman" w:hAnsi="Times New Roman" w:cs="Times New Roman"/>
                  </w:rPr>
                </w:pPr>
                <w:r w:rsidRPr="00CD6036">
                  <w:rPr>
                    <w:rFonts w:ascii="Times New Roman" w:hAnsi="Times New Roman" w:cs="Times New Roman"/>
                  </w:rPr>
                  <w:t>salud</w:t>
                </w:r>
              </w:p>
            </w:tc>
            <w:tc>
              <w:tcPr>
                <w:tcW w:w="1883" w:type="dxa"/>
              </w:tcPr>
              <w:p w14:paraId="6283C783" w14:textId="58C7FCF9" w:rsidR="00987CDA" w:rsidRPr="00CD6036" w:rsidRDefault="00987CDA" w:rsidP="00C93979">
                <w:pPr>
                  <w:jc w:val="both"/>
                  <w:rPr>
                    <w:rFonts w:ascii="Times New Roman" w:hAnsi="Times New Roman" w:cs="Times New Roman"/>
                  </w:rPr>
                </w:pPr>
                <w:r w:rsidRPr="00CD6036">
                  <w:rPr>
                    <w:rFonts w:ascii="Times New Roman" w:hAnsi="Times New Roman" w:cs="Times New Roman"/>
                  </w:rPr>
                  <w:t>Ahora tengo algunas preguntas sobre su salud, ¿diría usted que su salud es...?</w:t>
                </w:r>
              </w:p>
            </w:tc>
            <w:tc>
              <w:tcPr>
                <w:tcW w:w="1810" w:type="dxa"/>
              </w:tcPr>
              <w:p w14:paraId="0B7F6BF1" w14:textId="19B2A387" w:rsidR="00987CDA" w:rsidRPr="00CD6036" w:rsidRDefault="00987CDA" w:rsidP="00FF3EA9">
                <w:pPr>
                  <w:jc w:val="both"/>
                  <w:rPr>
                    <w:rFonts w:ascii="Times New Roman" w:hAnsi="Times New Roman" w:cs="Times New Roman"/>
                  </w:rPr>
                </w:pPr>
                <w:r w:rsidRPr="00CD6036">
                  <w:rPr>
                    <w:rFonts w:ascii="Times New Roman" w:hAnsi="Times New Roman" w:cs="Times New Roman"/>
                  </w:rPr>
                  <w:t>Excelente</w:t>
                </w:r>
              </w:p>
              <w:p w14:paraId="325CAD68" w14:textId="59837B42" w:rsidR="00987CDA" w:rsidRPr="00CD6036" w:rsidRDefault="00987CDA" w:rsidP="00FF3EA9">
                <w:pPr>
                  <w:jc w:val="both"/>
                  <w:rPr>
                    <w:rFonts w:ascii="Times New Roman" w:hAnsi="Times New Roman" w:cs="Times New Roman"/>
                  </w:rPr>
                </w:pPr>
                <w:r w:rsidRPr="00CD6036">
                  <w:rPr>
                    <w:rFonts w:ascii="Times New Roman" w:hAnsi="Times New Roman" w:cs="Times New Roman"/>
                  </w:rPr>
                  <w:t>Muy buena</w:t>
                </w:r>
              </w:p>
              <w:p w14:paraId="287532BE" w14:textId="241C6EB1" w:rsidR="00987CDA" w:rsidRPr="00CD6036" w:rsidRDefault="00987CDA" w:rsidP="00FF3EA9">
                <w:pPr>
                  <w:jc w:val="both"/>
                  <w:rPr>
                    <w:rFonts w:ascii="Times New Roman" w:hAnsi="Times New Roman" w:cs="Times New Roman"/>
                  </w:rPr>
                </w:pPr>
                <w:r w:rsidRPr="00CD6036">
                  <w:rPr>
                    <w:rFonts w:ascii="Times New Roman" w:hAnsi="Times New Roman" w:cs="Times New Roman"/>
                  </w:rPr>
                  <w:t>Buena</w:t>
                </w:r>
              </w:p>
              <w:p w14:paraId="33287333" w14:textId="4BAC044B" w:rsidR="00987CDA" w:rsidRPr="00CD6036" w:rsidRDefault="00987CDA" w:rsidP="00FF3EA9">
                <w:pPr>
                  <w:jc w:val="both"/>
                  <w:rPr>
                    <w:rFonts w:ascii="Times New Roman" w:hAnsi="Times New Roman" w:cs="Times New Roman"/>
                  </w:rPr>
                </w:pPr>
                <w:r w:rsidRPr="00CD6036">
                  <w:rPr>
                    <w:rFonts w:ascii="Times New Roman" w:hAnsi="Times New Roman" w:cs="Times New Roman"/>
                  </w:rPr>
                  <w:t>Regular</w:t>
                </w:r>
              </w:p>
              <w:p w14:paraId="7489D855" w14:textId="6B37DCEC" w:rsidR="00987CDA" w:rsidRPr="00CD6036" w:rsidRDefault="00987CDA" w:rsidP="00FF3EA9">
                <w:pPr>
                  <w:jc w:val="both"/>
                  <w:rPr>
                    <w:rFonts w:ascii="Times New Roman" w:hAnsi="Times New Roman" w:cs="Times New Roman"/>
                  </w:rPr>
                </w:pPr>
                <w:r w:rsidRPr="00CD6036">
                  <w:rPr>
                    <w:rFonts w:ascii="Times New Roman" w:hAnsi="Times New Roman" w:cs="Times New Roman"/>
                  </w:rPr>
                  <w:t>Mala</w:t>
                </w:r>
              </w:p>
            </w:tc>
            <w:tc>
              <w:tcPr>
                <w:tcW w:w="2269" w:type="dxa"/>
              </w:tcPr>
              <w:p w14:paraId="25615880" w14:textId="1428243C" w:rsidR="00987CDA" w:rsidRPr="00CD6036" w:rsidRDefault="00987CDA" w:rsidP="007F7A2F">
                <w:pPr>
                  <w:pStyle w:val="ListParagraph"/>
                  <w:numPr>
                    <w:ilvl w:val="0"/>
                    <w:numId w:val="4"/>
                  </w:numPr>
                  <w:jc w:val="both"/>
                  <w:rPr>
                    <w:rFonts w:ascii="Times New Roman" w:hAnsi="Times New Roman" w:cs="Times New Roman"/>
                  </w:rPr>
                </w:pPr>
                <w:r w:rsidRPr="00CD6036">
                  <w:rPr>
                    <w:rFonts w:ascii="Times New Roman" w:hAnsi="Times New Roman" w:cs="Times New Roman"/>
                  </w:rPr>
                  <w:t>De buena a excelente</w:t>
                </w:r>
              </w:p>
              <w:p w14:paraId="580F8130" w14:textId="4B19925F" w:rsidR="00987CDA" w:rsidRPr="00CD6036" w:rsidRDefault="00987CDA" w:rsidP="007F7A2F">
                <w:pPr>
                  <w:pStyle w:val="ListParagraph"/>
                  <w:numPr>
                    <w:ilvl w:val="0"/>
                    <w:numId w:val="4"/>
                  </w:numPr>
                  <w:jc w:val="both"/>
                  <w:rPr>
                    <w:rFonts w:ascii="Times New Roman" w:hAnsi="Times New Roman" w:cs="Times New Roman"/>
                  </w:rPr>
                </w:pPr>
                <w:r w:rsidRPr="00CD6036">
                  <w:rPr>
                    <w:rFonts w:ascii="Times New Roman" w:hAnsi="Times New Roman" w:cs="Times New Roman"/>
                  </w:rPr>
                  <w:t>Regular</w:t>
                </w:r>
              </w:p>
              <w:p w14:paraId="673D3CB9" w14:textId="6A241E5A" w:rsidR="00987CDA" w:rsidRPr="00CD6036" w:rsidRDefault="00987CDA" w:rsidP="007F7A2F">
                <w:pPr>
                  <w:pStyle w:val="ListParagraph"/>
                  <w:numPr>
                    <w:ilvl w:val="0"/>
                    <w:numId w:val="4"/>
                  </w:numPr>
                  <w:jc w:val="both"/>
                  <w:rPr>
                    <w:rFonts w:ascii="Times New Roman" w:hAnsi="Times New Roman" w:cs="Times New Roman"/>
                  </w:rPr>
                </w:pPr>
                <w:r w:rsidRPr="00CD6036">
                  <w:rPr>
                    <w:rFonts w:ascii="Times New Roman" w:hAnsi="Times New Roman" w:cs="Times New Roman"/>
                  </w:rPr>
                  <w:t>Mala</w:t>
                </w:r>
              </w:p>
            </w:tc>
            <w:tc>
              <w:tcPr>
                <w:tcW w:w="1720" w:type="dxa"/>
              </w:tcPr>
              <w:p w14:paraId="334F6B2F" w14:textId="05CFFF3B" w:rsidR="00987CDA" w:rsidRPr="00CD6036" w:rsidRDefault="00543BEF" w:rsidP="00C93979">
                <w:pPr>
                  <w:jc w:val="both"/>
                  <w:rPr>
                    <w:rFonts w:ascii="Times New Roman" w:hAnsi="Times New Roman" w:cs="Times New Roman"/>
                  </w:rPr>
                </w:pPr>
                <w:r>
                  <w:rPr>
                    <w:rFonts w:ascii="Times New Roman" w:hAnsi="Times New Roman" w:cs="Times New Roman"/>
                  </w:rPr>
                  <w:t>Ordinal</w:t>
                </w:r>
              </w:p>
            </w:tc>
          </w:tr>
          <w:tr w:rsidR="00987CDA" w:rsidRPr="00CD6036" w14:paraId="4FF78FFF" w14:textId="77777777" w:rsidTr="00987CDA">
            <w:trPr>
              <w:trHeight w:val="736"/>
            </w:trPr>
            <w:tc>
              <w:tcPr>
                <w:tcW w:w="1805" w:type="dxa"/>
              </w:tcPr>
              <w:p w14:paraId="4DF1F0A2" w14:textId="1B603E75" w:rsidR="00987CDA" w:rsidRPr="00CD6036" w:rsidRDefault="00987CDA" w:rsidP="007B2189">
                <w:pPr>
                  <w:jc w:val="both"/>
                  <w:rPr>
                    <w:rFonts w:ascii="Times New Roman" w:hAnsi="Times New Roman" w:cs="Times New Roman"/>
                  </w:rPr>
                </w:pPr>
                <w:r w:rsidRPr="00CD6036">
                  <w:rPr>
                    <w:rFonts w:ascii="Times New Roman" w:hAnsi="Times New Roman" w:cs="Times New Roman"/>
                  </w:rPr>
                  <w:t>Situación económica</w:t>
                </w:r>
              </w:p>
            </w:tc>
            <w:tc>
              <w:tcPr>
                <w:tcW w:w="1883" w:type="dxa"/>
              </w:tcPr>
              <w:p w14:paraId="55A95F00" w14:textId="7B3BFCEB" w:rsidR="00987CDA" w:rsidRPr="00CD6036" w:rsidRDefault="00987CDA" w:rsidP="00C93979">
                <w:pPr>
                  <w:jc w:val="both"/>
                  <w:rPr>
                    <w:rFonts w:ascii="Times New Roman" w:hAnsi="Times New Roman" w:cs="Times New Roman"/>
                  </w:rPr>
                </w:pPr>
                <w:r w:rsidRPr="00CD6036">
                  <w:rPr>
                    <w:rFonts w:ascii="Times New Roman" w:hAnsi="Times New Roman" w:cs="Times New Roman"/>
                  </w:rPr>
                  <w:t>¿Diría usted que su situación económica es...?</w:t>
                </w:r>
              </w:p>
            </w:tc>
            <w:tc>
              <w:tcPr>
                <w:tcW w:w="1810" w:type="dxa"/>
              </w:tcPr>
              <w:p w14:paraId="221CBD9C" w14:textId="77777777" w:rsidR="00987CDA" w:rsidRPr="00CD6036" w:rsidRDefault="00987CDA" w:rsidP="00FF3EA9">
                <w:pPr>
                  <w:jc w:val="both"/>
                  <w:rPr>
                    <w:rFonts w:ascii="Times New Roman" w:hAnsi="Times New Roman" w:cs="Times New Roman"/>
                  </w:rPr>
                </w:pPr>
                <w:r w:rsidRPr="00CD6036">
                  <w:rPr>
                    <w:rFonts w:ascii="Times New Roman" w:hAnsi="Times New Roman" w:cs="Times New Roman"/>
                  </w:rPr>
                  <w:t>Excelente</w:t>
                </w:r>
              </w:p>
              <w:p w14:paraId="43A2C577" w14:textId="77777777" w:rsidR="00987CDA" w:rsidRPr="00CD6036" w:rsidRDefault="00987CDA" w:rsidP="00FF3EA9">
                <w:pPr>
                  <w:jc w:val="both"/>
                  <w:rPr>
                    <w:rFonts w:ascii="Times New Roman" w:hAnsi="Times New Roman" w:cs="Times New Roman"/>
                  </w:rPr>
                </w:pPr>
                <w:r w:rsidRPr="00CD6036">
                  <w:rPr>
                    <w:rFonts w:ascii="Times New Roman" w:hAnsi="Times New Roman" w:cs="Times New Roman"/>
                  </w:rPr>
                  <w:t>Muy buena</w:t>
                </w:r>
              </w:p>
              <w:p w14:paraId="567E3E1F" w14:textId="77777777" w:rsidR="00987CDA" w:rsidRPr="00CD6036" w:rsidRDefault="00987CDA" w:rsidP="00FF3EA9">
                <w:pPr>
                  <w:jc w:val="both"/>
                  <w:rPr>
                    <w:rFonts w:ascii="Times New Roman" w:hAnsi="Times New Roman" w:cs="Times New Roman"/>
                  </w:rPr>
                </w:pPr>
                <w:r w:rsidRPr="00CD6036">
                  <w:rPr>
                    <w:rFonts w:ascii="Times New Roman" w:hAnsi="Times New Roman" w:cs="Times New Roman"/>
                  </w:rPr>
                  <w:t>Buena</w:t>
                </w:r>
              </w:p>
              <w:p w14:paraId="44220793" w14:textId="77777777" w:rsidR="00987CDA" w:rsidRPr="00CD6036" w:rsidRDefault="00987CDA" w:rsidP="00FF3EA9">
                <w:pPr>
                  <w:jc w:val="both"/>
                  <w:rPr>
                    <w:rFonts w:ascii="Times New Roman" w:hAnsi="Times New Roman" w:cs="Times New Roman"/>
                  </w:rPr>
                </w:pPr>
                <w:r w:rsidRPr="00CD6036">
                  <w:rPr>
                    <w:rFonts w:ascii="Times New Roman" w:hAnsi="Times New Roman" w:cs="Times New Roman"/>
                  </w:rPr>
                  <w:t>Regular</w:t>
                </w:r>
              </w:p>
              <w:p w14:paraId="5DAE6F45" w14:textId="688963D9" w:rsidR="00987CDA" w:rsidRPr="00CD6036" w:rsidRDefault="00987CDA" w:rsidP="00FF3EA9">
                <w:pPr>
                  <w:jc w:val="both"/>
                  <w:rPr>
                    <w:rFonts w:ascii="Times New Roman" w:hAnsi="Times New Roman" w:cs="Times New Roman"/>
                  </w:rPr>
                </w:pPr>
                <w:r w:rsidRPr="00CD6036">
                  <w:rPr>
                    <w:rFonts w:ascii="Times New Roman" w:hAnsi="Times New Roman" w:cs="Times New Roman"/>
                  </w:rPr>
                  <w:t>Mala</w:t>
                </w:r>
              </w:p>
            </w:tc>
            <w:tc>
              <w:tcPr>
                <w:tcW w:w="2269" w:type="dxa"/>
              </w:tcPr>
              <w:p w14:paraId="7AB3CDCE" w14:textId="77777777" w:rsidR="00987CDA" w:rsidRPr="00CD6036" w:rsidRDefault="00987CDA" w:rsidP="007F7A2F">
                <w:pPr>
                  <w:pStyle w:val="ListParagraph"/>
                  <w:numPr>
                    <w:ilvl w:val="0"/>
                    <w:numId w:val="5"/>
                  </w:numPr>
                  <w:jc w:val="both"/>
                  <w:rPr>
                    <w:rFonts w:ascii="Times New Roman" w:hAnsi="Times New Roman" w:cs="Times New Roman"/>
                  </w:rPr>
                </w:pPr>
                <w:r w:rsidRPr="00CD6036">
                  <w:rPr>
                    <w:rFonts w:ascii="Times New Roman" w:hAnsi="Times New Roman" w:cs="Times New Roman"/>
                  </w:rPr>
                  <w:t>De buena a excelente</w:t>
                </w:r>
              </w:p>
              <w:p w14:paraId="5EEB4681" w14:textId="77777777" w:rsidR="00987CDA" w:rsidRPr="00CD6036" w:rsidRDefault="00987CDA" w:rsidP="007F7A2F">
                <w:pPr>
                  <w:pStyle w:val="ListParagraph"/>
                  <w:numPr>
                    <w:ilvl w:val="0"/>
                    <w:numId w:val="5"/>
                  </w:numPr>
                  <w:jc w:val="both"/>
                  <w:rPr>
                    <w:rFonts w:ascii="Times New Roman" w:hAnsi="Times New Roman" w:cs="Times New Roman"/>
                  </w:rPr>
                </w:pPr>
                <w:r w:rsidRPr="00CD6036">
                  <w:rPr>
                    <w:rFonts w:ascii="Times New Roman" w:hAnsi="Times New Roman" w:cs="Times New Roman"/>
                  </w:rPr>
                  <w:t>Regular</w:t>
                </w:r>
              </w:p>
              <w:p w14:paraId="07EF95F8" w14:textId="35206BA9" w:rsidR="00987CDA" w:rsidRPr="00CD6036" w:rsidRDefault="00987CDA" w:rsidP="007F7A2F">
                <w:pPr>
                  <w:pStyle w:val="ListParagraph"/>
                  <w:numPr>
                    <w:ilvl w:val="0"/>
                    <w:numId w:val="5"/>
                  </w:numPr>
                  <w:jc w:val="both"/>
                  <w:rPr>
                    <w:rFonts w:ascii="Times New Roman" w:hAnsi="Times New Roman" w:cs="Times New Roman"/>
                  </w:rPr>
                </w:pPr>
                <w:r w:rsidRPr="00CD6036">
                  <w:rPr>
                    <w:rFonts w:ascii="Times New Roman" w:hAnsi="Times New Roman" w:cs="Times New Roman"/>
                  </w:rPr>
                  <w:t>Mala</w:t>
                </w:r>
              </w:p>
            </w:tc>
            <w:tc>
              <w:tcPr>
                <w:tcW w:w="1720" w:type="dxa"/>
              </w:tcPr>
              <w:p w14:paraId="0D58EDCA" w14:textId="30EAB131" w:rsidR="00987CDA" w:rsidRPr="00CD6036" w:rsidRDefault="00543BEF" w:rsidP="00C93979">
                <w:pPr>
                  <w:jc w:val="both"/>
                  <w:rPr>
                    <w:rFonts w:ascii="Times New Roman" w:hAnsi="Times New Roman" w:cs="Times New Roman"/>
                  </w:rPr>
                </w:pPr>
                <w:r>
                  <w:rPr>
                    <w:rFonts w:ascii="Times New Roman" w:hAnsi="Times New Roman" w:cs="Times New Roman"/>
                  </w:rPr>
                  <w:t>Ordinal</w:t>
                </w:r>
              </w:p>
            </w:tc>
          </w:tr>
          <w:tr w:rsidR="00987CDA" w:rsidRPr="00CD6036" w14:paraId="7FB31AEE" w14:textId="1856F519" w:rsidTr="00987CDA">
            <w:trPr>
              <w:trHeight w:val="702"/>
            </w:trPr>
            <w:tc>
              <w:tcPr>
                <w:tcW w:w="1805" w:type="dxa"/>
              </w:tcPr>
              <w:p w14:paraId="26D50B96" w14:textId="3B8F42E4" w:rsidR="00987CDA" w:rsidRPr="00CD6036" w:rsidRDefault="00987CDA" w:rsidP="00C93979">
                <w:pPr>
                  <w:jc w:val="both"/>
                  <w:rPr>
                    <w:rFonts w:ascii="Times New Roman" w:hAnsi="Times New Roman" w:cs="Times New Roman"/>
                  </w:rPr>
                </w:pPr>
                <w:r w:rsidRPr="00CD6036">
                  <w:rPr>
                    <w:rFonts w:ascii="Times New Roman" w:hAnsi="Times New Roman" w:cs="Times New Roman"/>
                  </w:rPr>
                  <w:t>Felicidad</w:t>
                </w:r>
              </w:p>
            </w:tc>
            <w:tc>
              <w:tcPr>
                <w:tcW w:w="1883" w:type="dxa"/>
              </w:tcPr>
              <w:p w14:paraId="562A37AF" w14:textId="0D73A17E" w:rsidR="00987CDA" w:rsidRPr="00CD6036" w:rsidRDefault="00987CDA" w:rsidP="00C93979">
                <w:pPr>
                  <w:jc w:val="both"/>
                  <w:rPr>
                    <w:rFonts w:ascii="Times New Roman" w:hAnsi="Times New Roman" w:cs="Times New Roman"/>
                  </w:rPr>
                </w:pPr>
                <w:r w:rsidRPr="00CD6036">
                  <w:rPr>
                    <w:rFonts w:ascii="Times New Roman" w:hAnsi="Times New Roman" w:cs="Times New Roman"/>
                  </w:rPr>
                  <w:t>¿la mayor parte del tiempo se ha sentido feliz?</w:t>
                </w:r>
              </w:p>
            </w:tc>
            <w:tc>
              <w:tcPr>
                <w:tcW w:w="1810" w:type="dxa"/>
              </w:tcPr>
              <w:p w14:paraId="531B8E0C" w14:textId="77777777" w:rsidR="00987CDA" w:rsidRPr="00CD6036" w:rsidRDefault="00987CDA" w:rsidP="00FF3EA9">
                <w:pPr>
                  <w:jc w:val="both"/>
                  <w:rPr>
                    <w:rFonts w:ascii="Times New Roman" w:hAnsi="Times New Roman" w:cs="Times New Roman"/>
                  </w:rPr>
                </w:pPr>
                <w:r w:rsidRPr="00CD6036">
                  <w:rPr>
                    <w:rFonts w:ascii="Times New Roman" w:hAnsi="Times New Roman" w:cs="Times New Roman"/>
                  </w:rPr>
                  <w:t>Sí</w:t>
                </w:r>
              </w:p>
              <w:p w14:paraId="2CA70546" w14:textId="632539B9" w:rsidR="00987CDA" w:rsidRPr="00CD6036" w:rsidRDefault="00987CDA" w:rsidP="00FF3EA9">
                <w:pPr>
                  <w:jc w:val="both"/>
                  <w:rPr>
                    <w:rFonts w:ascii="Times New Roman" w:hAnsi="Times New Roman" w:cs="Times New Roman"/>
                  </w:rPr>
                </w:pPr>
                <w:r w:rsidRPr="00CD6036">
                  <w:rPr>
                    <w:rFonts w:ascii="Times New Roman" w:hAnsi="Times New Roman" w:cs="Times New Roman"/>
                  </w:rPr>
                  <w:t>No</w:t>
                </w:r>
              </w:p>
            </w:tc>
            <w:tc>
              <w:tcPr>
                <w:tcW w:w="2269" w:type="dxa"/>
              </w:tcPr>
              <w:p w14:paraId="5E365D66" w14:textId="4220DB73" w:rsidR="00987CDA" w:rsidRPr="00CD6036" w:rsidRDefault="00987CDA" w:rsidP="00D0133B">
                <w:pPr>
                  <w:pStyle w:val="ListParagraph"/>
                  <w:numPr>
                    <w:ilvl w:val="0"/>
                    <w:numId w:val="6"/>
                  </w:numPr>
                  <w:jc w:val="both"/>
                  <w:rPr>
                    <w:rFonts w:ascii="Times New Roman" w:hAnsi="Times New Roman" w:cs="Times New Roman"/>
                  </w:rPr>
                </w:pPr>
                <w:r w:rsidRPr="00CD6036">
                  <w:rPr>
                    <w:rFonts w:ascii="Times New Roman" w:hAnsi="Times New Roman" w:cs="Times New Roman"/>
                  </w:rPr>
                  <w:t>Sí</w:t>
                </w:r>
              </w:p>
              <w:p w14:paraId="1E8219F6" w14:textId="4DB2B6D5" w:rsidR="00987CDA" w:rsidRPr="00CD6036" w:rsidRDefault="00987CDA" w:rsidP="00D0133B">
                <w:pPr>
                  <w:pStyle w:val="ListParagraph"/>
                  <w:numPr>
                    <w:ilvl w:val="0"/>
                    <w:numId w:val="6"/>
                  </w:numPr>
                  <w:jc w:val="both"/>
                  <w:rPr>
                    <w:rFonts w:ascii="Times New Roman" w:hAnsi="Times New Roman" w:cs="Times New Roman"/>
                  </w:rPr>
                </w:pPr>
                <w:r w:rsidRPr="00CD6036">
                  <w:rPr>
                    <w:rFonts w:ascii="Times New Roman" w:hAnsi="Times New Roman" w:cs="Times New Roman"/>
                  </w:rPr>
                  <w:t>No</w:t>
                </w:r>
                <w:r w:rsidR="00BB5DD7" w:rsidRPr="00CD6036">
                  <w:rPr>
                    <w:rFonts w:ascii="Times New Roman" w:hAnsi="Times New Roman" w:cs="Times New Roman"/>
                  </w:rPr>
                  <w:t>.</w:t>
                </w:r>
              </w:p>
            </w:tc>
            <w:tc>
              <w:tcPr>
                <w:tcW w:w="1720" w:type="dxa"/>
              </w:tcPr>
              <w:p w14:paraId="002AA972" w14:textId="6277E2DF" w:rsidR="00987CDA" w:rsidRPr="00CD6036" w:rsidRDefault="00543BEF" w:rsidP="00C93979">
                <w:pPr>
                  <w:jc w:val="both"/>
                  <w:rPr>
                    <w:rFonts w:ascii="Times New Roman" w:hAnsi="Times New Roman" w:cs="Times New Roman"/>
                  </w:rPr>
                </w:pPr>
                <w:r>
                  <w:rPr>
                    <w:rFonts w:ascii="Times New Roman" w:hAnsi="Times New Roman" w:cs="Times New Roman"/>
                  </w:rPr>
                  <w:t>Nominal</w:t>
                </w:r>
              </w:p>
            </w:tc>
          </w:tr>
          <w:tr w:rsidR="00987CDA" w:rsidRPr="00CD6036" w14:paraId="1CD03AA7" w14:textId="7A90EDBB" w:rsidTr="00987CDA">
            <w:trPr>
              <w:trHeight w:val="736"/>
            </w:trPr>
            <w:tc>
              <w:tcPr>
                <w:tcW w:w="1805" w:type="dxa"/>
              </w:tcPr>
              <w:p w14:paraId="151D1639" w14:textId="7D70859E" w:rsidR="00987CDA" w:rsidRPr="00CD6036" w:rsidRDefault="00987CDA" w:rsidP="00C93979">
                <w:pPr>
                  <w:jc w:val="both"/>
                  <w:rPr>
                    <w:rFonts w:ascii="Times New Roman" w:hAnsi="Times New Roman" w:cs="Times New Roman"/>
                  </w:rPr>
                </w:pPr>
                <w:r w:rsidRPr="00CD6036">
                  <w:rPr>
                    <w:rFonts w:ascii="Times New Roman" w:hAnsi="Times New Roman" w:cs="Times New Roman"/>
                  </w:rPr>
                  <w:t>Gastos</w:t>
                </w:r>
              </w:p>
            </w:tc>
            <w:tc>
              <w:tcPr>
                <w:tcW w:w="1883" w:type="dxa"/>
              </w:tcPr>
              <w:p w14:paraId="17EA5104" w14:textId="010A1105" w:rsidR="00987CDA" w:rsidRPr="00CD6036" w:rsidRDefault="00987CDA" w:rsidP="00C93979">
                <w:pPr>
                  <w:jc w:val="both"/>
                  <w:rPr>
                    <w:rFonts w:ascii="Times New Roman" w:hAnsi="Times New Roman" w:cs="Times New Roman"/>
                  </w:rPr>
                </w:pPr>
                <w:r w:rsidRPr="00CD6036">
                  <w:rPr>
                    <w:rFonts w:ascii="Times New Roman" w:hAnsi="Times New Roman" w:cs="Times New Roman"/>
                  </w:rPr>
                  <w:t>¿cómo cuánto gastan al mes para el hogar?</w:t>
                </w:r>
              </w:p>
            </w:tc>
            <w:tc>
              <w:tcPr>
                <w:tcW w:w="1810" w:type="dxa"/>
              </w:tcPr>
              <w:p w14:paraId="24EF8ED5" w14:textId="77777777" w:rsidR="00987CDA" w:rsidRPr="00CD6036" w:rsidRDefault="00987CDA" w:rsidP="00FF3EA9">
                <w:pPr>
                  <w:jc w:val="both"/>
                  <w:rPr>
                    <w:rFonts w:ascii="Times New Roman" w:hAnsi="Times New Roman" w:cs="Times New Roman"/>
                  </w:rPr>
                </w:pPr>
                <w:r w:rsidRPr="00CD6036">
                  <w:rPr>
                    <w:rFonts w:ascii="Times New Roman" w:hAnsi="Times New Roman" w:cs="Times New Roman"/>
                  </w:rPr>
                  <w:t xml:space="preserve">Variable </w:t>
                </w:r>
              </w:p>
              <w:p w14:paraId="154750F5" w14:textId="77777777" w:rsidR="00987CDA" w:rsidRPr="00CD6036" w:rsidRDefault="00987CDA" w:rsidP="00FF3EA9">
                <w:pPr>
                  <w:jc w:val="both"/>
                  <w:rPr>
                    <w:rFonts w:ascii="Times New Roman" w:hAnsi="Times New Roman" w:cs="Times New Roman"/>
                  </w:rPr>
                </w:pPr>
                <w:r w:rsidRPr="00CD6036">
                  <w:rPr>
                    <w:rFonts w:ascii="Times New Roman" w:hAnsi="Times New Roman" w:cs="Times New Roman"/>
                  </w:rPr>
                  <w:t xml:space="preserve">numérica </w:t>
                </w:r>
              </w:p>
              <w:p w14:paraId="1332C4CC" w14:textId="6BF976BB" w:rsidR="00987CDA" w:rsidRPr="00CD6036" w:rsidRDefault="00987CDA" w:rsidP="00FF3EA9">
                <w:pPr>
                  <w:jc w:val="both"/>
                  <w:rPr>
                    <w:rFonts w:ascii="Times New Roman" w:hAnsi="Times New Roman" w:cs="Times New Roman"/>
                  </w:rPr>
                </w:pPr>
                <w:r w:rsidRPr="00CD6036">
                  <w:rPr>
                    <w:rFonts w:ascii="Times New Roman" w:hAnsi="Times New Roman" w:cs="Times New Roman"/>
                  </w:rPr>
                  <w:t>continua</w:t>
                </w:r>
              </w:p>
            </w:tc>
            <w:tc>
              <w:tcPr>
                <w:tcW w:w="2269" w:type="dxa"/>
              </w:tcPr>
              <w:p w14:paraId="4D86E51C" w14:textId="77777777" w:rsidR="00987CDA" w:rsidRPr="00CD6036" w:rsidRDefault="00987CDA" w:rsidP="00D0133B">
                <w:pPr>
                  <w:pStyle w:val="ListParagraph"/>
                  <w:numPr>
                    <w:ilvl w:val="0"/>
                    <w:numId w:val="7"/>
                  </w:numPr>
                  <w:jc w:val="both"/>
                  <w:rPr>
                    <w:rFonts w:ascii="Times New Roman" w:hAnsi="Times New Roman" w:cs="Times New Roman"/>
                  </w:rPr>
                </w:pPr>
                <w:r w:rsidRPr="00CD6036">
                  <w:rPr>
                    <w:rFonts w:ascii="Times New Roman" w:hAnsi="Times New Roman" w:cs="Times New Roman"/>
                  </w:rPr>
                  <w:t>Menos de 1 salario mínimo</w:t>
                </w:r>
              </w:p>
              <w:p w14:paraId="1F3BCDBC" w14:textId="32387F3D" w:rsidR="00987CDA" w:rsidRPr="00CD6036" w:rsidRDefault="00987CDA" w:rsidP="00D0133B">
                <w:pPr>
                  <w:pStyle w:val="ListParagraph"/>
                  <w:numPr>
                    <w:ilvl w:val="0"/>
                    <w:numId w:val="7"/>
                  </w:numPr>
                  <w:jc w:val="both"/>
                  <w:rPr>
                    <w:rFonts w:ascii="Times New Roman" w:hAnsi="Times New Roman" w:cs="Times New Roman"/>
                  </w:rPr>
                </w:pPr>
                <w:r w:rsidRPr="00CD6036">
                  <w:rPr>
                    <w:rFonts w:ascii="Times New Roman" w:hAnsi="Times New Roman" w:cs="Times New Roman"/>
                  </w:rPr>
                  <w:t>Entre 1 y 2 salarios mínimos</w:t>
                </w:r>
              </w:p>
              <w:p w14:paraId="17BDB2A1" w14:textId="28B96603" w:rsidR="00987CDA" w:rsidRPr="00CD6036" w:rsidRDefault="00987CDA" w:rsidP="00D0133B">
                <w:pPr>
                  <w:pStyle w:val="ListParagraph"/>
                  <w:numPr>
                    <w:ilvl w:val="0"/>
                    <w:numId w:val="7"/>
                  </w:numPr>
                  <w:jc w:val="both"/>
                  <w:rPr>
                    <w:rFonts w:ascii="Times New Roman" w:hAnsi="Times New Roman" w:cs="Times New Roman"/>
                  </w:rPr>
                </w:pPr>
                <w:r w:rsidRPr="00CD6036">
                  <w:rPr>
                    <w:rFonts w:ascii="Times New Roman" w:hAnsi="Times New Roman" w:cs="Times New Roman"/>
                  </w:rPr>
                  <w:t>Entre 2 y 3 salarios mínimos</w:t>
                </w:r>
              </w:p>
              <w:p w14:paraId="59300A98" w14:textId="36CC536E" w:rsidR="00987CDA" w:rsidRPr="00CD6036" w:rsidRDefault="00987CDA" w:rsidP="00D0133B">
                <w:pPr>
                  <w:pStyle w:val="ListParagraph"/>
                  <w:numPr>
                    <w:ilvl w:val="0"/>
                    <w:numId w:val="7"/>
                  </w:numPr>
                  <w:jc w:val="both"/>
                  <w:rPr>
                    <w:rFonts w:ascii="Times New Roman" w:hAnsi="Times New Roman" w:cs="Times New Roman"/>
                  </w:rPr>
                </w:pPr>
                <w:r w:rsidRPr="00CD6036">
                  <w:rPr>
                    <w:rFonts w:ascii="Times New Roman" w:hAnsi="Times New Roman" w:cs="Times New Roman"/>
                  </w:rPr>
                  <w:lastRenderedPageBreak/>
                  <w:t>Entre 3 y 5 salarios mínimos</w:t>
                </w:r>
              </w:p>
              <w:p w14:paraId="1DB47E62" w14:textId="56D3EBB1" w:rsidR="00987CDA" w:rsidRPr="00CD6036" w:rsidRDefault="00987CDA" w:rsidP="00D0133B">
                <w:pPr>
                  <w:pStyle w:val="ListParagraph"/>
                  <w:numPr>
                    <w:ilvl w:val="0"/>
                    <w:numId w:val="7"/>
                  </w:numPr>
                  <w:jc w:val="both"/>
                  <w:rPr>
                    <w:rFonts w:ascii="Times New Roman" w:hAnsi="Times New Roman" w:cs="Times New Roman"/>
                  </w:rPr>
                </w:pPr>
                <w:r w:rsidRPr="00CD6036">
                  <w:rPr>
                    <w:rFonts w:ascii="Times New Roman" w:hAnsi="Times New Roman" w:cs="Times New Roman"/>
                  </w:rPr>
                  <w:t>Mas de 5 salarios mínimos</w:t>
                </w:r>
              </w:p>
            </w:tc>
            <w:tc>
              <w:tcPr>
                <w:tcW w:w="1720" w:type="dxa"/>
              </w:tcPr>
              <w:p w14:paraId="306138E3" w14:textId="719A77E3" w:rsidR="00987CDA" w:rsidRPr="00CD6036" w:rsidRDefault="00543BEF" w:rsidP="00C93979">
                <w:pPr>
                  <w:jc w:val="both"/>
                  <w:rPr>
                    <w:rFonts w:ascii="Times New Roman" w:hAnsi="Times New Roman" w:cs="Times New Roman"/>
                  </w:rPr>
                </w:pPr>
                <w:r>
                  <w:rPr>
                    <w:rFonts w:ascii="Times New Roman" w:hAnsi="Times New Roman" w:cs="Times New Roman"/>
                  </w:rPr>
                  <w:lastRenderedPageBreak/>
                  <w:t>Ordinal</w:t>
                </w:r>
              </w:p>
            </w:tc>
          </w:tr>
          <w:tr w:rsidR="00987CDA" w:rsidRPr="00CD6036" w14:paraId="6CCD8F06" w14:textId="1D07FA65" w:rsidTr="00987CDA">
            <w:trPr>
              <w:trHeight w:val="736"/>
            </w:trPr>
            <w:tc>
              <w:tcPr>
                <w:tcW w:w="1805" w:type="dxa"/>
              </w:tcPr>
              <w:p w14:paraId="7B66D881" w14:textId="3E671A5D" w:rsidR="00987CDA" w:rsidRPr="00CD6036" w:rsidRDefault="00987CDA" w:rsidP="00C93979">
                <w:pPr>
                  <w:jc w:val="both"/>
                  <w:rPr>
                    <w:rFonts w:ascii="Times New Roman" w:hAnsi="Times New Roman" w:cs="Times New Roman"/>
                  </w:rPr>
                </w:pPr>
                <w:r w:rsidRPr="00CD6036">
                  <w:rPr>
                    <w:rFonts w:ascii="Times New Roman" w:hAnsi="Times New Roman" w:cs="Times New Roman"/>
                  </w:rPr>
                  <w:t>Condiciones de la vivienda</w:t>
                </w:r>
              </w:p>
            </w:tc>
            <w:tc>
              <w:tcPr>
                <w:tcW w:w="1883" w:type="dxa"/>
              </w:tcPr>
              <w:p w14:paraId="1A735910" w14:textId="77777777" w:rsidR="00987CDA" w:rsidRPr="00CD6036" w:rsidRDefault="00987CDA" w:rsidP="00F65D3C">
                <w:pPr>
                  <w:jc w:val="both"/>
                  <w:rPr>
                    <w:rFonts w:ascii="Times New Roman" w:hAnsi="Times New Roman" w:cs="Times New Roman"/>
                  </w:rPr>
                </w:pPr>
                <w:r w:rsidRPr="00CD6036">
                  <w:rPr>
                    <w:rFonts w:ascii="Times New Roman" w:hAnsi="Times New Roman" w:cs="Times New Roman"/>
                  </w:rPr>
                  <w:t xml:space="preserve">¿Esta vivienda tiene </w:t>
                </w:r>
              </w:p>
              <w:p w14:paraId="562C728F" w14:textId="49915A60" w:rsidR="00987CDA" w:rsidRPr="00CD6036" w:rsidRDefault="00987CDA" w:rsidP="00F65D3C">
                <w:pPr>
                  <w:jc w:val="both"/>
                  <w:rPr>
                    <w:rFonts w:ascii="Times New Roman" w:hAnsi="Times New Roman" w:cs="Times New Roman"/>
                  </w:rPr>
                </w:pPr>
                <w:r w:rsidRPr="00CD6036">
                  <w:rPr>
                    <w:rFonts w:ascii="Times New Roman" w:hAnsi="Times New Roman" w:cs="Times New Roman"/>
                  </w:rPr>
                  <w:t xml:space="preserve">Radio o radiograbadora, televisión, </w:t>
                </w:r>
              </w:p>
              <w:p w14:paraId="0233B730" w14:textId="77777777" w:rsidR="00987CDA" w:rsidRPr="00CD6036" w:rsidRDefault="00987CDA" w:rsidP="00F65D3C">
                <w:pPr>
                  <w:jc w:val="both"/>
                  <w:rPr>
                    <w:rFonts w:ascii="Times New Roman" w:hAnsi="Times New Roman" w:cs="Times New Roman"/>
                  </w:rPr>
                </w:pPr>
                <w:r w:rsidRPr="00CD6036">
                  <w:rPr>
                    <w:rFonts w:ascii="Times New Roman" w:hAnsi="Times New Roman" w:cs="Times New Roman"/>
                  </w:rPr>
                  <w:t xml:space="preserve">refrigerador, </w:t>
                </w:r>
              </w:p>
              <w:p w14:paraId="15075ABF" w14:textId="77777777" w:rsidR="00987CDA" w:rsidRPr="00CD6036" w:rsidRDefault="00987CDA" w:rsidP="00F65D3C">
                <w:pPr>
                  <w:jc w:val="both"/>
                  <w:rPr>
                    <w:rFonts w:ascii="Times New Roman" w:hAnsi="Times New Roman" w:cs="Times New Roman"/>
                  </w:rPr>
                </w:pPr>
                <w:r w:rsidRPr="00CD6036">
                  <w:rPr>
                    <w:rFonts w:ascii="Times New Roman" w:hAnsi="Times New Roman" w:cs="Times New Roman"/>
                  </w:rPr>
                  <w:t xml:space="preserve">lavadora, teléfono, </w:t>
                </w:r>
              </w:p>
              <w:p w14:paraId="338CC3C7" w14:textId="35B63F39" w:rsidR="00987CDA" w:rsidRPr="00CD6036" w:rsidRDefault="00987CDA" w:rsidP="00F65D3C">
                <w:pPr>
                  <w:jc w:val="both"/>
                  <w:rPr>
                    <w:rFonts w:ascii="Times New Roman" w:hAnsi="Times New Roman" w:cs="Times New Roman"/>
                  </w:rPr>
                </w:pPr>
                <w:r w:rsidRPr="00CD6036">
                  <w:rPr>
                    <w:rFonts w:ascii="Times New Roman" w:hAnsi="Times New Roman" w:cs="Times New Roman"/>
                  </w:rPr>
                  <w:t>calentador de agua, internet, computadora?</w:t>
                </w:r>
              </w:p>
            </w:tc>
            <w:tc>
              <w:tcPr>
                <w:tcW w:w="1810" w:type="dxa"/>
              </w:tcPr>
              <w:p w14:paraId="087DDCB0" w14:textId="77777777" w:rsidR="00987CDA" w:rsidRPr="00D1220C" w:rsidRDefault="00987CDA" w:rsidP="00FF3EA9">
                <w:pPr>
                  <w:jc w:val="both"/>
                  <w:rPr>
                    <w:rFonts w:ascii="Times New Roman" w:hAnsi="Times New Roman" w:cs="Times New Roman"/>
                  </w:rPr>
                </w:pPr>
                <w:r w:rsidRPr="00D1220C">
                  <w:rPr>
                    <w:rFonts w:ascii="Times New Roman" w:hAnsi="Times New Roman" w:cs="Times New Roman"/>
                  </w:rPr>
                  <w:t xml:space="preserve">Para cada </w:t>
                </w:r>
              </w:p>
              <w:p w14:paraId="5F8804BB" w14:textId="77777777" w:rsidR="00987CDA" w:rsidRPr="00D1220C" w:rsidRDefault="00987CDA" w:rsidP="00FF3EA9">
                <w:pPr>
                  <w:jc w:val="both"/>
                  <w:rPr>
                    <w:rFonts w:ascii="Times New Roman" w:hAnsi="Times New Roman" w:cs="Times New Roman"/>
                  </w:rPr>
                </w:pPr>
                <w:r w:rsidRPr="00D1220C">
                  <w:rPr>
                    <w:rFonts w:ascii="Times New Roman" w:hAnsi="Times New Roman" w:cs="Times New Roman"/>
                  </w:rPr>
                  <w:t xml:space="preserve">bien se le </w:t>
                </w:r>
              </w:p>
              <w:p w14:paraId="002A6E00" w14:textId="77777777" w:rsidR="00987CDA" w:rsidRPr="00D1220C" w:rsidRDefault="00987CDA" w:rsidP="00FF3EA9">
                <w:pPr>
                  <w:jc w:val="both"/>
                  <w:rPr>
                    <w:rFonts w:ascii="Times New Roman" w:hAnsi="Times New Roman" w:cs="Times New Roman"/>
                  </w:rPr>
                </w:pPr>
                <w:r w:rsidRPr="00D1220C">
                  <w:rPr>
                    <w:rFonts w:ascii="Times New Roman" w:hAnsi="Times New Roman" w:cs="Times New Roman"/>
                  </w:rPr>
                  <w:t xml:space="preserve">preguntaba </w:t>
                </w:r>
              </w:p>
              <w:p w14:paraId="76CAB756" w14:textId="77777777" w:rsidR="00987CDA" w:rsidRPr="00D1220C" w:rsidRDefault="00987CDA" w:rsidP="00FF3EA9">
                <w:pPr>
                  <w:jc w:val="both"/>
                  <w:rPr>
                    <w:rFonts w:ascii="Times New Roman" w:hAnsi="Times New Roman" w:cs="Times New Roman"/>
                  </w:rPr>
                </w:pPr>
                <w:r w:rsidRPr="00D1220C">
                  <w:rPr>
                    <w:rFonts w:ascii="Times New Roman" w:hAnsi="Times New Roman" w:cs="Times New Roman"/>
                  </w:rPr>
                  <w:t xml:space="preserve">al </w:t>
                </w:r>
              </w:p>
              <w:p w14:paraId="59E84711" w14:textId="77777777" w:rsidR="00987CDA" w:rsidRPr="00D1220C" w:rsidRDefault="00987CDA" w:rsidP="00FF3EA9">
                <w:pPr>
                  <w:jc w:val="both"/>
                  <w:rPr>
                    <w:rFonts w:ascii="Times New Roman" w:hAnsi="Times New Roman" w:cs="Times New Roman"/>
                  </w:rPr>
                </w:pPr>
                <w:r w:rsidRPr="00D1220C">
                  <w:rPr>
                    <w:rFonts w:ascii="Times New Roman" w:hAnsi="Times New Roman" w:cs="Times New Roman"/>
                  </w:rPr>
                  <w:t xml:space="preserve">entrevistado, </w:t>
                </w:r>
              </w:p>
              <w:p w14:paraId="3EFB43E6" w14:textId="54A56547" w:rsidR="00987CDA" w:rsidRPr="00D1220C" w:rsidRDefault="00987CDA" w:rsidP="00FF3EA9">
                <w:pPr>
                  <w:jc w:val="both"/>
                  <w:rPr>
                    <w:rFonts w:ascii="Times New Roman" w:hAnsi="Times New Roman" w:cs="Times New Roman"/>
                  </w:rPr>
                </w:pPr>
                <w:r w:rsidRPr="00D1220C">
                  <w:rPr>
                    <w:rFonts w:ascii="Times New Roman" w:hAnsi="Times New Roman" w:cs="Times New Roman"/>
                  </w:rPr>
                  <w:t xml:space="preserve">sí contaba </w:t>
                </w:r>
              </w:p>
              <w:p w14:paraId="3A3F66F6" w14:textId="48689789" w:rsidR="00987CDA" w:rsidRPr="00CD6036" w:rsidRDefault="00987CDA" w:rsidP="00FF3EA9">
                <w:pPr>
                  <w:jc w:val="both"/>
                  <w:rPr>
                    <w:rFonts w:ascii="Times New Roman" w:hAnsi="Times New Roman" w:cs="Times New Roman"/>
                  </w:rPr>
                </w:pPr>
                <w:r w:rsidRPr="00D1220C">
                  <w:rPr>
                    <w:rFonts w:ascii="Times New Roman" w:hAnsi="Times New Roman" w:cs="Times New Roman"/>
                  </w:rPr>
                  <w:t>con éste o no</w:t>
                </w:r>
              </w:p>
            </w:tc>
            <w:tc>
              <w:tcPr>
                <w:tcW w:w="2269" w:type="dxa"/>
              </w:tcPr>
              <w:p w14:paraId="17ADFFC3" w14:textId="7A9C7F66" w:rsidR="00987CDA" w:rsidRPr="00CD6036" w:rsidRDefault="00987CDA" w:rsidP="00D0133B">
                <w:pPr>
                  <w:pStyle w:val="ListParagraph"/>
                  <w:numPr>
                    <w:ilvl w:val="0"/>
                    <w:numId w:val="8"/>
                  </w:numPr>
                  <w:jc w:val="both"/>
                  <w:rPr>
                    <w:rFonts w:ascii="Times New Roman" w:hAnsi="Times New Roman" w:cs="Times New Roman"/>
                  </w:rPr>
                </w:pPr>
                <w:r w:rsidRPr="00CD6036">
                  <w:rPr>
                    <w:rFonts w:ascii="Times New Roman" w:hAnsi="Times New Roman" w:cs="Times New Roman"/>
                  </w:rPr>
                  <w:t>Buenas condiciones si la vivienda tiene 4 o más bienes</w:t>
                </w:r>
              </w:p>
              <w:p w14:paraId="2D5DB1A7" w14:textId="3388D7BF" w:rsidR="00987CDA" w:rsidRPr="00CD6036" w:rsidRDefault="00987CDA" w:rsidP="00D0133B">
                <w:pPr>
                  <w:pStyle w:val="ListParagraph"/>
                  <w:numPr>
                    <w:ilvl w:val="0"/>
                    <w:numId w:val="8"/>
                  </w:numPr>
                  <w:jc w:val="both"/>
                  <w:rPr>
                    <w:rFonts w:ascii="Times New Roman" w:hAnsi="Times New Roman" w:cs="Times New Roman"/>
                  </w:rPr>
                </w:pPr>
                <w:r w:rsidRPr="00CD6036">
                  <w:rPr>
                    <w:rFonts w:ascii="Times New Roman" w:hAnsi="Times New Roman" w:cs="Times New Roman"/>
                  </w:rPr>
                  <w:t>Malas condiciones si la vivienda tiene menos de 4 bienes</w:t>
                </w:r>
              </w:p>
            </w:tc>
            <w:tc>
              <w:tcPr>
                <w:tcW w:w="1720" w:type="dxa"/>
              </w:tcPr>
              <w:p w14:paraId="7E7515AD" w14:textId="53F49BA0" w:rsidR="00987CDA" w:rsidRPr="00CD6036" w:rsidRDefault="00543BEF" w:rsidP="00C93979">
                <w:pPr>
                  <w:jc w:val="both"/>
                  <w:rPr>
                    <w:rFonts w:ascii="Times New Roman" w:hAnsi="Times New Roman" w:cs="Times New Roman"/>
                  </w:rPr>
                </w:pPr>
                <w:r>
                  <w:rPr>
                    <w:rFonts w:ascii="Times New Roman" w:hAnsi="Times New Roman" w:cs="Times New Roman"/>
                  </w:rPr>
                  <w:t>Ordinal</w:t>
                </w:r>
              </w:p>
            </w:tc>
          </w:tr>
        </w:tbl>
        <w:p w14:paraId="3F622FD3" w14:textId="5E12ECC3" w:rsidR="001770EC" w:rsidRPr="00CD6036" w:rsidRDefault="00D37F22" w:rsidP="00C93979">
          <w:pPr>
            <w:jc w:val="both"/>
            <w:rPr>
              <w:rFonts w:ascii="Times New Roman" w:hAnsi="Times New Roman" w:cs="Times New Roman"/>
            </w:rPr>
          </w:pPr>
          <w:r w:rsidRPr="00CD6036">
            <w:rPr>
              <w:rFonts w:ascii="Times New Roman" w:hAnsi="Times New Roman" w:cs="Times New Roman"/>
            </w:rPr>
            <w:t>Fuente: Elaboración propia con datos de la ENASEM 2021.</w:t>
          </w:r>
        </w:p>
        <w:p w14:paraId="63630F27" w14:textId="77777777" w:rsidR="001770EC" w:rsidRPr="00CD6036" w:rsidRDefault="001770EC" w:rsidP="00C93979">
          <w:pPr>
            <w:jc w:val="both"/>
            <w:rPr>
              <w:rFonts w:ascii="Times New Roman" w:hAnsi="Times New Roman" w:cs="Times New Roman"/>
            </w:rPr>
          </w:pPr>
        </w:p>
        <w:p w14:paraId="717C5E36" w14:textId="709A3792" w:rsidR="00201AB5" w:rsidRPr="00CD6036" w:rsidRDefault="00987CDA" w:rsidP="00C93979">
          <w:pPr>
            <w:jc w:val="both"/>
            <w:rPr>
              <w:rFonts w:ascii="Times New Roman" w:hAnsi="Times New Roman" w:cs="Times New Roman"/>
              <w:b/>
              <w:bCs/>
            </w:rPr>
          </w:pPr>
          <w:r w:rsidRPr="00CD6036">
            <w:rPr>
              <w:rFonts w:ascii="Times New Roman" w:hAnsi="Times New Roman" w:cs="Times New Roman"/>
              <w:b/>
              <w:bCs/>
            </w:rPr>
            <w:t>Resultado</w:t>
          </w:r>
        </w:p>
        <w:p w14:paraId="7B9EDB76" w14:textId="4F05C26F" w:rsidR="007F6DD1" w:rsidRPr="00CD6036" w:rsidRDefault="007F6DD1" w:rsidP="007F6DD1">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En la tabla de frecuencias relativas</w:t>
          </w:r>
          <w:r w:rsidR="00543BEF">
            <w:rPr>
              <w:rFonts w:ascii="Times New Roman" w:eastAsia="Times New Roman" w:hAnsi="Times New Roman" w:cs="Times New Roman"/>
              <w:bCs/>
            </w:rPr>
            <w:t xml:space="preserve"> (cuadro 2)</w:t>
          </w:r>
          <w:r w:rsidRPr="00CD6036">
            <w:rPr>
              <w:rFonts w:ascii="Times New Roman" w:eastAsia="Times New Roman" w:hAnsi="Times New Roman" w:cs="Times New Roman"/>
              <w:bCs/>
            </w:rPr>
            <w:t>, observamos que tanto mujeres como hombres presentan porcentajes muy similares en las categorías del índice de bienestar. Por ejemplo, alrededor del 92% de las mujeres y 91.4% de los hombres están en la categoría "Bajo", mientras que en la categoría "Alto" hay 7.7% de mujeres y 8.3% de hombres</w:t>
          </w:r>
          <w:r w:rsidR="00CD6036">
            <w:rPr>
              <w:rFonts w:ascii="Times New Roman" w:eastAsia="Times New Roman" w:hAnsi="Times New Roman" w:cs="Times New Roman"/>
              <w:bCs/>
            </w:rPr>
            <w:t xml:space="preserve"> (cuadr</w:t>
          </w:r>
          <w:r w:rsidR="00543BEF">
            <w:rPr>
              <w:rFonts w:ascii="Times New Roman" w:eastAsia="Times New Roman" w:hAnsi="Times New Roman" w:cs="Times New Roman"/>
              <w:bCs/>
            </w:rPr>
            <w:t>o 2</w:t>
          </w:r>
          <w:r w:rsidR="00CD6036">
            <w:rPr>
              <w:rFonts w:ascii="Times New Roman" w:eastAsia="Times New Roman" w:hAnsi="Times New Roman" w:cs="Times New Roman"/>
              <w:bCs/>
            </w:rPr>
            <w:t>)</w:t>
          </w:r>
          <w:r w:rsidRPr="00CD6036">
            <w:rPr>
              <w:rFonts w:ascii="Times New Roman" w:eastAsia="Times New Roman" w:hAnsi="Times New Roman" w:cs="Times New Roman"/>
              <w:bCs/>
            </w:rPr>
            <w:t>.</w:t>
          </w:r>
        </w:p>
        <w:p w14:paraId="6BC39EEE" w14:textId="3EC002C9" w:rsidR="007952B5" w:rsidRPr="00CD6036" w:rsidRDefault="007F6DD1" w:rsidP="007F6DD1">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El valor de la prueba chi-cuadrado (X-</w:t>
          </w:r>
          <w:proofErr w:type="spellStart"/>
          <w:r w:rsidRPr="00CD6036">
            <w:rPr>
              <w:rFonts w:ascii="Times New Roman" w:eastAsia="Times New Roman" w:hAnsi="Times New Roman" w:cs="Times New Roman"/>
              <w:bCs/>
            </w:rPr>
            <w:t>squared</w:t>
          </w:r>
          <w:proofErr w:type="spellEnd"/>
          <w:r w:rsidRPr="00CD6036">
            <w:rPr>
              <w:rFonts w:ascii="Times New Roman" w:eastAsia="Times New Roman" w:hAnsi="Times New Roman" w:cs="Times New Roman"/>
              <w:bCs/>
            </w:rPr>
            <w:t xml:space="preserve"> = 2.46, con 2 grados de libertad) tiene un valor p = 0.29, que es mayor que el umbral típico de 0.05. Esto indica que no hay evidencia estadísticamente significativa para afirmar que el bienestar difiere entre hombres y mujeres en esta muestra. Es decir que no hay diferencias significativas en el nivel de bienestar entre mujeres y hombres en</w:t>
          </w:r>
          <w:r w:rsidR="00543BEF">
            <w:rPr>
              <w:rFonts w:ascii="Times New Roman" w:eastAsia="Times New Roman" w:hAnsi="Times New Roman" w:cs="Times New Roman"/>
              <w:bCs/>
            </w:rPr>
            <w:t xml:space="preserve"> los AM en México</w:t>
          </w:r>
          <w:r w:rsidRPr="00CD6036">
            <w:rPr>
              <w:rFonts w:ascii="Times New Roman" w:eastAsia="Times New Roman" w:hAnsi="Times New Roman" w:cs="Times New Roman"/>
              <w:bCs/>
            </w:rPr>
            <w:t>.</w:t>
          </w:r>
        </w:p>
        <w:p w14:paraId="52775660" w14:textId="399F43D3" w:rsidR="007F6DD1" w:rsidRPr="00CD6036" w:rsidRDefault="007F6DD1" w:rsidP="007F6DD1">
          <w:pPr>
            <w:spacing w:after="0" w:line="240" w:lineRule="auto"/>
            <w:jc w:val="both"/>
            <w:rPr>
              <w:rFonts w:ascii="Times New Roman" w:eastAsia="Times New Roman" w:hAnsi="Times New Roman" w:cs="Times New Roman"/>
              <w:bCs/>
            </w:rPr>
          </w:pPr>
          <w:r w:rsidRPr="00CD6036">
            <w:rPr>
              <w:rFonts w:ascii="Times New Roman" w:eastAsia="Times New Roman" w:hAnsi="Times New Roman" w:cs="Times New Roman"/>
              <w:bCs/>
            </w:rPr>
            <w:t>Cuadro</w:t>
          </w:r>
          <w:r w:rsidR="00543BEF">
            <w:rPr>
              <w:rFonts w:ascii="Times New Roman" w:eastAsia="Times New Roman" w:hAnsi="Times New Roman" w:cs="Times New Roman"/>
              <w:bCs/>
            </w:rPr>
            <w:t xml:space="preserve"> 2</w:t>
          </w:r>
          <w:r w:rsidRPr="00CD6036">
            <w:rPr>
              <w:rFonts w:ascii="Times New Roman" w:eastAsia="Times New Roman" w:hAnsi="Times New Roman" w:cs="Times New Roman"/>
              <w:bCs/>
            </w:rPr>
            <w:t>.</w:t>
          </w:r>
          <w:r w:rsidR="00543BEF">
            <w:rPr>
              <w:rFonts w:ascii="Times New Roman" w:eastAsia="Times New Roman" w:hAnsi="Times New Roman" w:cs="Times New Roman"/>
              <w:bCs/>
            </w:rPr>
            <w:t>-</w:t>
          </w:r>
          <w:r w:rsidRPr="00CD6036">
            <w:rPr>
              <w:rFonts w:ascii="Times New Roman" w:eastAsia="Times New Roman" w:hAnsi="Times New Roman" w:cs="Times New Roman"/>
              <w:bCs/>
            </w:rPr>
            <w:t>Repartición del nivel de bien estar por sexo</w:t>
          </w:r>
        </w:p>
        <w:tbl>
          <w:tblPr>
            <w:tblStyle w:val="TableGrid"/>
            <w:tblW w:w="8839" w:type="dxa"/>
            <w:tblLook w:val="04A0" w:firstRow="1" w:lastRow="0" w:firstColumn="1" w:lastColumn="0" w:noHBand="0" w:noVBand="1"/>
          </w:tblPr>
          <w:tblGrid>
            <w:gridCol w:w="2209"/>
            <w:gridCol w:w="2209"/>
            <w:gridCol w:w="2209"/>
            <w:gridCol w:w="2212"/>
          </w:tblGrid>
          <w:tr w:rsidR="007F6DD1" w:rsidRPr="00CD6036" w14:paraId="5215FF82" w14:textId="77777777" w:rsidTr="00DF4D62">
            <w:trPr>
              <w:trHeight w:val="370"/>
            </w:trPr>
            <w:tc>
              <w:tcPr>
                <w:tcW w:w="2209" w:type="dxa"/>
              </w:tcPr>
              <w:p w14:paraId="47398AD3" w14:textId="3A24AC63"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Sexo\índice bien estar</w:t>
                </w:r>
              </w:p>
            </w:tc>
            <w:tc>
              <w:tcPr>
                <w:tcW w:w="2209" w:type="dxa"/>
              </w:tcPr>
              <w:p w14:paraId="058F945A" w14:textId="6147423B"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Bajo</w:t>
                </w:r>
              </w:p>
            </w:tc>
            <w:tc>
              <w:tcPr>
                <w:tcW w:w="2209" w:type="dxa"/>
              </w:tcPr>
              <w:p w14:paraId="703AF00C" w14:textId="7109C442"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Medio</w:t>
                </w:r>
              </w:p>
            </w:tc>
            <w:tc>
              <w:tcPr>
                <w:tcW w:w="2209" w:type="dxa"/>
              </w:tcPr>
              <w:p w14:paraId="2017F4C5" w14:textId="6BF7223A"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Alto</w:t>
                </w:r>
              </w:p>
            </w:tc>
          </w:tr>
          <w:tr w:rsidR="007F6DD1" w:rsidRPr="00CD6036" w14:paraId="0A27E528" w14:textId="77777777" w:rsidTr="00DF4D62">
            <w:trPr>
              <w:trHeight w:val="381"/>
            </w:trPr>
            <w:tc>
              <w:tcPr>
                <w:tcW w:w="2209" w:type="dxa"/>
              </w:tcPr>
              <w:p w14:paraId="30F8052E" w14:textId="77777777"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Mujer</w:t>
                </w:r>
              </w:p>
            </w:tc>
            <w:tc>
              <w:tcPr>
                <w:tcW w:w="2209" w:type="dxa"/>
              </w:tcPr>
              <w:p w14:paraId="35EB7F37" w14:textId="4212D337"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92.09%</w:t>
                </w:r>
              </w:p>
            </w:tc>
            <w:tc>
              <w:tcPr>
                <w:tcW w:w="2209" w:type="dxa"/>
              </w:tcPr>
              <w:p w14:paraId="267C4217" w14:textId="3A976918"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0.20%</w:t>
                </w:r>
              </w:p>
            </w:tc>
            <w:tc>
              <w:tcPr>
                <w:tcW w:w="2209" w:type="dxa"/>
              </w:tcPr>
              <w:p w14:paraId="08002F6C" w14:textId="4ADC8486"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7.72%</w:t>
                </w:r>
              </w:p>
            </w:tc>
          </w:tr>
          <w:tr w:rsidR="007F6DD1" w:rsidRPr="00CD6036" w14:paraId="543B341E" w14:textId="77777777" w:rsidTr="00DF4D62">
            <w:trPr>
              <w:trHeight w:val="370"/>
            </w:trPr>
            <w:tc>
              <w:tcPr>
                <w:tcW w:w="2209" w:type="dxa"/>
              </w:tcPr>
              <w:p w14:paraId="378ED55F" w14:textId="77777777"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Hombre</w:t>
                </w:r>
              </w:p>
            </w:tc>
            <w:tc>
              <w:tcPr>
                <w:tcW w:w="2209" w:type="dxa"/>
              </w:tcPr>
              <w:p w14:paraId="7D9C6CEF" w14:textId="7DB83831"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91.42%</w:t>
                </w:r>
              </w:p>
            </w:tc>
            <w:tc>
              <w:tcPr>
                <w:tcW w:w="2209" w:type="dxa"/>
              </w:tcPr>
              <w:p w14:paraId="750BFB57" w14:textId="428EB51D"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0.25%</w:t>
                </w:r>
              </w:p>
            </w:tc>
            <w:tc>
              <w:tcPr>
                <w:tcW w:w="2209" w:type="dxa"/>
              </w:tcPr>
              <w:p w14:paraId="67B635CF" w14:textId="5AC6BAD7" w:rsidR="007F6DD1" w:rsidRPr="00CD6036" w:rsidRDefault="007F6DD1"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8.34%</w:t>
                </w:r>
              </w:p>
            </w:tc>
          </w:tr>
          <w:tr w:rsidR="007F6DD1" w:rsidRPr="00C57999" w14:paraId="2A14F16D" w14:textId="77777777" w:rsidTr="00DF4D62">
            <w:trPr>
              <w:trHeight w:val="370"/>
            </w:trPr>
            <w:tc>
              <w:tcPr>
                <w:tcW w:w="8839" w:type="dxa"/>
                <w:gridSpan w:val="4"/>
              </w:tcPr>
              <w:p w14:paraId="7E4B4EA4" w14:textId="7CF1479A" w:rsidR="007F6DD1" w:rsidRPr="00FB2A40" w:rsidRDefault="007F6DD1" w:rsidP="00DF4D62">
                <w:pPr>
                  <w:spacing w:line="360" w:lineRule="auto"/>
                  <w:jc w:val="both"/>
                  <w:rPr>
                    <w:rFonts w:ascii="Times New Roman" w:eastAsia="Times New Roman" w:hAnsi="Times New Roman" w:cs="Times New Roman"/>
                    <w:bCs/>
                    <w:lang w:val="en-US"/>
                  </w:rPr>
                </w:pPr>
                <w:r w:rsidRPr="00FB2A40">
                  <w:rPr>
                    <w:rFonts w:ascii="Times New Roman" w:eastAsia="Times New Roman" w:hAnsi="Times New Roman" w:cs="Times New Roman"/>
                    <w:bCs/>
                    <w:lang w:val="en-US"/>
                  </w:rPr>
                  <w:t xml:space="preserve">X-squared = 2.4572, </w:t>
                </w:r>
                <w:proofErr w:type="spellStart"/>
                <w:r w:rsidRPr="00FB2A40">
                  <w:rPr>
                    <w:rFonts w:ascii="Times New Roman" w:eastAsia="Times New Roman" w:hAnsi="Times New Roman" w:cs="Times New Roman"/>
                    <w:bCs/>
                    <w:lang w:val="en-US"/>
                  </w:rPr>
                  <w:t>df</w:t>
                </w:r>
                <w:proofErr w:type="spellEnd"/>
                <w:r w:rsidRPr="00FB2A40">
                  <w:rPr>
                    <w:rFonts w:ascii="Times New Roman" w:eastAsia="Times New Roman" w:hAnsi="Times New Roman" w:cs="Times New Roman"/>
                    <w:bCs/>
                    <w:lang w:val="en-US"/>
                  </w:rPr>
                  <w:t xml:space="preserve"> = 2, p-value = 0.2927</w:t>
                </w:r>
              </w:p>
            </w:tc>
          </w:tr>
        </w:tbl>
        <w:p w14:paraId="007EA237" w14:textId="77777777" w:rsidR="007F6DD1" w:rsidRPr="00CD6036" w:rsidRDefault="007F6DD1" w:rsidP="007F6DD1">
          <w:pPr>
            <w:spacing w:line="240" w:lineRule="auto"/>
            <w:jc w:val="both"/>
            <w:rPr>
              <w:rFonts w:ascii="Times New Roman" w:hAnsi="Times New Roman" w:cs="Times New Roman"/>
            </w:rPr>
          </w:pPr>
          <w:r w:rsidRPr="00CD6036">
            <w:rPr>
              <w:rFonts w:ascii="Times New Roman" w:hAnsi="Times New Roman" w:cs="Times New Roman"/>
            </w:rPr>
            <w:t>Fuente: Elaboración propia con los datos del ENASEM, 2021.</w:t>
          </w:r>
        </w:p>
        <w:p w14:paraId="2157C794" w14:textId="567E18B3" w:rsidR="00CD6036" w:rsidRDefault="00CD6036" w:rsidP="00CD6036">
          <w:pPr>
            <w:spacing w:line="360" w:lineRule="auto"/>
            <w:jc w:val="both"/>
            <w:rPr>
              <w:rFonts w:ascii="Times New Roman" w:hAnsi="Times New Roman" w:cs="Times New Roman"/>
              <w:b/>
              <w:bCs/>
            </w:rPr>
          </w:pPr>
          <w:r w:rsidRPr="00CD6036">
            <w:rPr>
              <w:rFonts w:ascii="Times New Roman" w:eastAsia="Times New Roman" w:hAnsi="Times New Roman" w:cs="Times New Roman"/>
              <w:kern w:val="0"/>
              <w14:ligatures w14:val="none"/>
            </w:rPr>
            <w:lastRenderedPageBreak/>
            <w:t xml:space="preserve">El análisis de la relación entre el estado civil y el nivel de bienestar muestra diferencias </w:t>
          </w:r>
          <w:r w:rsidRPr="00CD6036">
            <w:rPr>
              <w:rFonts w:ascii="Times New Roman" w:eastAsia="Times New Roman" w:hAnsi="Times New Roman" w:cs="Times New Roman"/>
              <w:bCs/>
            </w:rPr>
            <w:t xml:space="preserve">estadísticamente significativas (χ² = 27.65, </w:t>
          </w:r>
          <w:proofErr w:type="spellStart"/>
          <w:r w:rsidRPr="00CD6036">
            <w:rPr>
              <w:rFonts w:ascii="Times New Roman" w:eastAsia="Times New Roman" w:hAnsi="Times New Roman" w:cs="Times New Roman"/>
              <w:bCs/>
            </w:rPr>
            <w:t>gl</w:t>
          </w:r>
          <w:proofErr w:type="spellEnd"/>
          <w:r w:rsidRPr="00CD6036">
            <w:rPr>
              <w:rFonts w:ascii="Times New Roman" w:eastAsia="Times New Roman" w:hAnsi="Times New Roman" w:cs="Times New Roman"/>
              <w:bCs/>
            </w:rPr>
            <w:t xml:space="preserve"> = 4, p &lt; 0.001). El grupo de personas viudas presenta una proporción considerablemente mayor en el nivel alto de bienestar (13.83%) en comparación con quienes están casados o en unión libre (6.33%)</w:t>
          </w:r>
          <w:r>
            <w:rPr>
              <w:rFonts w:ascii="Times New Roman" w:eastAsia="Times New Roman" w:hAnsi="Times New Roman" w:cs="Times New Roman"/>
              <w:bCs/>
            </w:rPr>
            <w:t xml:space="preserve"> y con quienes están divorciados, separados o solteros con una cifra de 6.41 %. </w:t>
          </w:r>
          <w:r w:rsidRPr="00CD6036">
            <w:rPr>
              <w:rFonts w:ascii="Times New Roman" w:eastAsia="Times New Roman" w:hAnsi="Times New Roman" w:cs="Times New Roman"/>
              <w:bCs/>
            </w:rPr>
            <w:t>En contraste, la proporción de adultos mayores con nivel bajo de bienestar es más elevada entre los casados/unidos (93.50%) y divorciados/separados/solteros (93.34%) que entre los</w:t>
          </w:r>
          <w:r w:rsidRPr="00CD6036">
            <w:rPr>
              <w:rFonts w:ascii="Times New Roman" w:eastAsia="Times New Roman" w:hAnsi="Times New Roman" w:cs="Times New Roman"/>
              <w:kern w:val="0"/>
              <w14:ligatures w14:val="none"/>
            </w:rPr>
            <w:t xml:space="preserve"> viudos (85.85%). El nivel medio de bienestar es poco frecuente en todos los grupos (&lt;0.5%).</w:t>
          </w:r>
        </w:p>
        <w:p w14:paraId="406B1E66" w14:textId="06D14427" w:rsidR="00117F60" w:rsidRPr="00CD6036" w:rsidRDefault="00CD6036" w:rsidP="002C2D18">
          <w:pPr>
            <w:spacing w:line="360" w:lineRule="auto"/>
            <w:jc w:val="both"/>
            <w:rPr>
              <w:rFonts w:ascii="Times New Roman" w:hAnsi="Times New Roman" w:cs="Times New Roman"/>
              <w:b/>
              <w:bCs/>
            </w:rPr>
          </w:pPr>
          <w:r w:rsidRPr="00CD6036">
            <w:rPr>
              <w:rFonts w:ascii="Times New Roman" w:eastAsia="Times New Roman" w:hAnsi="Times New Roman" w:cs="Times New Roman"/>
              <w:kern w:val="0"/>
              <w14:ligatures w14:val="none"/>
            </w:rPr>
            <w:t>Estos resultados sugieren que el estado civil podría estar relacionado con diferencias en las condiciones y percepciones que configuran el bienestar, aunque el patrón observado</w:t>
          </w:r>
          <w:r>
            <w:rPr>
              <w:rFonts w:ascii="Times New Roman" w:eastAsia="Times New Roman" w:hAnsi="Times New Roman" w:cs="Times New Roman"/>
              <w:kern w:val="0"/>
              <w14:ligatures w14:val="none"/>
            </w:rPr>
            <w:t xml:space="preserve">, </w:t>
          </w:r>
          <w:r w:rsidRPr="00CD6036">
            <w:rPr>
              <w:rFonts w:ascii="Times New Roman" w:eastAsia="Times New Roman" w:hAnsi="Times New Roman" w:cs="Times New Roman"/>
              <w:kern w:val="0"/>
              <w14:ligatures w14:val="none"/>
            </w:rPr>
            <w:t xml:space="preserve">particularmente el mayor bienestar en </w:t>
          </w:r>
          <w:r>
            <w:rPr>
              <w:rFonts w:ascii="Times New Roman" w:eastAsia="Times New Roman" w:hAnsi="Times New Roman" w:cs="Times New Roman"/>
              <w:kern w:val="0"/>
              <w14:ligatures w14:val="none"/>
            </w:rPr>
            <w:t xml:space="preserve">las personas </w:t>
          </w:r>
          <w:r w:rsidR="002C2D18" w:rsidRPr="00CD6036">
            <w:rPr>
              <w:rFonts w:ascii="Times New Roman" w:eastAsia="Times New Roman" w:hAnsi="Times New Roman" w:cs="Times New Roman"/>
              <w:kern w:val="0"/>
              <w14:ligatures w14:val="none"/>
            </w:rPr>
            <w:t>viud</w:t>
          </w:r>
          <w:r w:rsidR="002C2D18">
            <w:rPr>
              <w:rFonts w:ascii="Times New Roman" w:eastAsia="Times New Roman" w:hAnsi="Times New Roman" w:cs="Times New Roman"/>
              <w:kern w:val="0"/>
              <w14:ligatures w14:val="none"/>
            </w:rPr>
            <w:t>a</w:t>
          </w:r>
          <w:r w:rsidR="002C2D18" w:rsidRPr="00CD6036">
            <w:rPr>
              <w:rFonts w:ascii="Times New Roman" w:eastAsia="Times New Roman" w:hAnsi="Times New Roman" w:cs="Times New Roman"/>
              <w:kern w:val="0"/>
              <w14:ligatures w14:val="none"/>
            </w:rPr>
            <w:t>s</w:t>
          </w:r>
          <w:r w:rsidRPr="00CD6036">
            <w:rPr>
              <w:rFonts w:ascii="Times New Roman" w:eastAsia="Times New Roman" w:hAnsi="Times New Roman" w:cs="Times New Roman"/>
              <w:kern w:val="0"/>
              <w14:ligatures w14:val="none"/>
            </w:rPr>
            <w:t xml:space="preserve"> podría responder a factores como acceso a pensiones de sobrevivencia, herencias o redes de apoyo familiares específicas</w:t>
          </w:r>
          <w:r w:rsidR="002C2D18">
            <w:rPr>
              <w:rFonts w:ascii="Times New Roman" w:eastAsia="Times New Roman" w:hAnsi="Times New Roman" w:cs="Times New Roman"/>
              <w:kern w:val="0"/>
              <w14:ligatures w14:val="none"/>
            </w:rPr>
            <w:t>.</w:t>
          </w:r>
        </w:p>
        <w:p w14:paraId="795B672D" w14:textId="65C3BD2A" w:rsidR="00776FD6" w:rsidRPr="00CD6036" w:rsidRDefault="00776FD6" w:rsidP="00776FD6">
          <w:pPr>
            <w:spacing w:after="0" w:line="240" w:lineRule="auto"/>
            <w:jc w:val="both"/>
            <w:rPr>
              <w:rFonts w:ascii="Times New Roman" w:eastAsia="Times New Roman" w:hAnsi="Times New Roman" w:cs="Times New Roman"/>
              <w:bCs/>
            </w:rPr>
          </w:pPr>
          <w:r w:rsidRPr="00CD6036">
            <w:rPr>
              <w:rFonts w:ascii="Times New Roman" w:eastAsia="Times New Roman" w:hAnsi="Times New Roman" w:cs="Times New Roman"/>
              <w:bCs/>
            </w:rPr>
            <w:t>Cuadro</w:t>
          </w:r>
          <w:r w:rsidR="00543BEF">
            <w:rPr>
              <w:rFonts w:ascii="Times New Roman" w:eastAsia="Times New Roman" w:hAnsi="Times New Roman" w:cs="Times New Roman"/>
              <w:bCs/>
            </w:rPr>
            <w:t xml:space="preserve"> 3</w:t>
          </w:r>
          <w:r w:rsidRPr="00CD6036">
            <w:rPr>
              <w:rFonts w:ascii="Times New Roman" w:eastAsia="Times New Roman" w:hAnsi="Times New Roman" w:cs="Times New Roman"/>
              <w:bCs/>
            </w:rPr>
            <w:t>.</w:t>
          </w:r>
          <w:r w:rsidR="00543BEF">
            <w:rPr>
              <w:rFonts w:ascii="Times New Roman" w:eastAsia="Times New Roman" w:hAnsi="Times New Roman" w:cs="Times New Roman"/>
              <w:bCs/>
            </w:rPr>
            <w:t>-</w:t>
          </w:r>
          <w:r w:rsidRPr="00CD6036">
            <w:rPr>
              <w:rFonts w:ascii="Times New Roman" w:eastAsia="Times New Roman" w:hAnsi="Times New Roman" w:cs="Times New Roman"/>
              <w:bCs/>
            </w:rPr>
            <w:t>Repartición del nivel de bien estar por estado civil</w:t>
          </w:r>
        </w:p>
        <w:tbl>
          <w:tblPr>
            <w:tblStyle w:val="TableGrid"/>
            <w:tblW w:w="8839" w:type="dxa"/>
            <w:tblLook w:val="04A0" w:firstRow="1" w:lastRow="0" w:firstColumn="1" w:lastColumn="0" w:noHBand="0" w:noVBand="1"/>
          </w:tblPr>
          <w:tblGrid>
            <w:gridCol w:w="2209"/>
            <w:gridCol w:w="2209"/>
            <w:gridCol w:w="2209"/>
            <w:gridCol w:w="2212"/>
          </w:tblGrid>
          <w:tr w:rsidR="00776FD6" w:rsidRPr="00CD6036" w14:paraId="61FE6B09" w14:textId="77777777" w:rsidTr="00776FD6">
            <w:trPr>
              <w:trHeight w:val="370"/>
            </w:trPr>
            <w:tc>
              <w:tcPr>
                <w:tcW w:w="2209" w:type="dxa"/>
              </w:tcPr>
              <w:p w14:paraId="42920F40" w14:textId="56C50629"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Estado civil\índice bien estar</w:t>
                </w:r>
              </w:p>
            </w:tc>
            <w:tc>
              <w:tcPr>
                <w:tcW w:w="2209" w:type="dxa"/>
              </w:tcPr>
              <w:p w14:paraId="785FE549" w14:textId="77777777"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Bajo</w:t>
                </w:r>
              </w:p>
            </w:tc>
            <w:tc>
              <w:tcPr>
                <w:tcW w:w="2209" w:type="dxa"/>
              </w:tcPr>
              <w:p w14:paraId="11EC15F6" w14:textId="77777777"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Medio</w:t>
                </w:r>
              </w:p>
            </w:tc>
            <w:tc>
              <w:tcPr>
                <w:tcW w:w="2212" w:type="dxa"/>
              </w:tcPr>
              <w:p w14:paraId="29133C56" w14:textId="77777777"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Alto</w:t>
                </w:r>
              </w:p>
            </w:tc>
          </w:tr>
          <w:tr w:rsidR="00776FD6" w:rsidRPr="00CD6036" w14:paraId="1BC37BF7" w14:textId="77777777" w:rsidTr="00776FD6">
            <w:trPr>
              <w:trHeight w:val="381"/>
            </w:trPr>
            <w:tc>
              <w:tcPr>
                <w:tcW w:w="2209" w:type="dxa"/>
              </w:tcPr>
              <w:p w14:paraId="785D1028" w14:textId="32F495A9"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Casado o unión libre</w:t>
                </w:r>
              </w:p>
            </w:tc>
            <w:tc>
              <w:tcPr>
                <w:tcW w:w="2209" w:type="dxa"/>
              </w:tcPr>
              <w:p w14:paraId="2541D135" w14:textId="32123110"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93.50%</w:t>
                </w:r>
              </w:p>
            </w:tc>
            <w:tc>
              <w:tcPr>
                <w:tcW w:w="2209" w:type="dxa"/>
              </w:tcPr>
              <w:p w14:paraId="6903AFB3" w14:textId="5E631B6A"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0.18%</w:t>
                </w:r>
              </w:p>
            </w:tc>
            <w:tc>
              <w:tcPr>
                <w:tcW w:w="2212" w:type="dxa"/>
              </w:tcPr>
              <w:p w14:paraId="4D7850E0" w14:textId="08199F81"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6.33%</w:t>
                </w:r>
              </w:p>
            </w:tc>
          </w:tr>
          <w:tr w:rsidR="00776FD6" w:rsidRPr="00CD6036" w14:paraId="2A3207FD" w14:textId="77777777" w:rsidTr="00776FD6">
            <w:trPr>
              <w:trHeight w:val="370"/>
            </w:trPr>
            <w:tc>
              <w:tcPr>
                <w:tcW w:w="2209" w:type="dxa"/>
              </w:tcPr>
              <w:p w14:paraId="35777D5C" w14:textId="7358C738" w:rsidR="00776FD6" w:rsidRPr="00CD6036" w:rsidRDefault="00776FD6" w:rsidP="00DF4D62">
                <w:pPr>
                  <w:spacing w:line="360" w:lineRule="auto"/>
                  <w:jc w:val="both"/>
                  <w:rPr>
                    <w:rFonts w:ascii="Times New Roman" w:eastAsia="Times New Roman" w:hAnsi="Times New Roman" w:cs="Times New Roman"/>
                    <w:bCs/>
                  </w:rPr>
                </w:pPr>
                <w:r w:rsidRPr="00776FD6">
                  <w:rPr>
                    <w:rFonts w:ascii="Times New Roman" w:eastAsia="Times New Roman" w:hAnsi="Times New Roman" w:cs="Times New Roman"/>
                    <w:bCs/>
                  </w:rPr>
                  <w:t>Divorciado, separado o soltero</w:t>
                </w:r>
              </w:p>
            </w:tc>
            <w:tc>
              <w:tcPr>
                <w:tcW w:w="2209" w:type="dxa"/>
              </w:tcPr>
              <w:p w14:paraId="441108F7" w14:textId="0BDCBBBE"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93.34%</w:t>
                </w:r>
              </w:p>
            </w:tc>
            <w:tc>
              <w:tcPr>
                <w:tcW w:w="2209" w:type="dxa"/>
              </w:tcPr>
              <w:p w14:paraId="5C91BDB3" w14:textId="37F4E5CF"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0.25%</w:t>
                </w:r>
              </w:p>
            </w:tc>
            <w:tc>
              <w:tcPr>
                <w:tcW w:w="2212" w:type="dxa"/>
              </w:tcPr>
              <w:p w14:paraId="5E27714A" w14:textId="26504BB0"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6.41%</w:t>
                </w:r>
              </w:p>
            </w:tc>
          </w:tr>
          <w:tr w:rsidR="00776FD6" w:rsidRPr="00CD6036" w14:paraId="364B215F" w14:textId="77777777" w:rsidTr="00776FD6">
            <w:trPr>
              <w:trHeight w:val="370"/>
            </w:trPr>
            <w:tc>
              <w:tcPr>
                <w:tcW w:w="2209" w:type="dxa"/>
              </w:tcPr>
              <w:p w14:paraId="282D763C" w14:textId="6E3F6E90" w:rsidR="00776FD6" w:rsidRPr="00CD6036" w:rsidRDefault="00776FD6" w:rsidP="00DF4D62">
                <w:pPr>
                  <w:spacing w:line="360" w:lineRule="auto"/>
                  <w:jc w:val="both"/>
                  <w:rPr>
                    <w:rFonts w:ascii="Times New Roman" w:eastAsia="Times New Roman" w:hAnsi="Times New Roman" w:cs="Times New Roman"/>
                    <w:bCs/>
                  </w:rPr>
                </w:pPr>
                <w:r w:rsidRPr="00776FD6">
                  <w:rPr>
                    <w:rFonts w:ascii="Times New Roman" w:eastAsia="Times New Roman" w:hAnsi="Times New Roman" w:cs="Times New Roman"/>
                    <w:bCs/>
                  </w:rPr>
                  <w:t>Viudo</w:t>
                </w:r>
              </w:p>
            </w:tc>
            <w:tc>
              <w:tcPr>
                <w:tcW w:w="2209" w:type="dxa"/>
              </w:tcPr>
              <w:p w14:paraId="731DAA65" w14:textId="084C8372"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85.85%</w:t>
                </w:r>
              </w:p>
            </w:tc>
            <w:tc>
              <w:tcPr>
                <w:tcW w:w="2209" w:type="dxa"/>
              </w:tcPr>
              <w:p w14:paraId="541ED349" w14:textId="5C18634D"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0.32%</w:t>
                </w:r>
              </w:p>
            </w:tc>
            <w:tc>
              <w:tcPr>
                <w:tcW w:w="2212" w:type="dxa"/>
              </w:tcPr>
              <w:p w14:paraId="3D9C7541" w14:textId="44FED01D" w:rsidR="00776FD6" w:rsidRPr="00CD6036" w:rsidRDefault="00776FD6"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13.83%</w:t>
                </w:r>
              </w:p>
            </w:tc>
          </w:tr>
          <w:tr w:rsidR="00776FD6" w:rsidRPr="00C57999" w14:paraId="4D1C0326" w14:textId="77777777" w:rsidTr="00DF4D62">
            <w:trPr>
              <w:trHeight w:val="370"/>
            </w:trPr>
            <w:tc>
              <w:tcPr>
                <w:tcW w:w="8839" w:type="dxa"/>
                <w:gridSpan w:val="4"/>
              </w:tcPr>
              <w:p w14:paraId="5C694229" w14:textId="0DF66E51" w:rsidR="00776FD6" w:rsidRPr="00CD6036" w:rsidRDefault="00776FD6" w:rsidP="00DF4D62">
                <w:pPr>
                  <w:spacing w:line="360" w:lineRule="auto"/>
                  <w:jc w:val="both"/>
                  <w:rPr>
                    <w:rFonts w:ascii="Times New Roman" w:eastAsia="Times New Roman" w:hAnsi="Times New Roman" w:cs="Times New Roman"/>
                    <w:bCs/>
                    <w:lang w:val="en-US"/>
                  </w:rPr>
                </w:pPr>
                <w:r w:rsidRPr="00CD6036">
                  <w:rPr>
                    <w:rFonts w:ascii="Times New Roman" w:eastAsia="Times New Roman" w:hAnsi="Times New Roman" w:cs="Times New Roman"/>
                    <w:bCs/>
                    <w:lang w:val="en-US"/>
                  </w:rPr>
                  <w:t xml:space="preserve">X-squared = 2-7.65, </w:t>
                </w:r>
                <w:proofErr w:type="spellStart"/>
                <w:r w:rsidRPr="00CD6036">
                  <w:rPr>
                    <w:rFonts w:ascii="Times New Roman" w:eastAsia="Times New Roman" w:hAnsi="Times New Roman" w:cs="Times New Roman"/>
                    <w:bCs/>
                    <w:lang w:val="en-US"/>
                  </w:rPr>
                  <w:t>df</w:t>
                </w:r>
                <w:proofErr w:type="spellEnd"/>
                <w:r w:rsidRPr="00CD6036">
                  <w:rPr>
                    <w:rFonts w:ascii="Times New Roman" w:eastAsia="Times New Roman" w:hAnsi="Times New Roman" w:cs="Times New Roman"/>
                    <w:bCs/>
                    <w:lang w:val="en-US"/>
                  </w:rPr>
                  <w:t xml:space="preserve"> = 4, p-value &lt; 0.00000000000000022</w:t>
                </w:r>
              </w:p>
            </w:tc>
          </w:tr>
        </w:tbl>
        <w:p w14:paraId="6050315A" w14:textId="61321EB0" w:rsidR="00117F60" w:rsidRDefault="00776FD6" w:rsidP="00FB01BB">
          <w:pPr>
            <w:spacing w:line="240" w:lineRule="auto"/>
            <w:jc w:val="both"/>
            <w:rPr>
              <w:rFonts w:ascii="Times New Roman" w:hAnsi="Times New Roman" w:cs="Times New Roman"/>
            </w:rPr>
          </w:pPr>
          <w:r w:rsidRPr="00CD6036">
            <w:rPr>
              <w:rFonts w:ascii="Times New Roman" w:hAnsi="Times New Roman" w:cs="Times New Roman"/>
            </w:rPr>
            <w:t>Fuente: Elaboración propia con los datos del ENASEM, 2021.</w:t>
          </w:r>
        </w:p>
        <w:p w14:paraId="7DDB8166" w14:textId="77777777" w:rsidR="00FB01BB" w:rsidRPr="00FB01BB" w:rsidRDefault="00FB01BB" w:rsidP="00FB01BB">
          <w:pPr>
            <w:spacing w:line="240" w:lineRule="auto"/>
            <w:jc w:val="both"/>
            <w:rPr>
              <w:rFonts w:ascii="Times New Roman" w:hAnsi="Times New Roman" w:cs="Times New Roman"/>
            </w:rPr>
          </w:pPr>
        </w:p>
        <w:p w14:paraId="419F4DA7" w14:textId="0CBA4693" w:rsidR="00117F60" w:rsidRDefault="00FB01BB" w:rsidP="00FB01BB">
          <w:pPr>
            <w:spacing w:line="360" w:lineRule="auto"/>
            <w:jc w:val="both"/>
            <w:rPr>
              <w:rFonts w:ascii="Times New Roman" w:eastAsia="Times New Roman" w:hAnsi="Times New Roman" w:cs="Times New Roman"/>
              <w:bCs/>
            </w:rPr>
          </w:pPr>
          <w:r w:rsidRPr="00FB01BB">
            <w:rPr>
              <w:rFonts w:ascii="Times New Roman" w:eastAsia="Times New Roman" w:hAnsi="Times New Roman" w:cs="Times New Roman"/>
              <w:bCs/>
            </w:rPr>
            <w:t>De acuerdo con</w:t>
          </w:r>
          <w:r>
            <w:rPr>
              <w:rFonts w:ascii="Times New Roman" w:eastAsia="Times New Roman" w:hAnsi="Times New Roman" w:cs="Times New Roman"/>
              <w:bCs/>
            </w:rPr>
            <w:t xml:space="preserve"> la gráfica 1</w:t>
          </w:r>
          <w:r w:rsidRPr="00FB01BB">
            <w:rPr>
              <w:rFonts w:ascii="Times New Roman" w:eastAsia="Times New Roman" w:hAnsi="Times New Roman" w:cs="Times New Roman"/>
              <w:bCs/>
            </w:rPr>
            <w:t>, el 9</w:t>
          </w:r>
          <w:r>
            <w:rPr>
              <w:rFonts w:ascii="Times New Roman" w:eastAsia="Times New Roman" w:hAnsi="Times New Roman" w:cs="Times New Roman"/>
              <w:bCs/>
            </w:rPr>
            <w:t>1</w:t>
          </w:r>
          <w:r w:rsidRPr="00FB01BB">
            <w:rPr>
              <w:rFonts w:ascii="Times New Roman" w:eastAsia="Times New Roman" w:hAnsi="Times New Roman" w:cs="Times New Roman"/>
              <w:bCs/>
            </w:rPr>
            <w:t>% de los adultos mayores</w:t>
          </w:r>
          <w:r>
            <w:rPr>
              <w:rFonts w:ascii="Times New Roman" w:eastAsia="Times New Roman" w:hAnsi="Times New Roman" w:cs="Times New Roman"/>
              <w:bCs/>
            </w:rPr>
            <w:t>, en México,</w:t>
          </w:r>
          <w:r w:rsidRPr="00FB01BB">
            <w:rPr>
              <w:rFonts w:ascii="Times New Roman" w:eastAsia="Times New Roman" w:hAnsi="Times New Roman" w:cs="Times New Roman"/>
              <w:bCs/>
            </w:rPr>
            <w:t xml:space="preserve"> sin afiliación al seguro social se encuentran en el nivel bajo de bienestar, frente a un 92</w:t>
          </w:r>
          <w:r>
            <w:rPr>
              <w:rFonts w:ascii="Times New Roman" w:eastAsia="Times New Roman" w:hAnsi="Times New Roman" w:cs="Times New Roman"/>
              <w:bCs/>
            </w:rPr>
            <w:t xml:space="preserve"> </w:t>
          </w:r>
          <w:r w:rsidRPr="00FB01BB">
            <w:rPr>
              <w:rFonts w:ascii="Times New Roman" w:eastAsia="Times New Roman" w:hAnsi="Times New Roman" w:cs="Times New Roman"/>
              <w:bCs/>
            </w:rPr>
            <w:t>% en el mismo nivel para quienes sí cuentan con seguro social. En el nivel alto de bienestar, se observa una proporción mayor entre los no afiliados (8.85%) en comparación con los afiliados (6.99%).</w:t>
          </w:r>
        </w:p>
        <w:p w14:paraId="169EB369" w14:textId="057774A3" w:rsidR="002C2D18" w:rsidRDefault="00FB01BB" w:rsidP="007952B5">
          <w:pPr>
            <w:spacing w:line="360" w:lineRule="auto"/>
            <w:jc w:val="both"/>
            <w:rPr>
              <w:rFonts w:ascii="Times New Roman" w:hAnsi="Times New Roman" w:cs="Times New Roman"/>
              <w:b/>
              <w:bCs/>
            </w:rPr>
          </w:pPr>
          <w:r w:rsidRPr="00FB01BB">
            <w:rPr>
              <w:rFonts w:ascii="Times New Roman" w:eastAsia="Times New Roman" w:hAnsi="Times New Roman" w:cs="Times New Roman"/>
              <w:bCs/>
            </w:rPr>
            <w:t xml:space="preserve">El análisis estadístico mediante la prueba chi-cuadrado de independencia reporta un valor de χ² = 19.096 con 2 grados de libertad y un valor p = 7.13 × 10⁻⁵, lo que </w:t>
          </w:r>
          <w:r>
            <w:rPr>
              <w:rFonts w:ascii="Times New Roman" w:eastAsia="Times New Roman" w:hAnsi="Times New Roman" w:cs="Times New Roman"/>
              <w:bCs/>
            </w:rPr>
            <w:t>significa que hay</w:t>
          </w:r>
          <w:r w:rsidRPr="00FB01BB">
            <w:rPr>
              <w:rFonts w:ascii="Times New Roman" w:eastAsia="Times New Roman" w:hAnsi="Times New Roman" w:cs="Times New Roman"/>
              <w:bCs/>
            </w:rPr>
            <w:t xml:space="preserve"> una asociación estadísticamente significativa entre el acceso a servicios médicos y el nivel de bienestar (p &lt; 0.001). Aunque las diferencias porcentuales entre los grupos parecen sutiles</w:t>
          </w:r>
          <w:r>
            <w:rPr>
              <w:rFonts w:ascii="Times New Roman" w:eastAsia="Times New Roman" w:hAnsi="Times New Roman" w:cs="Times New Roman"/>
              <w:bCs/>
            </w:rPr>
            <w:t xml:space="preserve"> </w:t>
          </w:r>
          <w:r>
            <w:rPr>
              <w:rFonts w:ascii="Times New Roman" w:eastAsia="Times New Roman" w:hAnsi="Times New Roman" w:cs="Times New Roman"/>
              <w:bCs/>
            </w:rPr>
            <w:lastRenderedPageBreak/>
            <w:t>en cuanto a los niveles medio y alto</w:t>
          </w:r>
          <w:r w:rsidRPr="00FB01BB">
            <w:rPr>
              <w:rFonts w:ascii="Times New Roman" w:eastAsia="Times New Roman" w:hAnsi="Times New Roman" w:cs="Times New Roman"/>
              <w:bCs/>
            </w:rPr>
            <w:t>, la significancia estadística sugiere que el acceso al derecho a servicios de salud está relacionado con la distribución del índice de bienestar. Este hallazgo es consistente con la literatura que subraya la importancia de la cobertura médica en la calidad y percepción del bienestar.</w:t>
          </w:r>
        </w:p>
        <w:p w14:paraId="26BD230C" w14:textId="5F748E70" w:rsidR="002C2D18" w:rsidRDefault="00EB74C9" w:rsidP="00C93979">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3E069C41" wp14:editId="0F624417">
                    <wp:simplePos x="0" y="0"/>
                    <wp:positionH relativeFrom="column">
                      <wp:posOffset>78105</wp:posOffset>
                    </wp:positionH>
                    <wp:positionV relativeFrom="paragraph">
                      <wp:posOffset>-46355</wp:posOffset>
                    </wp:positionV>
                    <wp:extent cx="5524500" cy="320040"/>
                    <wp:effectExtent l="0" t="0" r="0" b="3810"/>
                    <wp:wrapNone/>
                    <wp:docPr id="354827355" name="Rectangle 5"/>
                    <wp:cNvGraphicFramePr/>
                    <a:graphic xmlns:a="http://schemas.openxmlformats.org/drawingml/2006/main">
                      <a:graphicData uri="http://schemas.microsoft.com/office/word/2010/wordprocessingShape">
                        <wps:wsp>
                          <wps:cNvSpPr/>
                          <wps:spPr>
                            <a:xfrm>
                              <a:off x="0" y="0"/>
                              <a:ext cx="5524500" cy="3200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98E436E" w14:textId="040B305D" w:rsidR="00EB74C9" w:rsidRPr="00543BEF" w:rsidRDefault="00EB74C9" w:rsidP="00EB74C9">
                                <w:pPr>
                                  <w:spacing w:after="0" w:line="360" w:lineRule="auto"/>
                                  <w:jc w:val="center"/>
                                  <w:rPr>
                                    <w:rFonts w:ascii="Times New Roman" w:hAnsi="Times New Roman" w:cs="Times New Roman"/>
                                  </w:rPr>
                                </w:pPr>
                                <w:r w:rsidRPr="00543BEF">
                                  <w:rPr>
                                    <w:rFonts w:ascii="Times New Roman" w:hAnsi="Times New Roman" w:cs="Times New Roman"/>
                                  </w:rPr>
                                  <w:t>Grafica1.</w:t>
                                </w:r>
                                <w:r w:rsidR="00543BEF" w:rsidRPr="00543BEF">
                                  <w:rPr>
                                    <w:rFonts w:ascii="Times New Roman" w:hAnsi="Times New Roman" w:cs="Times New Roman"/>
                                  </w:rPr>
                                  <w:t>-</w:t>
                                </w:r>
                                <w:r w:rsidRPr="00543BEF">
                                  <w:rPr>
                                    <w:rFonts w:ascii="Times New Roman" w:hAnsi="Times New Roman" w:cs="Times New Roman"/>
                                  </w:rPr>
                                  <w:t>Distribución del nivel de bien estar según el seguro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069C41" id="Rectangle 5" o:spid="_x0000_s1026" style="position:absolute;left:0;text-align:left;margin-left:6.15pt;margin-top:-3.65pt;width:435pt;height:2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" fillcolor="white [3201]" stroked="f" strokeweight="1.5pt">
                    <v:textbox>
                      <w:txbxContent>
                        <w:p w14:paraId="098E436E" w14:textId="040B305D" w:rsidR="00EB74C9" w:rsidRPr="00543BEF" w:rsidRDefault="00EB74C9" w:rsidP="00EB74C9">
                          <w:pPr>
                            <w:spacing w:after="0" w:line="360" w:lineRule="auto"/>
                            <w:jc w:val="center"/>
                            <w:rPr>
                              <w:rFonts w:ascii="Times New Roman" w:hAnsi="Times New Roman" w:cs="Times New Roman"/>
                            </w:rPr>
                          </w:pPr>
                          <w:r w:rsidRPr="00543BEF">
                            <w:rPr>
                              <w:rFonts w:ascii="Times New Roman" w:hAnsi="Times New Roman" w:cs="Times New Roman"/>
                            </w:rPr>
                            <w:t>Grafica1.</w:t>
                          </w:r>
                          <w:r w:rsidR="00543BEF" w:rsidRPr="00543BEF">
                            <w:rPr>
                              <w:rFonts w:ascii="Times New Roman" w:hAnsi="Times New Roman" w:cs="Times New Roman"/>
                            </w:rPr>
                            <w:t>-</w:t>
                          </w:r>
                          <w:r w:rsidRPr="00543BEF">
                            <w:rPr>
                              <w:rFonts w:ascii="Times New Roman" w:hAnsi="Times New Roman" w:cs="Times New Roman"/>
                            </w:rPr>
                            <w:t>Distribución del nivel de bien estar según el seguro social</w:t>
                          </w:r>
                        </w:p>
                      </w:txbxContent>
                    </v:textbox>
                  </v:rect>
                </w:pict>
              </mc:Fallback>
            </mc:AlternateContent>
          </w:r>
          <w:r>
            <w:rPr>
              <w:rFonts w:ascii="Times New Roman" w:hAnsi="Times New Roman" w:cs="Times New Roman"/>
              <w:b/>
              <w:bCs/>
              <w:noProof/>
            </w:rPr>
            <w:drawing>
              <wp:inline distT="0" distB="0" distL="0" distR="0" wp14:anchorId="44C44022" wp14:editId="5BB09404">
                <wp:extent cx="4945380" cy="3383280"/>
                <wp:effectExtent l="0" t="0" r="7620" b="7620"/>
                <wp:docPr id="78229357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93579"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5380" cy="3383280"/>
                        </a:xfrm>
                        <a:prstGeom prst="rect">
                          <a:avLst/>
                        </a:prstGeom>
                      </pic:spPr>
                    </pic:pic>
                  </a:graphicData>
                </a:graphic>
              </wp:inline>
            </w:drawing>
          </w:r>
        </w:p>
        <w:p w14:paraId="4476B550" w14:textId="15893C5A" w:rsidR="002C2D18" w:rsidRDefault="00543BEF" w:rsidP="00C93979">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6F97D2BF" wp14:editId="4CDCFE1E">
                    <wp:simplePos x="0" y="0"/>
                    <wp:positionH relativeFrom="margin">
                      <wp:align>left</wp:align>
                    </wp:positionH>
                    <wp:positionV relativeFrom="paragraph">
                      <wp:posOffset>6985</wp:posOffset>
                    </wp:positionV>
                    <wp:extent cx="5619750" cy="335280"/>
                    <wp:effectExtent l="0" t="0" r="0" b="7620"/>
                    <wp:wrapNone/>
                    <wp:docPr id="420789690" name="Rectangle 4"/>
                    <wp:cNvGraphicFramePr/>
                    <a:graphic xmlns:a="http://schemas.openxmlformats.org/drawingml/2006/main">
                      <a:graphicData uri="http://schemas.microsoft.com/office/word/2010/wordprocessingShape">
                        <wps:wsp>
                          <wps:cNvSpPr/>
                          <wps:spPr>
                            <a:xfrm>
                              <a:off x="0" y="0"/>
                              <a:ext cx="5619750" cy="3352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E91D898" w14:textId="77777777" w:rsidR="00EB74C9" w:rsidRPr="00EB74C9" w:rsidRDefault="00EB74C9" w:rsidP="00EB74C9">
                                <w:pPr>
                                  <w:spacing w:after="0" w:line="360" w:lineRule="auto"/>
                                  <w:jc w:val="center"/>
                                  <w:rPr>
                                    <w:lang w:val="en-US"/>
                                  </w:rPr>
                                </w:pPr>
                                <w:r w:rsidRPr="00EB74C9">
                                  <w:rPr>
                                    <w:lang w:val="en-US"/>
                                  </w:rPr>
                                  <w:t>X-</w:t>
                                </w:r>
                                <w:r w:rsidRPr="00EB74C9">
                                  <w:rPr>
                                    <w:rFonts w:ascii="Times New Roman" w:hAnsi="Times New Roman" w:cs="Times New Roman"/>
                                    <w:lang w:val="en-US"/>
                                  </w:rPr>
                                  <w:t>squared</w:t>
                                </w:r>
                                <w:r w:rsidRPr="00EB74C9">
                                  <w:rPr>
                                    <w:lang w:val="en-US"/>
                                  </w:rPr>
                                  <w:t xml:space="preserve"> = 19.096, </w:t>
                                </w:r>
                                <w:r w:rsidRPr="00EB74C9">
                                  <w:rPr>
                                    <w:lang w:val="en-US"/>
                                  </w:rPr>
                                  <w:t>df = 2, p-value = 0.</w:t>
                                </w:r>
                                <w:r w:rsidRPr="00EB74C9">
                                  <w:rPr>
                                    <w:rFonts w:ascii="Times New Roman" w:eastAsia="Times New Roman" w:hAnsi="Times New Roman" w:cs="Times New Roman"/>
                                    <w:bCs/>
                                    <w:lang w:val="en-US"/>
                                  </w:rPr>
                                  <w:t>00007133</w:t>
                                </w:r>
                              </w:p>
                              <w:p w14:paraId="1C9EDC5A" w14:textId="77777777" w:rsidR="00EB74C9" w:rsidRPr="00EB74C9" w:rsidRDefault="00EB74C9" w:rsidP="00EB74C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7D2BF" id="Rectangle 4" o:spid="_x0000_s1027" style="position:absolute;left:0;text-align:left;margin-left:0;margin-top:.55pt;width:442.5pt;height:26.4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" fillcolor="white [3201]" stroked="f" strokeweight="1.5pt">
                    <v:textbox>
                      <w:txbxContent>
                        <w:p w14:paraId="2E91D898" w14:textId="77777777" w:rsidR="00EB74C9" w:rsidRPr="00EB74C9" w:rsidRDefault="00EB74C9" w:rsidP="00EB74C9">
                          <w:pPr>
                            <w:spacing w:after="0" w:line="360" w:lineRule="auto"/>
                            <w:jc w:val="center"/>
                            <w:rPr>
                              <w:lang w:val="en-US"/>
                            </w:rPr>
                          </w:pPr>
                          <w:r w:rsidRPr="00EB74C9">
                            <w:rPr>
                              <w:lang w:val="en-US"/>
                            </w:rPr>
                            <w:t>X-</w:t>
                          </w:r>
                          <w:r w:rsidRPr="00EB74C9">
                            <w:rPr>
                              <w:rFonts w:ascii="Times New Roman" w:hAnsi="Times New Roman" w:cs="Times New Roman"/>
                              <w:lang w:val="en-US"/>
                            </w:rPr>
                            <w:t>squared</w:t>
                          </w:r>
                          <w:r w:rsidRPr="00EB74C9">
                            <w:rPr>
                              <w:lang w:val="en-US"/>
                            </w:rPr>
                            <w:t xml:space="preserve"> = 19.096, </w:t>
                          </w:r>
                          <w:proofErr w:type="spellStart"/>
                          <w:r w:rsidRPr="00EB74C9">
                            <w:rPr>
                              <w:lang w:val="en-US"/>
                            </w:rPr>
                            <w:t>df</w:t>
                          </w:r>
                          <w:proofErr w:type="spellEnd"/>
                          <w:r w:rsidRPr="00EB74C9">
                            <w:rPr>
                              <w:lang w:val="en-US"/>
                            </w:rPr>
                            <w:t xml:space="preserve"> = 2, p-value = 0.</w:t>
                          </w:r>
                          <w:r w:rsidRPr="00EB74C9">
                            <w:rPr>
                              <w:rFonts w:ascii="Times New Roman" w:eastAsia="Times New Roman" w:hAnsi="Times New Roman" w:cs="Times New Roman"/>
                              <w:bCs/>
                              <w:lang w:val="en-US"/>
                            </w:rPr>
                            <w:t>00007133</w:t>
                          </w:r>
                        </w:p>
                        <w:p w14:paraId="1C9EDC5A" w14:textId="77777777" w:rsidR="00EB74C9" w:rsidRPr="00EB74C9" w:rsidRDefault="00EB74C9" w:rsidP="00EB74C9">
                          <w:pPr>
                            <w:jc w:val="center"/>
                            <w:rPr>
                              <w:lang w:val="en-US"/>
                            </w:rPr>
                          </w:pPr>
                        </w:p>
                      </w:txbxContent>
                    </v:textbox>
                    <w10:wrap anchorx="margin"/>
                  </v:rect>
                </w:pict>
              </mc:Fallback>
            </mc:AlternateContent>
          </w:r>
        </w:p>
        <w:p w14:paraId="5D3D0037" w14:textId="093AF827" w:rsidR="002C2D18" w:rsidRDefault="00EB74C9" w:rsidP="00C93979">
          <w:pPr>
            <w:jc w:val="both"/>
            <w:rPr>
              <w:rFonts w:ascii="Times New Roman" w:hAnsi="Times New Roman" w:cs="Times New Roman"/>
              <w:b/>
              <w:bCs/>
            </w:rPr>
          </w:pPr>
          <w:r w:rsidRPr="00CD6036">
            <w:rPr>
              <w:rFonts w:ascii="Times New Roman" w:hAnsi="Times New Roman" w:cs="Times New Roman"/>
            </w:rPr>
            <w:t>Fuente: Elaboración propia con los datos del ENASEM, 2021</w:t>
          </w:r>
        </w:p>
        <w:p w14:paraId="68F3B6AF" w14:textId="77777777" w:rsidR="00823B6B" w:rsidRDefault="00823B6B" w:rsidP="00C93979">
          <w:pPr>
            <w:jc w:val="both"/>
            <w:rPr>
              <w:rFonts w:ascii="Times New Roman" w:hAnsi="Times New Roman" w:cs="Times New Roman"/>
              <w:b/>
              <w:bCs/>
            </w:rPr>
          </w:pPr>
        </w:p>
        <w:p w14:paraId="55A8D6C6" w14:textId="0D84DD25" w:rsidR="00823B6B" w:rsidRDefault="00823B6B" w:rsidP="00F278C0">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En el cuadro</w:t>
          </w:r>
          <w:r w:rsidR="00543BEF">
            <w:rPr>
              <w:rFonts w:ascii="Times New Roman" w:eastAsia="Times New Roman" w:hAnsi="Times New Roman" w:cs="Times New Roman"/>
              <w:bCs/>
            </w:rPr>
            <w:t xml:space="preserve"> 4</w:t>
          </w:r>
          <w:r>
            <w:rPr>
              <w:rFonts w:ascii="Times New Roman" w:eastAsia="Times New Roman" w:hAnsi="Times New Roman" w:cs="Times New Roman"/>
              <w:bCs/>
            </w:rPr>
            <w:t>, para los AM</w:t>
          </w:r>
          <w:r w:rsidRPr="00823B6B">
            <w:rPr>
              <w:rFonts w:ascii="Times New Roman" w:eastAsia="Times New Roman" w:hAnsi="Times New Roman" w:cs="Times New Roman"/>
              <w:bCs/>
            </w:rPr>
            <w:t xml:space="preserve"> que no recibe ayuda de hijos o nietos, 93.36% se encuentra en la categoría de bienestar bajo, el 0.22% en el nivel medio y el 6.42% en el nivel alto. Por su parte, entre quienes sí reciben ayuda, el 90.03% presenta bienestar bajo, el 0.19% bienestar medio y el 9.78% bienestar alto.</w:t>
          </w:r>
          <w:r>
            <w:rPr>
              <w:rFonts w:ascii="Times New Roman" w:eastAsia="Times New Roman" w:hAnsi="Times New Roman" w:cs="Times New Roman"/>
              <w:bCs/>
            </w:rPr>
            <w:t xml:space="preserve"> </w:t>
          </w:r>
          <w:r w:rsidRPr="00823B6B">
            <w:rPr>
              <w:rFonts w:ascii="Times New Roman" w:eastAsia="Times New Roman" w:hAnsi="Times New Roman" w:cs="Times New Roman"/>
              <w:bCs/>
            </w:rPr>
            <w:t xml:space="preserve">La prueba de chi-cuadrado de independencia arroja un valor de χ² = 52.467 con 2 grados de libertad y un valor p = 4.04 × 10⁻¹², lo que indica una asociación estadísticamente significativa entre </w:t>
          </w:r>
          <w:r w:rsidR="00543BEF">
            <w:rPr>
              <w:rFonts w:ascii="Times New Roman" w:eastAsia="Times New Roman" w:hAnsi="Times New Roman" w:cs="Times New Roman"/>
              <w:bCs/>
            </w:rPr>
            <w:t>la variable</w:t>
          </w:r>
          <w:r w:rsidRPr="00823B6B">
            <w:rPr>
              <w:rFonts w:ascii="Times New Roman" w:eastAsia="Times New Roman" w:hAnsi="Times New Roman" w:cs="Times New Roman"/>
              <w:bCs/>
            </w:rPr>
            <w:t xml:space="preserve"> ayuda familiar y el nivel de bienestar.</w:t>
          </w:r>
        </w:p>
        <w:p w14:paraId="5E095CC6" w14:textId="77777777" w:rsidR="00F81E3B" w:rsidRDefault="00F81E3B" w:rsidP="00F278C0">
          <w:pPr>
            <w:spacing w:line="360" w:lineRule="auto"/>
            <w:jc w:val="both"/>
            <w:rPr>
              <w:rFonts w:ascii="Times New Roman" w:eastAsia="Times New Roman" w:hAnsi="Times New Roman" w:cs="Times New Roman"/>
              <w:bCs/>
            </w:rPr>
          </w:pPr>
        </w:p>
        <w:p w14:paraId="2F295B80" w14:textId="77777777" w:rsidR="00F81E3B" w:rsidRPr="00F278C0" w:rsidRDefault="00F81E3B" w:rsidP="00F278C0">
          <w:pPr>
            <w:spacing w:line="360" w:lineRule="auto"/>
            <w:jc w:val="both"/>
            <w:rPr>
              <w:rFonts w:ascii="Times New Roman" w:eastAsia="Times New Roman" w:hAnsi="Times New Roman" w:cs="Times New Roman"/>
              <w:bCs/>
            </w:rPr>
          </w:pPr>
        </w:p>
        <w:p w14:paraId="0B4F5B09" w14:textId="3984ADBB" w:rsidR="00823B6B" w:rsidRPr="00CD6036" w:rsidRDefault="00823B6B" w:rsidP="00823B6B">
          <w:pPr>
            <w:spacing w:after="0" w:line="240" w:lineRule="auto"/>
            <w:jc w:val="both"/>
            <w:rPr>
              <w:rFonts w:ascii="Times New Roman" w:eastAsia="Times New Roman" w:hAnsi="Times New Roman" w:cs="Times New Roman"/>
              <w:bCs/>
            </w:rPr>
          </w:pPr>
          <w:r w:rsidRPr="00CD6036">
            <w:rPr>
              <w:rFonts w:ascii="Times New Roman" w:eastAsia="Times New Roman" w:hAnsi="Times New Roman" w:cs="Times New Roman"/>
              <w:bCs/>
            </w:rPr>
            <w:lastRenderedPageBreak/>
            <w:t xml:space="preserve">Cuadro </w:t>
          </w:r>
          <w:r w:rsidR="00543BEF">
            <w:rPr>
              <w:rFonts w:ascii="Times New Roman" w:eastAsia="Times New Roman" w:hAnsi="Times New Roman" w:cs="Times New Roman"/>
              <w:bCs/>
            </w:rPr>
            <w:t>4</w:t>
          </w:r>
          <w:r w:rsidRPr="00CD6036">
            <w:rPr>
              <w:rFonts w:ascii="Times New Roman" w:eastAsia="Times New Roman" w:hAnsi="Times New Roman" w:cs="Times New Roman"/>
              <w:bCs/>
            </w:rPr>
            <w:t>.</w:t>
          </w:r>
          <w:r w:rsidR="00543BEF">
            <w:rPr>
              <w:rFonts w:ascii="Times New Roman" w:eastAsia="Times New Roman" w:hAnsi="Times New Roman" w:cs="Times New Roman"/>
              <w:bCs/>
            </w:rPr>
            <w:t>-</w:t>
          </w:r>
          <w:r w:rsidRPr="00CD6036">
            <w:rPr>
              <w:rFonts w:ascii="Times New Roman" w:eastAsia="Times New Roman" w:hAnsi="Times New Roman" w:cs="Times New Roman"/>
              <w:bCs/>
            </w:rPr>
            <w:t xml:space="preserve">Repartición del nivel de bien estar por </w:t>
          </w:r>
          <w:r>
            <w:rPr>
              <w:rFonts w:ascii="Times New Roman" w:eastAsia="Times New Roman" w:hAnsi="Times New Roman" w:cs="Times New Roman"/>
              <w:bCs/>
            </w:rPr>
            <w:t>el hecho que tiene ayuda o no</w:t>
          </w:r>
        </w:p>
        <w:tbl>
          <w:tblPr>
            <w:tblStyle w:val="TableGrid"/>
            <w:tblW w:w="8839" w:type="dxa"/>
            <w:tblLook w:val="04A0" w:firstRow="1" w:lastRow="0" w:firstColumn="1" w:lastColumn="0" w:noHBand="0" w:noVBand="1"/>
          </w:tblPr>
          <w:tblGrid>
            <w:gridCol w:w="2209"/>
            <w:gridCol w:w="2209"/>
            <w:gridCol w:w="2209"/>
            <w:gridCol w:w="2212"/>
          </w:tblGrid>
          <w:tr w:rsidR="00823B6B" w:rsidRPr="00CD6036" w14:paraId="39AD8DC6" w14:textId="77777777" w:rsidTr="00DF4D62">
            <w:trPr>
              <w:trHeight w:val="370"/>
            </w:trPr>
            <w:tc>
              <w:tcPr>
                <w:tcW w:w="2209" w:type="dxa"/>
              </w:tcPr>
              <w:p w14:paraId="7E641A2B" w14:textId="1F250902" w:rsidR="00823B6B" w:rsidRPr="00CD6036" w:rsidRDefault="00823B6B" w:rsidP="00DF4D62">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Ayuda</w:t>
                </w:r>
                <w:r w:rsidRPr="00CD6036">
                  <w:rPr>
                    <w:rFonts w:ascii="Times New Roman" w:eastAsia="Times New Roman" w:hAnsi="Times New Roman" w:cs="Times New Roman"/>
                    <w:bCs/>
                  </w:rPr>
                  <w:t>\índice bien estar</w:t>
                </w:r>
              </w:p>
            </w:tc>
            <w:tc>
              <w:tcPr>
                <w:tcW w:w="2209" w:type="dxa"/>
              </w:tcPr>
              <w:p w14:paraId="614CE2C6" w14:textId="77777777"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Bajo</w:t>
                </w:r>
              </w:p>
            </w:tc>
            <w:tc>
              <w:tcPr>
                <w:tcW w:w="2209" w:type="dxa"/>
              </w:tcPr>
              <w:p w14:paraId="5DA4A935" w14:textId="77777777"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Medio</w:t>
                </w:r>
              </w:p>
            </w:tc>
            <w:tc>
              <w:tcPr>
                <w:tcW w:w="2212" w:type="dxa"/>
              </w:tcPr>
              <w:p w14:paraId="10FC49F2" w14:textId="77777777"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Alto</w:t>
                </w:r>
              </w:p>
            </w:tc>
          </w:tr>
          <w:tr w:rsidR="00823B6B" w:rsidRPr="00CD6036" w14:paraId="36F62FE1" w14:textId="77777777" w:rsidTr="00DF4D62">
            <w:trPr>
              <w:trHeight w:val="381"/>
            </w:trPr>
            <w:tc>
              <w:tcPr>
                <w:tcW w:w="2209" w:type="dxa"/>
              </w:tcPr>
              <w:p w14:paraId="5224BBFF" w14:textId="3AC57674" w:rsidR="00823B6B" w:rsidRPr="00CD6036" w:rsidRDefault="00823B6B" w:rsidP="00DF4D62">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Si</w:t>
                </w:r>
              </w:p>
            </w:tc>
            <w:tc>
              <w:tcPr>
                <w:tcW w:w="2209" w:type="dxa"/>
              </w:tcPr>
              <w:p w14:paraId="664D0205" w14:textId="43174E45"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93.</w:t>
                </w:r>
                <w:r>
                  <w:rPr>
                    <w:rFonts w:ascii="Times New Roman" w:eastAsia="Times New Roman" w:hAnsi="Times New Roman" w:cs="Times New Roman"/>
                    <w:bCs/>
                  </w:rPr>
                  <w:t>36</w:t>
                </w:r>
                <w:r w:rsidRPr="00CD6036">
                  <w:rPr>
                    <w:rFonts w:ascii="Times New Roman" w:eastAsia="Times New Roman" w:hAnsi="Times New Roman" w:cs="Times New Roman"/>
                    <w:bCs/>
                  </w:rPr>
                  <w:t>%</w:t>
                </w:r>
              </w:p>
            </w:tc>
            <w:tc>
              <w:tcPr>
                <w:tcW w:w="2209" w:type="dxa"/>
              </w:tcPr>
              <w:p w14:paraId="33537899" w14:textId="7B2C5D5B"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0.</w:t>
                </w:r>
                <w:r>
                  <w:rPr>
                    <w:rFonts w:ascii="Times New Roman" w:eastAsia="Times New Roman" w:hAnsi="Times New Roman" w:cs="Times New Roman"/>
                    <w:bCs/>
                  </w:rPr>
                  <w:t>22</w:t>
                </w:r>
                <w:r w:rsidRPr="00CD6036">
                  <w:rPr>
                    <w:rFonts w:ascii="Times New Roman" w:eastAsia="Times New Roman" w:hAnsi="Times New Roman" w:cs="Times New Roman"/>
                    <w:bCs/>
                  </w:rPr>
                  <w:t>%</w:t>
                </w:r>
              </w:p>
            </w:tc>
            <w:tc>
              <w:tcPr>
                <w:tcW w:w="2212" w:type="dxa"/>
              </w:tcPr>
              <w:p w14:paraId="244645F3" w14:textId="33ABF3EB"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6.</w:t>
                </w:r>
                <w:r>
                  <w:rPr>
                    <w:rFonts w:ascii="Times New Roman" w:eastAsia="Times New Roman" w:hAnsi="Times New Roman" w:cs="Times New Roman"/>
                    <w:bCs/>
                  </w:rPr>
                  <w:t>42</w:t>
                </w:r>
                <w:r w:rsidRPr="00CD6036">
                  <w:rPr>
                    <w:rFonts w:ascii="Times New Roman" w:eastAsia="Times New Roman" w:hAnsi="Times New Roman" w:cs="Times New Roman"/>
                    <w:bCs/>
                  </w:rPr>
                  <w:t>%</w:t>
                </w:r>
              </w:p>
            </w:tc>
          </w:tr>
          <w:tr w:rsidR="00823B6B" w:rsidRPr="00CD6036" w14:paraId="0FC6E548" w14:textId="77777777" w:rsidTr="00DF4D62">
            <w:trPr>
              <w:trHeight w:val="370"/>
            </w:trPr>
            <w:tc>
              <w:tcPr>
                <w:tcW w:w="2209" w:type="dxa"/>
              </w:tcPr>
              <w:p w14:paraId="1D9791D9" w14:textId="2A71C318" w:rsidR="00823B6B" w:rsidRPr="00CD6036" w:rsidRDefault="00823B6B" w:rsidP="00DF4D62">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No</w:t>
                </w:r>
              </w:p>
            </w:tc>
            <w:tc>
              <w:tcPr>
                <w:tcW w:w="2209" w:type="dxa"/>
              </w:tcPr>
              <w:p w14:paraId="5AC2F3C5" w14:textId="6C13BE92"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9</w:t>
                </w:r>
                <w:r>
                  <w:rPr>
                    <w:rFonts w:ascii="Times New Roman" w:eastAsia="Times New Roman" w:hAnsi="Times New Roman" w:cs="Times New Roman"/>
                    <w:bCs/>
                  </w:rPr>
                  <w:t>0</w:t>
                </w:r>
                <w:r w:rsidRPr="00CD6036">
                  <w:rPr>
                    <w:rFonts w:ascii="Times New Roman" w:eastAsia="Times New Roman" w:hAnsi="Times New Roman" w:cs="Times New Roman"/>
                    <w:bCs/>
                  </w:rPr>
                  <w:t>.</w:t>
                </w:r>
                <w:r>
                  <w:rPr>
                    <w:rFonts w:ascii="Times New Roman" w:eastAsia="Times New Roman" w:hAnsi="Times New Roman" w:cs="Times New Roman"/>
                    <w:bCs/>
                  </w:rPr>
                  <w:t>0</w:t>
                </w:r>
                <w:r w:rsidRPr="00CD6036">
                  <w:rPr>
                    <w:rFonts w:ascii="Times New Roman" w:eastAsia="Times New Roman" w:hAnsi="Times New Roman" w:cs="Times New Roman"/>
                    <w:bCs/>
                  </w:rPr>
                  <w:t>3%</w:t>
                </w:r>
              </w:p>
            </w:tc>
            <w:tc>
              <w:tcPr>
                <w:tcW w:w="2209" w:type="dxa"/>
              </w:tcPr>
              <w:p w14:paraId="040EA06A" w14:textId="2A5B0798" w:rsidR="00823B6B" w:rsidRPr="00CD6036" w:rsidRDefault="00823B6B" w:rsidP="00DF4D62">
                <w:p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0.</w:t>
                </w:r>
                <w:r>
                  <w:rPr>
                    <w:rFonts w:ascii="Times New Roman" w:eastAsia="Times New Roman" w:hAnsi="Times New Roman" w:cs="Times New Roman"/>
                    <w:bCs/>
                  </w:rPr>
                  <w:t>19</w:t>
                </w:r>
                <w:r w:rsidRPr="00CD6036">
                  <w:rPr>
                    <w:rFonts w:ascii="Times New Roman" w:eastAsia="Times New Roman" w:hAnsi="Times New Roman" w:cs="Times New Roman"/>
                    <w:bCs/>
                  </w:rPr>
                  <w:t>%</w:t>
                </w:r>
              </w:p>
            </w:tc>
            <w:tc>
              <w:tcPr>
                <w:tcW w:w="2212" w:type="dxa"/>
              </w:tcPr>
              <w:p w14:paraId="402CBFCD" w14:textId="27900C4E" w:rsidR="00823B6B" w:rsidRPr="00CD6036" w:rsidRDefault="00823B6B" w:rsidP="00DF4D62">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9.78</w:t>
                </w:r>
                <w:r w:rsidRPr="00CD6036">
                  <w:rPr>
                    <w:rFonts w:ascii="Times New Roman" w:eastAsia="Times New Roman" w:hAnsi="Times New Roman" w:cs="Times New Roman"/>
                    <w:bCs/>
                  </w:rPr>
                  <w:t>%</w:t>
                </w:r>
              </w:p>
            </w:tc>
          </w:tr>
          <w:tr w:rsidR="00823B6B" w:rsidRPr="00C57999" w14:paraId="43DB6F6D" w14:textId="77777777" w:rsidTr="00DF4D62">
            <w:trPr>
              <w:trHeight w:val="370"/>
            </w:trPr>
            <w:tc>
              <w:tcPr>
                <w:tcW w:w="8839" w:type="dxa"/>
                <w:gridSpan w:val="4"/>
              </w:tcPr>
              <w:p w14:paraId="2CC95C01" w14:textId="022FF52E" w:rsidR="00823B6B" w:rsidRPr="00CD6036" w:rsidRDefault="00823B6B" w:rsidP="00DF4D62">
                <w:pPr>
                  <w:spacing w:line="360" w:lineRule="auto"/>
                  <w:jc w:val="both"/>
                  <w:rPr>
                    <w:rFonts w:ascii="Times New Roman" w:eastAsia="Times New Roman" w:hAnsi="Times New Roman" w:cs="Times New Roman"/>
                    <w:bCs/>
                    <w:lang w:val="en-US"/>
                  </w:rPr>
                </w:pPr>
                <w:r w:rsidRPr="00823B6B">
                  <w:rPr>
                    <w:rFonts w:ascii="Times New Roman" w:eastAsia="Times New Roman" w:hAnsi="Times New Roman" w:cs="Times New Roman"/>
                    <w:bCs/>
                    <w:lang w:val="en-US"/>
                  </w:rPr>
                  <w:t xml:space="preserve">X-squared = 52.467, </w:t>
                </w:r>
                <w:proofErr w:type="spellStart"/>
                <w:r w:rsidRPr="00823B6B">
                  <w:rPr>
                    <w:rFonts w:ascii="Times New Roman" w:eastAsia="Times New Roman" w:hAnsi="Times New Roman" w:cs="Times New Roman"/>
                    <w:bCs/>
                    <w:lang w:val="en-US"/>
                  </w:rPr>
                  <w:t>df</w:t>
                </w:r>
                <w:proofErr w:type="spellEnd"/>
                <w:r w:rsidRPr="00823B6B">
                  <w:rPr>
                    <w:rFonts w:ascii="Times New Roman" w:eastAsia="Times New Roman" w:hAnsi="Times New Roman" w:cs="Times New Roman"/>
                    <w:bCs/>
                    <w:lang w:val="en-US"/>
                  </w:rPr>
                  <w:t xml:space="preserve"> = 2, p-value = 0.000000000004045</w:t>
                </w:r>
              </w:p>
            </w:tc>
          </w:tr>
        </w:tbl>
        <w:p w14:paraId="544E7300" w14:textId="77777777" w:rsidR="00823B6B" w:rsidRDefault="00823B6B" w:rsidP="00823B6B">
          <w:pPr>
            <w:spacing w:line="240" w:lineRule="auto"/>
            <w:jc w:val="both"/>
            <w:rPr>
              <w:rFonts w:ascii="Times New Roman" w:hAnsi="Times New Roman" w:cs="Times New Roman"/>
            </w:rPr>
          </w:pPr>
          <w:r w:rsidRPr="00CD6036">
            <w:rPr>
              <w:rFonts w:ascii="Times New Roman" w:hAnsi="Times New Roman" w:cs="Times New Roman"/>
            </w:rPr>
            <w:t>Fuente: Elaboración propia con los datos del ENASEM, 2021.</w:t>
          </w:r>
        </w:p>
        <w:p w14:paraId="0025BF3F" w14:textId="77777777" w:rsidR="007952B5" w:rsidRDefault="007952B5" w:rsidP="00823B6B">
          <w:pPr>
            <w:spacing w:line="240" w:lineRule="auto"/>
            <w:jc w:val="both"/>
            <w:rPr>
              <w:rFonts w:ascii="Times New Roman" w:hAnsi="Times New Roman" w:cs="Times New Roman"/>
            </w:rPr>
          </w:pPr>
        </w:p>
        <w:p w14:paraId="5EA8C30B" w14:textId="7A2A025C" w:rsidR="00823B6B" w:rsidRDefault="00033A08" w:rsidP="00C93979">
          <w:pPr>
            <w:jc w:val="both"/>
            <w:rPr>
              <w:rFonts w:ascii="Times New Roman" w:hAnsi="Times New Roman" w:cs="Times New Roman"/>
              <w:b/>
              <w:bCs/>
            </w:rPr>
          </w:pPr>
          <w:r>
            <w:rPr>
              <w:rFonts w:ascii="Times New Roman" w:hAnsi="Times New Roman" w:cs="Times New Roman"/>
              <w:b/>
              <w:bCs/>
            </w:rPr>
            <w:t>Conclusión</w:t>
          </w:r>
        </w:p>
        <w:p w14:paraId="772EFB35" w14:textId="4106BBE9" w:rsidR="00033A08" w:rsidRPr="00033A08" w:rsidRDefault="00033A08" w:rsidP="00033A08">
          <w:pPr>
            <w:spacing w:line="360" w:lineRule="auto"/>
            <w:jc w:val="both"/>
            <w:rPr>
              <w:rFonts w:ascii="Times New Roman" w:eastAsia="Times New Roman" w:hAnsi="Times New Roman" w:cs="Times New Roman"/>
              <w:bCs/>
            </w:rPr>
          </w:pPr>
          <w:r w:rsidRPr="00033A08">
            <w:rPr>
              <w:rFonts w:ascii="Times New Roman" w:eastAsia="Times New Roman" w:hAnsi="Times New Roman" w:cs="Times New Roman"/>
              <w:bCs/>
            </w:rPr>
            <w:t>Los hallazgos de este trabajo muestran que el bienestar de los adultos mayores no puede entenderse únicamente desde una dimensión económica. El índice de bienestar propuesto, que integra percepciones sobre la salud, situación económica, felicidad, gastos y condiciones de la vivienda, permitió identificar patrones que reflejan la realidad multidimensional de la vejez. El análisis bivariado evidenció que variables como el estado civil, el acceso a servicios de salud y la ayuda de hijos o nietos presentan asociaciones significativas con el nivel de bienestar, mientras que el sexo y la edad no mostraron diferencias estadísticamente relevantes.</w:t>
          </w:r>
        </w:p>
        <w:p w14:paraId="1624F515" w14:textId="7A91A8D4" w:rsidR="00033A08" w:rsidRPr="00033A08" w:rsidRDefault="00033A08" w:rsidP="00033A08">
          <w:pPr>
            <w:spacing w:line="360" w:lineRule="auto"/>
            <w:jc w:val="both"/>
            <w:rPr>
              <w:rFonts w:ascii="Times New Roman" w:eastAsia="Times New Roman" w:hAnsi="Times New Roman" w:cs="Times New Roman"/>
              <w:bCs/>
            </w:rPr>
          </w:pPr>
          <w:r w:rsidRPr="00033A08">
            <w:rPr>
              <w:rFonts w:ascii="Times New Roman" w:eastAsia="Times New Roman" w:hAnsi="Times New Roman" w:cs="Times New Roman"/>
              <w:bCs/>
            </w:rPr>
            <w:t xml:space="preserve">Estos resultados sugieren que la cobertura médica y las redes familiares cumplen un papel central en la calidad de vida en la vejez. La mayor proporción de bienestar alto entre personas viudas podría relacionarse con redes de apoyo consolidadas o con adaptaciones en el manejo de recursos, mientras que el acceso al IMSS y la ayuda familiar parecen actuar como mecanismos protectores frente a situaciones de vulnerabilidad.  </w:t>
          </w:r>
        </w:p>
        <w:p w14:paraId="1C01ADC2" w14:textId="22DAD53D" w:rsidR="00033A08" w:rsidRDefault="00033A08" w:rsidP="00033A08">
          <w:pPr>
            <w:spacing w:line="360" w:lineRule="auto"/>
            <w:jc w:val="both"/>
            <w:rPr>
              <w:rFonts w:ascii="Times New Roman" w:eastAsia="Times New Roman" w:hAnsi="Times New Roman" w:cs="Times New Roman"/>
              <w:bCs/>
            </w:rPr>
          </w:pPr>
          <w:r w:rsidRPr="00033A08">
            <w:rPr>
              <w:rFonts w:ascii="Times New Roman" w:eastAsia="Times New Roman" w:hAnsi="Times New Roman" w:cs="Times New Roman"/>
              <w:bCs/>
            </w:rPr>
            <w:t>En conclusión, el trabajo evidencia la pertinencia de emplear un índice multidimensional para captar el bienestar. Estos resultados respaldan la necesidad de políticas públicas que fortalezcan las redes de cuidado, mejoren el acceso a servicios médicos.</w:t>
          </w:r>
        </w:p>
        <w:p w14:paraId="2C718C52" w14:textId="77777777" w:rsidR="00F81E3B" w:rsidRDefault="00F81E3B" w:rsidP="00033A08">
          <w:pPr>
            <w:spacing w:line="360" w:lineRule="auto"/>
            <w:jc w:val="both"/>
            <w:rPr>
              <w:rFonts w:ascii="Times New Roman" w:eastAsia="Times New Roman" w:hAnsi="Times New Roman" w:cs="Times New Roman"/>
              <w:bCs/>
            </w:rPr>
          </w:pPr>
        </w:p>
        <w:p w14:paraId="5A5AC7E9" w14:textId="77777777" w:rsidR="00F81E3B" w:rsidRDefault="00F81E3B" w:rsidP="00033A08">
          <w:pPr>
            <w:spacing w:line="360" w:lineRule="auto"/>
            <w:jc w:val="both"/>
            <w:rPr>
              <w:rFonts w:ascii="Times New Roman" w:eastAsia="Times New Roman" w:hAnsi="Times New Roman" w:cs="Times New Roman"/>
              <w:bCs/>
            </w:rPr>
          </w:pPr>
        </w:p>
        <w:p w14:paraId="05019459" w14:textId="77777777" w:rsidR="00F81E3B" w:rsidRDefault="00F81E3B" w:rsidP="00033A08">
          <w:pPr>
            <w:spacing w:line="360" w:lineRule="auto"/>
            <w:jc w:val="both"/>
            <w:rPr>
              <w:rFonts w:ascii="Times New Roman" w:eastAsia="Times New Roman" w:hAnsi="Times New Roman" w:cs="Times New Roman"/>
              <w:bCs/>
            </w:rPr>
          </w:pPr>
        </w:p>
        <w:p w14:paraId="5524F39F" w14:textId="77777777" w:rsidR="00F81E3B" w:rsidRDefault="00F81E3B" w:rsidP="00033A08">
          <w:pPr>
            <w:spacing w:line="360" w:lineRule="auto"/>
            <w:jc w:val="both"/>
            <w:rPr>
              <w:rFonts w:ascii="Times New Roman" w:eastAsia="Times New Roman" w:hAnsi="Times New Roman" w:cs="Times New Roman"/>
              <w:bCs/>
            </w:rPr>
          </w:pPr>
        </w:p>
        <w:p w14:paraId="60CEDA1A" w14:textId="47EC0267" w:rsidR="00CE1E1B" w:rsidRDefault="000875B5" w:rsidP="00033A08">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lastRenderedPageBreak/>
            <w:t>Anexo: los códigos de R</w:t>
          </w:r>
        </w:p>
        <w:p w14:paraId="4F7A25CE" w14:textId="77777777" w:rsidR="00CE1E1B" w:rsidRDefault="00CE1E1B" w:rsidP="00033A08">
          <w:pPr>
            <w:spacing w:line="360" w:lineRule="auto"/>
            <w:jc w:val="both"/>
            <w:rPr>
              <w:rFonts w:ascii="Times New Roman" w:eastAsia="Times New Roman" w:hAnsi="Times New Roman" w:cs="Times New Roman"/>
              <w:bCs/>
            </w:rPr>
          </w:pPr>
        </w:p>
        <w:p w14:paraId="2A1CFAA7" w14:textId="71598656" w:rsidR="00CE1E1B" w:rsidRDefault="00357A88" w:rsidP="00033A08">
          <w:pPr>
            <w:spacing w:line="360" w:lineRule="auto"/>
            <w:jc w:val="both"/>
            <w:rPr>
              <w:rFonts w:ascii="Times New Roman" w:eastAsia="Times New Roman" w:hAnsi="Times New Roman" w:cs="Times New Roman"/>
              <w:bCs/>
            </w:rPr>
          </w:pPr>
          <w:r>
            <w:object w:dxaOrig="1520" w:dyaOrig="985" w14:anchorId="53F5ED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9" o:title=""/>
              </v:shape>
              <o:OLEObject Type="Embed" ProgID="Package" ShapeID="_x0000_i1025" DrawAspect="Icon" ObjectID="_1816630085" r:id="rId10"/>
            </w:object>
          </w:r>
        </w:p>
        <w:p w14:paraId="12B4340E" w14:textId="77777777" w:rsidR="00CE1E1B" w:rsidRDefault="00CE1E1B" w:rsidP="00033A08">
          <w:pPr>
            <w:spacing w:line="360" w:lineRule="auto"/>
            <w:jc w:val="both"/>
            <w:rPr>
              <w:rFonts w:ascii="Times New Roman" w:eastAsia="Times New Roman" w:hAnsi="Times New Roman" w:cs="Times New Roman"/>
              <w:bCs/>
            </w:rPr>
          </w:pPr>
        </w:p>
        <w:p w14:paraId="2B432C9A" w14:textId="77777777" w:rsidR="00CE1E1B" w:rsidRDefault="00CE1E1B" w:rsidP="00033A08">
          <w:pPr>
            <w:spacing w:line="360" w:lineRule="auto"/>
            <w:jc w:val="both"/>
            <w:rPr>
              <w:rFonts w:ascii="Times New Roman" w:eastAsia="Times New Roman" w:hAnsi="Times New Roman" w:cs="Times New Roman"/>
              <w:bCs/>
            </w:rPr>
          </w:pPr>
        </w:p>
        <w:p w14:paraId="2D666F4D" w14:textId="77777777" w:rsidR="00CE1E1B" w:rsidRDefault="00CE1E1B" w:rsidP="00033A08">
          <w:pPr>
            <w:spacing w:line="360" w:lineRule="auto"/>
            <w:jc w:val="both"/>
            <w:rPr>
              <w:rFonts w:ascii="Times New Roman" w:eastAsia="Times New Roman" w:hAnsi="Times New Roman" w:cs="Times New Roman"/>
              <w:bCs/>
            </w:rPr>
          </w:pPr>
        </w:p>
        <w:p w14:paraId="23D5CC61" w14:textId="77777777" w:rsidR="00CE1E1B" w:rsidRDefault="00CE1E1B" w:rsidP="00033A08">
          <w:pPr>
            <w:spacing w:line="360" w:lineRule="auto"/>
            <w:jc w:val="both"/>
            <w:rPr>
              <w:rFonts w:ascii="Times New Roman" w:eastAsia="Times New Roman" w:hAnsi="Times New Roman" w:cs="Times New Roman"/>
              <w:bCs/>
            </w:rPr>
          </w:pPr>
        </w:p>
        <w:p w14:paraId="3214409D" w14:textId="77777777" w:rsidR="00CE1E1B" w:rsidRDefault="00CE1E1B" w:rsidP="00033A08">
          <w:pPr>
            <w:spacing w:line="360" w:lineRule="auto"/>
            <w:jc w:val="both"/>
            <w:rPr>
              <w:rFonts w:ascii="Times New Roman" w:eastAsia="Times New Roman" w:hAnsi="Times New Roman" w:cs="Times New Roman"/>
              <w:bCs/>
            </w:rPr>
          </w:pPr>
        </w:p>
        <w:p w14:paraId="6002A31E" w14:textId="77777777" w:rsidR="00CE1E1B" w:rsidRDefault="00CE1E1B" w:rsidP="00033A08">
          <w:pPr>
            <w:spacing w:line="360" w:lineRule="auto"/>
            <w:jc w:val="both"/>
            <w:rPr>
              <w:rFonts w:ascii="Times New Roman" w:eastAsia="Times New Roman" w:hAnsi="Times New Roman" w:cs="Times New Roman"/>
              <w:bCs/>
            </w:rPr>
          </w:pPr>
        </w:p>
        <w:p w14:paraId="788CADB0" w14:textId="77777777" w:rsidR="00CE1E1B" w:rsidRDefault="00CE1E1B" w:rsidP="00033A08">
          <w:pPr>
            <w:spacing w:line="360" w:lineRule="auto"/>
            <w:jc w:val="both"/>
            <w:rPr>
              <w:rFonts w:ascii="Times New Roman" w:eastAsia="Times New Roman" w:hAnsi="Times New Roman" w:cs="Times New Roman"/>
              <w:bCs/>
            </w:rPr>
          </w:pPr>
        </w:p>
        <w:p w14:paraId="625793A8" w14:textId="77777777" w:rsidR="00CE1E1B" w:rsidRDefault="00CE1E1B" w:rsidP="00033A08">
          <w:pPr>
            <w:spacing w:line="360" w:lineRule="auto"/>
            <w:jc w:val="both"/>
            <w:rPr>
              <w:rFonts w:ascii="Times New Roman" w:eastAsia="Times New Roman" w:hAnsi="Times New Roman" w:cs="Times New Roman"/>
              <w:bCs/>
            </w:rPr>
          </w:pPr>
        </w:p>
        <w:p w14:paraId="29A464BE" w14:textId="77777777" w:rsidR="00CE1E1B" w:rsidRDefault="00CE1E1B" w:rsidP="00033A08">
          <w:pPr>
            <w:spacing w:line="360" w:lineRule="auto"/>
            <w:jc w:val="both"/>
            <w:rPr>
              <w:rFonts w:ascii="Times New Roman" w:eastAsia="Times New Roman" w:hAnsi="Times New Roman" w:cs="Times New Roman"/>
              <w:bCs/>
            </w:rPr>
          </w:pPr>
        </w:p>
        <w:p w14:paraId="46C7A385" w14:textId="77777777" w:rsidR="00CE1E1B" w:rsidRDefault="00CE1E1B" w:rsidP="00033A08">
          <w:pPr>
            <w:spacing w:line="360" w:lineRule="auto"/>
            <w:jc w:val="both"/>
            <w:rPr>
              <w:rFonts w:ascii="Times New Roman" w:eastAsia="Times New Roman" w:hAnsi="Times New Roman" w:cs="Times New Roman"/>
              <w:bCs/>
            </w:rPr>
          </w:pPr>
        </w:p>
        <w:p w14:paraId="647FAD32" w14:textId="77777777" w:rsidR="00CE1E1B" w:rsidRDefault="00CE1E1B" w:rsidP="00033A08">
          <w:pPr>
            <w:spacing w:line="360" w:lineRule="auto"/>
            <w:jc w:val="both"/>
            <w:rPr>
              <w:rFonts w:ascii="Times New Roman" w:eastAsia="Times New Roman" w:hAnsi="Times New Roman" w:cs="Times New Roman"/>
              <w:bCs/>
            </w:rPr>
          </w:pPr>
        </w:p>
        <w:p w14:paraId="37D15E7F" w14:textId="77777777" w:rsidR="00CE1E1B" w:rsidRDefault="00CE1E1B" w:rsidP="00033A08">
          <w:pPr>
            <w:spacing w:line="360" w:lineRule="auto"/>
            <w:jc w:val="both"/>
            <w:rPr>
              <w:rFonts w:ascii="Times New Roman" w:eastAsia="Times New Roman" w:hAnsi="Times New Roman" w:cs="Times New Roman"/>
              <w:bCs/>
            </w:rPr>
          </w:pPr>
        </w:p>
        <w:p w14:paraId="38D3550B" w14:textId="77777777" w:rsidR="00CE1E1B" w:rsidRDefault="00CE1E1B" w:rsidP="00033A08">
          <w:pPr>
            <w:spacing w:line="360" w:lineRule="auto"/>
            <w:jc w:val="both"/>
            <w:rPr>
              <w:rFonts w:ascii="Times New Roman" w:eastAsia="Times New Roman" w:hAnsi="Times New Roman" w:cs="Times New Roman"/>
              <w:bCs/>
            </w:rPr>
          </w:pPr>
        </w:p>
        <w:p w14:paraId="2697B0CB" w14:textId="77777777" w:rsidR="00CE1E1B" w:rsidRDefault="00CE1E1B" w:rsidP="00033A08">
          <w:pPr>
            <w:spacing w:line="360" w:lineRule="auto"/>
            <w:jc w:val="both"/>
            <w:rPr>
              <w:rFonts w:ascii="Times New Roman" w:eastAsia="Times New Roman" w:hAnsi="Times New Roman" w:cs="Times New Roman"/>
              <w:bCs/>
            </w:rPr>
          </w:pPr>
        </w:p>
        <w:p w14:paraId="7D5F6CFA" w14:textId="77777777" w:rsidR="00CE1E1B" w:rsidRDefault="00CE1E1B" w:rsidP="00033A08">
          <w:pPr>
            <w:spacing w:line="360" w:lineRule="auto"/>
            <w:jc w:val="both"/>
            <w:rPr>
              <w:rFonts w:ascii="Times New Roman" w:eastAsia="Times New Roman" w:hAnsi="Times New Roman" w:cs="Times New Roman"/>
              <w:bCs/>
            </w:rPr>
          </w:pPr>
        </w:p>
        <w:p w14:paraId="6D5665B9" w14:textId="77777777" w:rsidR="00CE1E1B" w:rsidRDefault="00CE1E1B" w:rsidP="00033A08">
          <w:pPr>
            <w:spacing w:line="360" w:lineRule="auto"/>
            <w:jc w:val="both"/>
            <w:rPr>
              <w:rFonts w:ascii="Times New Roman" w:eastAsia="Times New Roman" w:hAnsi="Times New Roman" w:cs="Times New Roman"/>
              <w:bCs/>
            </w:rPr>
          </w:pPr>
        </w:p>
        <w:p w14:paraId="7D4BD7ED" w14:textId="77777777" w:rsidR="00CE1E1B" w:rsidRDefault="00CE1E1B" w:rsidP="00033A08">
          <w:pPr>
            <w:spacing w:line="360" w:lineRule="auto"/>
            <w:jc w:val="both"/>
            <w:rPr>
              <w:rFonts w:ascii="Times New Roman" w:eastAsia="Times New Roman" w:hAnsi="Times New Roman" w:cs="Times New Roman"/>
              <w:bCs/>
            </w:rPr>
          </w:pPr>
        </w:p>
        <w:p w14:paraId="73F95CED" w14:textId="77777777" w:rsidR="00CE1E1B" w:rsidRDefault="00CE1E1B" w:rsidP="00033A08">
          <w:pPr>
            <w:spacing w:line="360" w:lineRule="auto"/>
            <w:jc w:val="both"/>
            <w:rPr>
              <w:rFonts w:ascii="Times New Roman" w:eastAsia="Times New Roman" w:hAnsi="Times New Roman" w:cs="Times New Roman"/>
              <w:bCs/>
            </w:rPr>
          </w:pPr>
        </w:p>
        <w:p w14:paraId="777654CA" w14:textId="77777777" w:rsidR="00CE1E1B" w:rsidRDefault="00CE1E1B" w:rsidP="00033A08">
          <w:pPr>
            <w:spacing w:line="360" w:lineRule="auto"/>
            <w:jc w:val="both"/>
            <w:rPr>
              <w:rFonts w:ascii="Times New Roman" w:eastAsia="Times New Roman" w:hAnsi="Times New Roman" w:cs="Times New Roman"/>
              <w:bCs/>
            </w:rPr>
          </w:pPr>
        </w:p>
        <w:p w14:paraId="6BB3B525" w14:textId="77777777" w:rsidR="00CE1E1B" w:rsidRPr="00033A08" w:rsidRDefault="00CE1E1B" w:rsidP="00033A08">
          <w:pPr>
            <w:spacing w:line="360" w:lineRule="auto"/>
            <w:jc w:val="both"/>
            <w:rPr>
              <w:rFonts w:ascii="Times New Roman" w:eastAsia="Times New Roman" w:hAnsi="Times New Roman" w:cs="Times New Roman"/>
              <w:bCs/>
            </w:rPr>
          </w:pPr>
        </w:p>
        <w:p w14:paraId="0EA1054B" w14:textId="386F74DC" w:rsidR="00781E17" w:rsidRPr="00CD6036" w:rsidRDefault="00781E17" w:rsidP="00C93979">
          <w:pPr>
            <w:jc w:val="both"/>
            <w:rPr>
              <w:rFonts w:ascii="Times New Roman" w:hAnsi="Times New Roman" w:cs="Times New Roman"/>
              <w:b/>
              <w:bCs/>
            </w:rPr>
          </w:pPr>
          <w:r w:rsidRPr="00CD6036">
            <w:rPr>
              <w:rFonts w:ascii="Times New Roman" w:hAnsi="Times New Roman" w:cs="Times New Roman"/>
              <w:b/>
              <w:bCs/>
            </w:rPr>
            <w:t>Bibliografía</w:t>
          </w:r>
        </w:p>
        <w:p w14:paraId="4975428F" w14:textId="7D22AFAE" w:rsidR="00FE1FCB" w:rsidRDefault="00FE1FCB" w:rsidP="00FE1FCB">
          <w:pPr>
            <w:pStyle w:val="ListParagraph"/>
            <w:numPr>
              <w:ilvl w:val="0"/>
              <w:numId w:val="2"/>
            </w:numPr>
            <w:jc w:val="both"/>
            <w:rPr>
              <w:rFonts w:ascii="Times New Roman" w:hAnsi="Times New Roman" w:cs="Times New Roman"/>
            </w:rPr>
          </w:pPr>
          <w:r w:rsidRPr="00CD6036">
            <w:rPr>
              <w:rFonts w:ascii="Times New Roman" w:hAnsi="Times New Roman" w:cs="Times New Roman"/>
            </w:rPr>
            <w:t xml:space="preserve">Beltramo, R., </w:t>
          </w:r>
          <w:proofErr w:type="spellStart"/>
          <w:r w:rsidRPr="00CD6036">
            <w:rPr>
              <w:rFonts w:ascii="Times New Roman" w:hAnsi="Times New Roman" w:cs="Times New Roman"/>
            </w:rPr>
            <w:t>Peira</w:t>
          </w:r>
          <w:proofErr w:type="spellEnd"/>
          <w:r w:rsidRPr="00CD6036">
            <w:rPr>
              <w:rFonts w:ascii="Times New Roman" w:hAnsi="Times New Roman" w:cs="Times New Roman"/>
            </w:rPr>
            <w:t xml:space="preserve">, G., </w:t>
          </w:r>
          <w:proofErr w:type="spellStart"/>
          <w:r w:rsidRPr="00CD6036">
            <w:rPr>
              <w:rFonts w:ascii="Times New Roman" w:hAnsi="Times New Roman" w:cs="Times New Roman"/>
            </w:rPr>
            <w:t>Pasino</w:t>
          </w:r>
          <w:proofErr w:type="spellEnd"/>
          <w:r w:rsidRPr="00CD6036">
            <w:rPr>
              <w:rFonts w:ascii="Times New Roman" w:hAnsi="Times New Roman" w:cs="Times New Roman"/>
            </w:rPr>
            <w:t xml:space="preserve">, G., &amp; </w:t>
          </w:r>
          <w:proofErr w:type="spellStart"/>
          <w:r w:rsidRPr="00CD6036">
            <w:rPr>
              <w:rFonts w:ascii="Times New Roman" w:hAnsi="Times New Roman" w:cs="Times New Roman"/>
            </w:rPr>
            <w:t>Bonadonna</w:t>
          </w:r>
          <w:proofErr w:type="spellEnd"/>
          <w:r w:rsidRPr="00CD6036">
            <w:rPr>
              <w:rFonts w:ascii="Times New Roman" w:hAnsi="Times New Roman" w:cs="Times New Roman"/>
            </w:rPr>
            <w:t xml:space="preserve">, A. (2024). </w:t>
          </w:r>
          <w:r w:rsidRPr="00FB2A40">
            <w:rPr>
              <w:rFonts w:ascii="Times New Roman" w:hAnsi="Times New Roman" w:cs="Times New Roman"/>
              <w:lang w:val="en-US"/>
            </w:rPr>
            <w:t xml:space="preserve">Quality of Life in Rural Areas: A Set of Indicators for Improving Wellbeing. </w:t>
          </w:r>
          <w:proofErr w:type="spellStart"/>
          <w:r w:rsidRPr="00CD6036">
            <w:rPr>
              <w:rFonts w:ascii="Times New Roman" w:hAnsi="Times New Roman" w:cs="Times New Roman"/>
            </w:rPr>
            <w:t>Sustainability</w:t>
          </w:r>
          <w:proofErr w:type="spellEnd"/>
          <w:r w:rsidRPr="00CD6036">
            <w:rPr>
              <w:rFonts w:ascii="Times New Roman" w:hAnsi="Times New Roman" w:cs="Times New Roman"/>
            </w:rPr>
            <w:t xml:space="preserve">, 16(5), 1804. </w:t>
          </w:r>
          <w:hyperlink r:id="rId11" w:history="1">
            <w:r w:rsidRPr="00CD6036">
              <w:rPr>
                <w:rStyle w:val="Hyperlink"/>
                <w:rFonts w:ascii="Times New Roman" w:hAnsi="Times New Roman" w:cs="Times New Roman"/>
              </w:rPr>
              <w:t>https://doi.org/10.3390/su16051804</w:t>
            </w:r>
          </w:hyperlink>
        </w:p>
        <w:p w14:paraId="629A83B6" w14:textId="6AB293F2" w:rsidR="00F278C0" w:rsidRPr="00CD6036" w:rsidRDefault="00F278C0" w:rsidP="00FE1FCB">
          <w:pPr>
            <w:pStyle w:val="ListParagraph"/>
            <w:numPr>
              <w:ilvl w:val="0"/>
              <w:numId w:val="2"/>
            </w:numPr>
            <w:jc w:val="both"/>
            <w:rPr>
              <w:rFonts w:ascii="Times New Roman" w:hAnsi="Times New Roman" w:cs="Times New Roman"/>
            </w:rPr>
          </w:pPr>
          <w:r w:rsidRPr="00F278C0">
            <w:rPr>
              <w:rFonts w:ascii="Times New Roman" w:hAnsi="Times New Roman" w:cs="Times New Roman"/>
            </w:rPr>
            <w:t xml:space="preserve">CEPAL. (2015). </w:t>
          </w:r>
          <w:r w:rsidRPr="00F278C0">
            <w:rPr>
              <w:rFonts w:ascii="Times New Roman" w:hAnsi="Times New Roman" w:cs="Times New Roman"/>
              <w:i/>
              <w:iCs/>
            </w:rPr>
            <w:t>Envejecimiento, derechos humanos y políticas públicas</w:t>
          </w:r>
          <w:r w:rsidRPr="00F278C0">
            <w:rPr>
              <w:rFonts w:ascii="Times New Roman" w:hAnsi="Times New Roman" w:cs="Times New Roman"/>
            </w:rPr>
            <w:t>. Comisión Económica para América Latina y el Caribe (CEPAL).</w:t>
          </w:r>
          <w:r w:rsidRPr="00F278C0">
            <w:rPr>
              <w:rFonts w:ascii="Times New Roman" w:hAnsi="Times New Roman" w:cs="Times New Roman"/>
            </w:rPr>
            <w:br/>
            <w:t>https://www.cepal.org/es/publicaciones/38004-envejecimiento-derechos-humanos-politicas-publicas</w:t>
          </w:r>
        </w:p>
        <w:p w14:paraId="1D7C7970" w14:textId="3835A3AC" w:rsidR="00FE1FCB" w:rsidRPr="00CD6036" w:rsidRDefault="00FE1FCB" w:rsidP="00FE1FCB">
          <w:pPr>
            <w:pStyle w:val="ListParagraph"/>
            <w:numPr>
              <w:ilvl w:val="0"/>
              <w:numId w:val="2"/>
            </w:numPr>
            <w:jc w:val="both"/>
            <w:rPr>
              <w:rFonts w:ascii="Times New Roman" w:hAnsi="Times New Roman" w:cs="Times New Roman"/>
            </w:rPr>
          </w:pPr>
          <w:r w:rsidRPr="00CD6036">
            <w:rPr>
              <w:rFonts w:ascii="Times New Roman" w:hAnsi="Times New Roman" w:cs="Times New Roman"/>
            </w:rPr>
            <w:t xml:space="preserve">Estrada, Rivera Martha Rocío (2013). </w:t>
          </w:r>
          <w:r w:rsidRPr="00CD6036">
            <w:rPr>
              <w:rFonts w:ascii="Times New Roman" w:hAnsi="Times New Roman" w:cs="Times New Roman"/>
              <w:i/>
            </w:rPr>
            <w:t>Envejecimiento y calidad de vida desde la perspectiva del territorio, migración y familia</w:t>
          </w:r>
          <w:r w:rsidRPr="00CD6036">
            <w:rPr>
              <w:rFonts w:ascii="Times New Roman" w:hAnsi="Times New Roman" w:cs="Times New Roman"/>
            </w:rPr>
            <w:t xml:space="preserve">, tesis de Maestría en Población y Desarrollo, </w:t>
          </w:r>
          <w:proofErr w:type="spellStart"/>
          <w:r w:rsidRPr="00CD6036">
            <w:rPr>
              <w:rFonts w:ascii="Times New Roman" w:hAnsi="Times New Roman" w:cs="Times New Roman"/>
            </w:rPr>
            <w:t>Flacso</w:t>
          </w:r>
          <w:proofErr w:type="spellEnd"/>
          <w:r w:rsidRPr="00CD6036">
            <w:rPr>
              <w:rFonts w:ascii="Times New Roman" w:hAnsi="Times New Roman" w:cs="Times New Roman"/>
            </w:rPr>
            <w:t>, México.</w:t>
          </w:r>
        </w:p>
        <w:p w14:paraId="21BDE865" w14:textId="7A271C4A" w:rsidR="00C6682B" w:rsidRDefault="00C6682B" w:rsidP="00C6682B">
          <w:pPr>
            <w:pStyle w:val="ListParagraph"/>
            <w:numPr>
              <w:ilvl w:val="0"/>
              <w:numId w:val="2"/>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García, J. C. (2008). Análisis del bienestar de los adultos mayores en México. </w:t>
          </w:r>
          <w:r w:rsidRPr="00CD6036">
            <w:rPr>
              <w:rFonts w:ascii="Times New Roman" w:eastAsia="Times New Roman" w:hAnsi="Times New Roman" w:cs="Times New Roman"/>
              <w:bCs/>
              <w:i/>
              <w:iCs/>
            </w:rPr>
            <w:t xml:space="preserve">Editores </w:t>
          </w:r>
          <w:proofErr w:type="spellStart"/>
          <w:r w:rsidRPr="00CD6036">
            <w:rPr>
              <w:rFonts w:ascii="Times New Roman" w:eastAsia="Times New Roman" w:hAnsi="Times New Roman" w:cs="Times New Roman"/>
              <w:bCs/>
              <w:i/>
              <w:iCs/>
            </w:rPr>
            <w:t>Flaxo</w:t>
          </w:r>
          <w:proofErr w:type="spellEnd"/>
          <w:r w:rsidRPr="00CD6036">
            <w:rPr>
              <w:rFonts w:ascii="Times New Roman" w:eastAsia="Times New Roman" w:hAnsi="Times New Roman" w:cs="Times New Roman"/>
              <w:bCs/>
            </w:rPr>
            <w:t>.</w:t>
          </w:r>
        </w:p>
        <w:p w14:paraId="08453BAD" w14:textId="552D05FA" w:rsidR="00B2594B" w:rsidRPr="00B2594B" w:rsidRDefault="00B2594B" w:rsidP="00B2594B">
          <w:pPr>
            <w:pStyle w:val="ListParagraph"/>
            <w:numPr>
              <w:ilvl w:val="0"/>
              <w:numId w:val="2"/>
            </w:numPr>
            <w:rPr>
              <w:lang w:val="fr-HT"/>
            </w:rPr>
          </w:pPr>
          <w:r w:rsidRPr="00B2594B">
            <w:rPr>
              <w:lang w:val="en-US"/>
            </w:rPr>
            <w:t xml:space="preserve">Gough, I., &amp; McGregor, J. A. (2007). </w:t>
          </w:r>
          <w:proofErr w:type="gramStart"/>
          <w:r w:rsidRPr="00B2594B">
            <w:rPr>
              <w:i/>
              <w:iCs/>
              <w:lang w:val="en-US"/>
            </w:rPr>
            <w:t>Wellbeing</w:t>
          </w:r>
          <w:proofErr w:type="gramEnd"/>
          <w:r w:rsidRPr="00B2594B">
            <w:rPr>
              <w:i/>
              <w:iCs/>
              <w:lang w:val="en-US"/>
            </w:rPr>
            <w:t xml:space="preserve"> in developing countries: From theory to research</w:t>
          </w:r>
          <w:r w:rsidRPr="00B2594B">
            <w:rPr>
              <w:lang w:val="en-US"/>
            </w:rPr>
            <w:t xml:space="preserve">. </w:t>
          </w:r>
          <w:r w:rsidRPr="003D7698">
            <w:t xml:space="preserve">Cambridge </w:t>
          </w:r>
          <w:proofErr w:type="spellStart"/>
          <w:r w:rsidRPr="003D7698">
            <w:t>University</w:t>
          </w:r>
          <w:proofErr w:type="spellEnd"/>
          <w:r w:rsidRPr="003D7698">
            <w:t xml:space="preserve"> </w:t>
          </w:r>
          <w:proofErr w:type="spellStart"/>
          <w:r w:rsidRPr="003D7698">
            <w:t>Press</w:t>
          </w:r>
          <w:proofErr w:type="spellEnd"/>
          <w:r w:rsidRPr="003D7698">
            <w:t>.</w:t>
          </w:r>
        </w:p>
        <w:p w14:paraId="11EEAD8E" w14:textId="03E99813" w:rsidR="00FE1FCB" w:rsidRPr="00CD6036" w:rsidRDefault="00FE1FCB" w:rsidP="00FE1FCB">
          <w:pPr>
            <w:pStyle w:val="ListParagraph"/>
            <w:numPr>
              <w:ilvl w:val="0"/>
              <w:numId w:val="2"/>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Instituto Nacional de Estadística y Geografía (INEGI). (2021). </w:t>
          </w:r>
          <w:r w:rsidRPr="00CD6036">
            <w:rPr>
              <w:rFonts w:ascii="Times New Roman" w:eastAsia="Times New Roman" w:hAnsi="Times New Roman" w:cs="Times New Roman"/>
              <w:bCs/>
              <w:i/>
              <w:iCs/>
            </w:rPr>
            <w:t>Encuesta Nacional sobre Salud y Envejecimiento en México (ENASEM) 2021</w:t>
          </w:r>
          <w:r w:rsidRPr="00CD6036">
            <w:rPr>
              <w:rFonts w:ascii="Times New Roman" w:eastAsia="Times New Roman" w:hAnsi="Times New Roman" w:cs="Times New Roman"/>
              <w:bCs/>
            </w:rPr>
            <w:t xml:space="preserve">. </w:t>
          </w:r>
          <w:hyperlink r:id="rId12" w:tgtFrame="_new" w:history="1">
            <w:r w:rsidRPr="00CD6036">
              <w:rPr>
                <w:rStyle w:val="Hyperlink"/>
                <w:rFonts w:ascii="Times New Roman" w:eastAsia="Times New Roman" w:hAnsi="Times New Roman" w:cs="Times New Roman"/>
                <w:bCs/>
              </w:rPr>
              <w:t>https://www.inegi.org.mx/programas/enasem/2021/</w:t>
            </w:r>
          </w:hyperlink>
        </w:p>
        <w:p w14:paraId="63934E08" w14:textId="5F168F21" w:rsidR="00FE1FCB" w:rsidRPr="00CD6036" w:rsidRDefault="00FE1FCB" w:rsidP="00FE1FCB">
          <w:pPr>
            <w:pStyle w:val="ListParagraph"/>
            <w:numPr>
              <w:ilvl w:val="0"/>
              <w:numId w:val="2"/>
            </w:numPr>
            <w:jc w:val="both"/>
            <w:rPr>
              <w:rFonts w:ascii="Times New Roman" w:hAnsi="Times New Roman" w:cs="Times New Roman"/>
            </w:rPr>
          </w:pPr>
          <w:r w:rsidRPr="00FB2A40">
            <w:rPr>
              <w:rFonts w:ascii="Times New Roman" w:hAnsi="Times New Roman" w:cs="Times New Roman"/>
              <w:lang w:val="en-US"/>
            </w:rPr>
            <w:t xml:space="preserve">Land, K.C., Michalos, A.C., </w:t>
          </w:r>
          <w:proofErr w:type="spellStart"/>
          <w:r w:rsidRPr="00FB2A40">
            <w:rPr>
              <w:rFonts w:ascii="Times New Roman" w:hAnsi="Times New Roman" w:cs="Times New Roman"/>
              <w:lang w:val="en-US"/>
            </w:rPr>
            <w:t>Sirgy</w:t>
          </w:r>
          <w:proofErr w:type="spellEnd"/>
          <w:r w:rsidRPr="00FB2A40">
            <w:rPr>
              <w:rFonts w:ascii="Times New Roman" w:hAnsi="Times New Roman" w:cs="Times New Roman"/>
              <w:lang w:val="en-US"/>
            </w:rPr>
            <w:t xml:space="preserve">, M.J. (2012). Prologue: The Development and Evolution of Research on Social Indicators and Quality of Life (QOL). In: Land, K., Michalos, A., </w:t>
          </w:r>
          <w:proofErr w:type="spellStart"/>
          <w:r w:rsidRPr="00FB2A40">
            <w:rPr>
              <w:rFonts w:ascii="Times New Roman" w:hAnsi="Times New Roman" w:cs="Times New Roman"/>
              <w:lang w:val="en-US"/>
            </w:rPr>
            <w:t>Sirgy</w:t>
          </w:r>
          <w:proofErr w:type="spellEnd"/>
          <w:r w:rsidRPr="00FB2A40">
            <w:rPr>
              <w:rFonts w:ascii="Times New Roman" w:hAnsi="Times New Roman" w:cs="Times New Roman"/>
              <w:lang w:val="en-US"/>
            </w:rPr>
            <w:t xml:space="preserve">, M. (eds) </w:t>
          </w:r>
          <w:r w:rsidRPr="00FB2A40">
            <w:rPr>
              <w:rFonts w:ascii="Times New Roman" w:hAnsi="Times New Roman" w:cs="Times New Roman"/>
              <w:i/>
              <w:lang w:val="en-US"/>
            </w:rPr>
            <w:t>Handbook of Social Indicators and Quality of Life Research</w:t>
          </w:r>
          <w:r w:rsidRPr="00FB2A40">
            <w:rPr>
              <w:rFonts w:ascii="Times New Roman" w:hAnsi="Times New Roman" w:cs="Times New Roman"/>
              <w:lang w:val="en-US"/>
            </w:rPr>
            <w:t xml:space="preserve">. </w:t>
          </w:r>
          <w:r w:rsidRPr="00CD6036">
            <w:rPr>
              <w:rFonts w:ascii="Times New Roman" w:hAnsi="Times New Roman" w:cs="Times New Roman"/>
            </w:rPr>
            <w:t xml:space="preserve">Springer, </w:t>
          </w:r>
          <w:proofErr w:type="spellStart"/>
          <w:r w:rsidRPr="00CD6036">
            <w:rPr>
              <w:rFonts w:ascii="Times New Roman" w:hAnsi="Times New Roman" w:cs="Times New Roman"/>
            </w:rPr>
            <w:t>Dordrecht</w:t>
          </w:r>
          <w:proofErr w:type="spellEnd"/>
          <w:r w:rsidRPr="00CD6036">
            <w:rPr>
              <w:rFonts w:ascii="Times New Roman" w:hAnsi="Times New Roman" w:cs="Times New Roman"/>
            </w:rPr>
            <w:t xml:space="preserve">. </w:t>
          </w:r>
          <w:hyperlink r:id="rId13" w:history="1">
            <w:r w:rsidRPr="00CD6036">
              <w:rPr>
                <w:rStyle w:val="Hyperlink"/>
                <w:rFonts w:ascii="Times New Roman" w:hAnsi="Times New Roman" w:cs="Times New Roman"/>
              </w:rPr>
              <w:t>https://doi.org/10.1007/978-94-007-2421-1_1</w:t>
            </w:r>
          </w:hyperlink>
        </w:p>
        <w:p w14:paraId="1ADBE4F9" w14:textId="77777777" w:rsidR="00C6682B" w:rsidRPr="00CD6036" w:rsidRDefault="00C6682B" w:rsidP="00C6682B">
          <w:pPr>
            <w:pStyle w:val="ListParagraph"/>
            <w:numPr>
              <w:ilvl w:val="0"/>
              <w:numId w:val="2"/>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Martínez Girón, N.  (2024). Calidad de vida percibida en adultos mayores de zonas rurales de Huancavelica. Universidad San Ignacio de Loyola.</w:t>
          </w:r>
        </w:p>
        <w:p w14:paraId="7576BE96" w14:textId="77777777" w:rsidR="00C6682B" w:rsidRPr="00CD6036" w:rsidRDefault="00C6682B" w:rsidP="00C6682B">
          <w:pPr>
            <w:pStyle w:val="ListParagraph"/>
            <w:numPr>
              <w:ilvl w:val="0"/>
              <w:numId w:val="2"/>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Montoya-Arce, Bernardino Jaciel, Román-Sánchez, Yuliana Gabriela, Gaxiola-Robles Linares, Sergio Cuauhtémoc, &amp; Montes de Oca-Vargas, Hugo. (2016). Envejecimiento y vulnerabilidad social en el Estado de México, 2010. Papeles de población, 22(90), 43-77. </w:t>
          </w:r>
          <w:hyperlink r:id="rId14" w:history="1">
            <w:r w:rsidRPr="00CD6036">
              <w:rPr>
                <w:rStyle w:val="Hyperlink"/>
                <w:rFonts w:ascii="Times New Roman" w:eastAsia="Times New Roman" w:hAnsi="Times New Roman" w:cs="Times New Roman"/>
                <w:bCs/>
              </w:rPr>
              <w:t>https://doi.org/10.22185/24487147.2016.90.034</w:t>
            </w:r>
          </w:hyperlink>
        </w:p>
        <w:p w14:paraId="5DB71744" w14:textId="77777777" w:rsidR="00C6682B" w:rsidRPr="00CD6036" w:rsidRDefault="00C6682B" w:rsidP="00C6682B">
          <w:pPr>
            <w:pStyle w:val="ListParagraph"/>
            <w:numPr>
              <w:ilvl w:val="0"/>
              <w:numId w:val="2"/>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Sánchez, Diego. (2007). Envejecimiento demográfico urbano y sus repercusiones socioespaciales en México: Retos de la planeación gerontológica. Revista de </w:t>
          </w:r>
          <w:r w:rsidRPr="00CD6036">
            <w:rPr>
              <w:rFonts w:ascii="Times New Roman" w:eastAsia="Times New Roman" w:hAnsi="Times New Roman" w:cs="Times New Roman"/>
              <w:bCs/>
            </w:rPr>
            <w:lastRenderedPageBreak/>
            <w:t>geografía Norte Grande, (38), 45-61. </w:t>
          </w:r>
          <w:hyperlink r:id="rId15" w:history="1">
            <w:r w:rsidRPr="00CD6036">
              <w:rPr>
                <w:rStyle w:val="Hyperlink"/>
                <w:rFonts w:ascii="Times New Roman" w:eastAsia="Times New Roman" w:hAnsi="Times New Roman" w:cs="Times New Roman"/>
                <w:bCs/>
              </w:rPr>
              <w:t>https://dx.doi.org/10.4067/S0718-34022007000200003</w:t>
            </w:r>
          </w:hyperlink>
        </w:p>
        <w:p w14:paraId="7B2EC5D1" w14:textId="25CB6D46" w:rsidR="00FE1FCB" w:rsidRPr="00FB2A40" w:rsidRDefault="00FE1FCB" w:rsidP="00FE1FCB">
          <w:pPr>
            <w:pStyle w:val="ListParagraph"/>
            <w:numPr>
              <w:ilvl w:val="0"/>
              <w:numId w:val="2"/>
            </w:numPr>
            <w:jc w:val="both"/>
            <w:rPr>
              <w:rFonts w:ascii="Times New Roman" w:hAnsi="Times New Roman" w:cs="Times New Roman"/>
              <w:lang w:val="en-US"/>
            </w:rPr>
          </w:pPr>
          <w:r w:rsidRPr="00F278C0">
            <w:rPr>
              <w:rFonts w:ascii="Times New Roman" w:hAnsi="Times New Roman" w:cs="Times New Roman"/>
              <w:lang w:val="en-US"/>
            </w:rPr>
            <w:t xml:space="preserve">S.M. Skevington, J.R. </w:t>
          </w:r>
          <w:proofErr w:type="spellStart"/>
          <w:r w:rsidRPr="00F278C0">
            <w:rPr>
              <w:rFonts w:ascii="Times New Roman" w:hAnsi="Times New Roman" w:cs="Times New Roman"/>
              <w:lang w:val="en-US"/>
            </w:rPr>
            <w:t>Böhnke</w:t>
          </w:r>
          <w:proofErr w:type="spellEnd"/>
          <w:r w:rsidRPr="00F278C0">
            <w:rPr>
              <w:rFonts w:ascii="Times New Roman" w:hAnsi="Times New Roman" w:cs="Times New Roman"/>
              <w:lang w:val="en-US"/>
            </w:rPr>
            <w:t xml:space="preserve"> (2018). </w:t>
          </w:r>
          <w:r w:rsidRPr="00FB2A40">
            <w:rPr>
              <w:rFonts w:ascii="Times New Roman" w:hAnsi="Times New Roman" w:cs="Times New Roman"/>
              <w:lang w:val="en-US"/>
            </w:rPr>
            <w:t xml:space="preserve">How is subjective well-being related to quality of life? Do we need two concepts and both measures?, </w:t>
          </w:r>
          <w:r w:rsidRPr="00FB2A40">
            <w:rPr>
              <w:rFonts w:ascii="Times New Roman" w:hAnsi="Times New Roman" w:cs="Times New Roman"/>
              <w:i/>
              <w:lang w:val="en-US"/>
            </w:rPr>
            <w:t>Social Science &amp; Medicine</w:t>
          </w:r>
          <w:r w:rsidRPr="00FB2A40">
            <w:rPr>
              <w:rFonts w:ascii="Times New Roman" w:hAnsi="Times New Roman" w:cs="Times New Roman"/>
              <w:lang w:val="en-US"/>
            </w:rPr>
            <w:t xml:space="preserve">, Volume 206, 22-30, ISSN 0277-9536, </w:t>
          </w:r>
          <w:hyperlink r:id="rId16" w:history="1">
            <w:r w:rsidRPr="00FB2A40">
              <w:rPr>
                <w:rStyle w:val="Hyperlink"/>
                <w:rFonts w:ascii="Times New Roman" w:hAnsi="Times New Roman" w:cs="Times New Roman"/>
                <w:lang w:val="en-US"/>
              </w:rPr>
              <w:t>https://doi.org/10.1016/j.socscimed.2018.04.005</w:t>
            </w:r>
          </w:hyperlink>
          <w:r w:rsidRPr="00FB2A40">
            <w:rPr>
              <w:rFonts w:ascii="Times New Roman" w:hAnsi="Times New Roman" w:cs="Times New Roman"/>
              <w:lang w:val="en-US"/>
            </w:rPr>
            <w:t>.</w:t>
          </w:r>
        </w:p>
        <w:p w14:paraId="4B8C8B11" w14:textId="77777777" w:rsidR="00C6682B" w:rsidRPr="00CD6036" w:rsidRDefault="00C6682B" w:rsidP="00C6682B">
          <w:pPr>
            <w:pStyle w:val="ListParagraph"/>
            <w:numPr>
              <w:ilvl w:val="0"/>
              <w:numId w:val="2"/>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Soria Romero, Z., &amp; Montoya Arce, B. J. (2017). Envejecimiento y factores asociados a la calidad de vida de los adultos mayores en el Estado de México. Papeles de población, 23(93), 59-93.</w:t>
          </w:r>
        </w:p>
        <w:p w14:paraId="09BCE0BB" w14:textId="77777777" w:rsidR="0078497F" w:rsidRDefault="00C6682B" w:rsidP="00C6682B">
          <w:pPr>
            <w:pStyle w:val="ListParagraph"/>
            <w:numPr>
              <w:ilvl w:val="0"/>
              <w:numId w:val="2"/>
            </w:numPr>
            <w:spacing w:line="360" w:lineRule="auto"/>
            <w:jc w:val="both"/>
            <w:rPr>
              <w:rFonts w:ascii="Times New Roman" w:eastAsia="Times New Roman" w:hAnsi="Times New Roman" w:cs="Times New Roman"/>
              <w:bCs/>
            </w:rPr>
          </w:pPr>
          <w:r w:rsidRPr="00CD6036">
            <w:rPr>
              <w:rFonts w:ascii="Times New Roman" w:eastAsia="Times New Roman" w:hAnsi="Times New Roman" w:cs="Times New Roman"/>
              <w:bCs/>
            </w:rPr>
            <w:t xml:space="preserve">Treviño-Siller, Sandra, Pelcastre-Villafuerte, Blanca, &amp; Márquez-Serrano, Margarita. (2006). Experiencias de envejecimiento en el México rural. Salud Pública de México, 48(1), 30-38. Recuperado en 31 de mayo de 2025, de </w:t>
          </w:r>
          <w:hyperlink r:id="rId17" w:history="1">
            <w:r w:rsidRPr="00CD6036">
              <w:rPr>
                <w:rStyle w:val="Hyperlink"/>
                <w:rFonts w:ascii="Times New Roman" w:eastAsia="Times New Roman" w:hAnsi="Times New Roman" w:cs="Times New Roman"/>
                <w:bCs/>
              </w:rPr>
              <w:t>http://www.scielo.org.mx/scielo.php?script=sci_arttext&amp;pid=S0036-36342006000100006&amp;lng=es&amp;tlng=es</w:t>
            </w:r>
          </w:hyperlink>
          <w:r w:rsidRPr="00CD6036">
            <w:rPr>
              <w:rFonts w:ascii="Times New Roman" w:eastAsia="Times New Roman" w:hAnsi="Times New Roman" w:cs="Times New Roman"/>
              <w:bCs/>
            </w:rPr>
            <w:t>.</w:t>
          </w:r>
        </w:p>
        <w:p w14:paraId="439AF076" w14:textId="2406B74E" w:rsidR="00F278C0" w:rsidRPr="00CD6036" w:rsidRDefault="00F278C0" w:rsidP="00C6682B">
          <w:pPr>
            <w:pStyle w:val="ListParagraph"/>
            <w:numPr>
              <w:ilvl w:val="0"/>
              <w:numId w:val="2"/>
            </w:numPr>
            <w:spacing w:line="360" w:lineRule="auto"/>
            <w:jc w:val="both"/>
            <w:rPr>
              <w:rFonts w:ascii="Times New Roman" w:eastAsia="Times New Roman" w:hAnsi="Times New Roman" w:cs="Times New Roman"/>
              <w:bCs/>
            </w:rPr>
          </w:pPr>
          <w:proofErr w:type="spellStart"/>
          <w:r w:rsidRPr="00F278C0">
            <w:rPr>
              <w:rFonts w:ascii="Times New Roman" w:eastAsia="Times New Roman" w:hAnsi="Times New Roman" w:cs="Times New Roman"/>
              <w:bCs/>
              <w:lang w:val="en-US"/>
            </w:rPr>
            <w:t>Deneulin</w:t>
          </w:r>
          <w:proofErr w:type="spellEnd"/>
          <w:r w:rsidRPr="00F278C0">
            <w:rPr>
              <w:rFonts w:ascii="Times New Roman" w:eastAsia="Times New Roman" w:hAnsi="Times New Roman" w:cs="Times New Roman"/>
              <w:bCs/>
              <w:lang w:val="en-US"/>
            </w:rPr>
            <w:t xml:space="preserve">, S., &amp; Shahani, L. (Eds.). (2009). </w:t>
          </w:r>
          <w:r w:rsidRPr="00F278C0">
            <w:rPr>
              <w:rFonts w:ascii="Times New Roman" w:eastAsia="Times New Roman" w:hAnsi="Times New Roman" w:cs="Times New Roman"/>
              <w:bCs/>
              <w:i/>
              <w:iCs/>
              <w:lang w:val="en-US"/>
            </w:rPr>
            <w:t>An introduction to the human development and capability approach: Freedom and agency</w:t>
          </w:r>
          <w:r w:rsidRPr="00F278C0">
            <w:rPr>
              <w:rFonts w:ascii="Times New Roman" w:eastAsia="Times New Roman" w:hAnsi="Times New Roman" w:cs="Times New Roman"/>
              <w:bCs/>
              <w:lang w:val="en-US"/>
            </w:rPr>
            <w:t xml:space="preserve">. </w:t>
          </w:r>
          <w:proofErr w:type="spellStart"/>
          <w:r w:rsidRPr="00F278C0">
            <w:rPr>
              <w:rFonts w:ascii="Times New Roman" w:eastAsia="Times New Roman" w:hAnsi="Times New Roman" w:cs="Times New Roman"/>
              <w:bCs/>
            </w:rPr>
            <w:t>Earthscan</w:t>
          </w:r>
          <w:proofErr w:type="spellEnd"/>
          <w:r w:rsidRPr="00F278C0">
            <w:rPr>
              <w:rFonts w:ascii="Times New Roman" w:eastAsia="Times New Roman" w:hAnsi="Times New Roman" w:cs="Times New Roman"/>
              <w:bCs/>
            </w:rPr>
            <w:t>.</w:t>
          </w:r>
        </w:p>
        <w:p w14:paraId="33EE3FCE" w14:textId="77777777" w:rsidR="00424E3F" w:rsidRPr="00CD6036" w:rsidRDefault="00424E3F" w:rsidP="00424E3F">
          <w:pPr>
            <w:spacing w:line="360" w:lineRule="auto"/>
            <w:jc w:val="both"/>
            <w:rPr>
              <w:rFonts w:ascii="Times New Roman" w:eastAsia="Times New Roman" w:hAnsi="Times New Roman" w:cs="Times New Roman"/>
              <w:bCs/>
            </w:rPr>
          </w:pPr>
        </w:p>
        <w:p w14:paraId="7E2634BE" w14:textId="77777777" w:rsidR="00424E3F" w:rsidRPr="00CD6036" w:rsidRDefault="00424E3F" w:rsidP="00424E3F">
          <w:pPr>
            <w:spacing w:line="360" w:lineRule="auto"/>
            <w:jc w:val="both"/>
            <w:rPr>
              <w:rFonts w:ascii="Times New Roman" w:eastAsia="Times New Roman" w:hAnsi="Times New Roman" w:cs="Times New Roman"/>
              <w:bCs/>
            </w:rPr>
          </w:pPr>
        </w:p>
        <w:p w14:paraId="5CDB3FAF" w14:textId="77777777" w:rsidR="00FE1FCB" w:rsidRPr="00CD6036" w:rsidRDefault="00FE1FCB" w:rsidP="008C69B7">
          <w:pPr>
            <w:jc w:val="both"/>
            <w:rPr>
              <w:rFonts w:ascii="Times New Roman" w:hAnsi="Times New Roman" w:cs="Times New Roman"/>
            </w:rPr>
          </w:pPr>
        </w:p>
        <w:p w14:paraId="0F0C8C8D" w14:textId="77777777" w:rsidR="00FE1FCB" w:rsidRPr="00CD6036" w:rsidRDefault="00FE1FCB" w:rsidP="008C69B7">
          <w:pPr>
            <w:jc w:val="both"/>
            <w:rPr>
              <w:rFonts w:ascii="Times New Roman" w:hAnsi="Times New Roman" w:cs="Times New Roman"/>
            </w:rPr>
          </w:pPr>
        </w:p>
        <w:p w14:paraId="59ED02CF" w14:textId="77777777" w:rsidR="008C69B7" w:rsidRPr="00CD6036" w:rsidRDefault="008C69B7" w:rsidP="00424E3F">
          <w:pPr>
            <w:jc w:val="both"/>
            <w:rPr>
              <w:rFonts w:ascii="Times New Roman" w:hAnsi="Times New Roman" w:cs="Times New Roman"/>
            </w:rPr>
          </w:pPr>
        </w:p>
        <w:p w14:paraId="2D9EEA79" w14:textId="77777777" w:rsidR="00424E3F" w:rsidRPr="00CD6036" w:rsidRDefault="00424E3F" w:rsidP="00424E3F">
          <w:pPr>
            <w:spacing w:line="360" w:lineRule="auto"/>
            <w:jc w:val="both"/>
            <w:rPr>
              <w:rFonts w:ascii="Times New Roman" w:eastAsia="Times New Roman" w:hAnsi="Times New Roman" w:cs="Times New Roman"/>
              <w:bCs/>
            </w:rPr>
          </w:pPr>
        </w:p>
        <w:p w14:paraId="3ECFA59A" w14:textId="77777777" w:rsidR="00C6682B" w:rsidRPr="00CD6036" w:rsidRDefault="00C6682B" w:rsidP="00C6682B">
          <w:pPr>
            <w:spacing w:line="360" w:lineRule="auto"/>
            <w:jc w:val="both"/>
            <w:rPr>
              <w:rFonts w:ascii="Times New Roman" w:eastAsia="Times New Roman" w:hAnsi="Times New Roman" w:cs="Times New Roman"/>
              <w:bCs/>
            </w:rPr>
          </w:pPr>
        </w:p>
        <w:p w14:paraId="78EAC3D2" w14:textId="700A397C" w:rsidR="009302D8" w:rsidRPr="00CD6036" w:rsidRDefault="00000000" w:rsidP="00C93979">
          <w:pPr>
            <w:spacing w:line="360" w:lineRule="auto"/>
            <w:jc w:val="both"/>
            <w:rPr>
              <w:rFonts w:ascii="Times New Roman" w:eastAsia="Times New Roman" w:hAnsi="Times New Roman" w:cs="Times New Roman"/>
            </w:rPr>
          </w:pPr>
        </w:p>
      </w:sdtContent>
    </w:sdt>
    <w:sectPr w:rsidR="009302D8" w:rsidRPr="00CD6036" w:rsidSect="009302D8">
      <w:footerReference w:type="default" r:id="rId18"/>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D2AB5" w14:textId="77777777" w:rsidR="00236773" w:rsidRPr="00776FD6" w:rsidRDefault="00236773" w:rsidP="009302D8">
      <w:pPr>
        <w:spacing w:after="0" w:line="240" w:lineRule="auto"/>
      </w:pPr>
      <w:r w:rsidRPr="00776FD6">
        <w:separator/>
      </w:r>
    </w:p>
  </w:endnote>
  <w:endnote w:type="continuationSeparator" w:id="0">
    <w:p w14:paraId="3D690E49" w14:textId="77777777" w:rsidR="00236773" w:rsidRPr="00776FD6" w:rsidRDefault="00236773" w:rsidP="009302D8">
      <w:pPr>
        <w:spacing w:after="0" w:line="240" w:lineRule="auto"/>
      </w:pPr>
      <w:r w:rsidRPr="00776F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916682"/>
      <w:docPartObj>
        <w:docPartGallery w:val="Page Numbers (Bottom of Page)"/>
        <w:docPartUnique/>
      </w:docPartObj>
    </w:sdtPr>
    <w:sdtContent>
      <w:p w14:paraId="783581EB" w14:textId="393AD362" w:rsidR="009302D8" w:rsidRPr="00776FD6" w:rsidRDefault="009302D8">
        <w:pPr>
          <w:pStyle w:val="Footer"/>
          <w:jc w:val="center"/>
        </w:pPr>
        <w:r w:rsidRPr="00776FD6">
          <w:fldChar w:fldCharType="begin"/>
        </w:r>
        <w:r w:rsidRPr="00776FD6">
          <w:instrText xml:space="preserve"> PAGE   \* MERGEFORMAT </w:instrText>
        </w:r>
        <w:r w:rsidRPr="00776FD6">
          <w:fldChar w:fldCharType="separate"/>
        </w:r>
        <w:r w:rsidR="00603B34" w:rsidRPr="00776FD6">
          <w:t>1</w:t>
        </w:r>
        <w:r w:rsidRPr="00776FD6">
          <w:fldChar w:fldCharType="end"/>
        </w:r>
      </w:p>
    </w:sdtContent>
  </w:sdt>
  <w:p w14:paraId="728EAA76" w14:textId="77777777" w:rsidR="009302D8" w:rsidRPr="00776FD6" w:rsidRDefault="00930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8F481" w14:textId="77777777" w:rsidR="00236773" w:rsidRPr="00776FD6" w:rsidRDefault="00236773" w:rsidP="009302D8">
      <w:pPr>
        <w:spacing w:after="0" w:line="240" w:lineRule="auto"/>
      </w:pPr>
      <w:r w:rsidRPr="00776FD6">
        <w:separator/>
      </w:r>
    </w:p>
  </w:footnote>
  <w:footnote w:type="continuationSeparator" w:id="0">
    <w:p w14:paraId="14C021AB" w14:textId="77777777" w:rsidR="00236773" w:rsidRPr="00776FD6" w:rsidRDefault="00236773" w:rsidP="009302D8">
      <w:pPr>
        <w:spacing w:after="0" w:line="240" w:lineRule="auto"/>
      </w:pPr>
      <w:r w:rsidRPr="00776FD6">
        <w:continuationSeparator/>
      </w:r>
    </w:p>
  </w:footnote>
  <w:footnote w:id="1">
    <w:p w14:paraId="0EC8698E" w14:textId="4EF87F97" w:rsidR="00736122" w:rsidRDefault="00736122">
      <w:pPr>
        <w:pStyle w:val="FootnoteText"/>
      </w:pPr>
      <w:r w:rsidRPr="00776FD6">
        <w:rPr>
          <w:rStyle w:val="FootnoteReference"/>
        </w:rPr>
        <w:footnoteRef/>
      </w:r>
      <w:r w:rsidRPr="00776FD6">
        <w:t xml:space="preserve"> https://www.inegi.org.mx/programas/enasem/2021/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1F17"/>
    <w:multiLevelType w:val="hybridMultilevel"/>
    <w:tmpl w:val="46D8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340A7"/>
    <w:multiLevelType w:val="hybridMultilevel"/>
    <w:tmpl w:val="9AF8C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6E6F"/>
    <w:multiLevelType w:val="hybridMultilevel"/>
    <w:tmpl w:val="EE0A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244A1"/>
    <w:multiLevelType w:val="hybridMultilevel"/>
    <w:tmpl w:val="4AF0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B0B52"/>
    <w:multiLevelType w:val="hybridMultilevel"/>
    <w:tmpl w:val="032E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94E65"/>
    <w:multiLevelType w:val="hybridMultilevel"/>
    <w:tmpl w:val="EA2E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B377E"/>
    <w:multiLevelType w:val="hybridMultilevel"/>
    <w:tmpl w:val="0AC46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804840"/>
    <w:multiLevelType w:val="hybridMultilevel"/>
    <w:tmpl w:val="0AC4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935901">
    <w:abstractNumId w:val="0"/>
  </w:num>
  <w:num w:numId="2" w16cid:durableId="1925602618">
    <w:abstractNumId w:val="4"/>
  </w:num>
  <w:num w:numId="3" w16cid:durableId="1949697846">
    <w:abstractNumId w:val="3"/>
  </w:num>
  <w:num w:numId="4" w16cid:durableId="818114040">
    <w:abstractNumId w:val="7"/>
  </w:num>
  <w:num w:numId="5" w16cid:durableId="210844613">
    <w:abstractNumId w:val="6"/>
  </w:num>
  <w:num w:numId="6" w16cid:durableId="1787431679">
    <w:abstractNumId w:val="2"/>
  </w:num>
  <w:num w:numId="7" w16cid:durableId="1848784228">
    <w:abstractNumId w:val="5"/>
  </w:num>
  <w:num w:numId="8" w16cid:durableId="57477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01"/>
    <w:rsid w:val="0002140D"/>
    <w:rsid w:val="00033A08"/>
    <w:rsid w:val="00034DBD"/>
    <w:rsid w:val="0004286A"/>
    <w:rsid w:val="00064B9A"/>
    <w:rsid w:val="000875B5"/>
    <w:rsid w:val="00092E59"/>
    <w:rsid w:val="000A15AC"/>
    <w:rsid w:val="000A577E"/>
    <w:rsid w:val="000C5882"/>
    <w:rsid w:val="00117F60"/>
    <w:rsid w:val="0012434B"/>
    <w:rsid w:val="00137505"/>
    <w:rsid w:val="0015762E"/>
    <w:rsid w:val="00161315"/>
    <w:rsid w:val="0017448F"/>
    <w:rsid w:val="001770EC"/>
    <w:rsid w:val="00192733"/>
    <w:rsid w:val="001B555F"/>
    <w:rsid w:val="00201AB5"/>
    <w:rsid w:val="00213713"/>
    <w:rsid w:val="00236773"/>
    <w:rsid w:val="00240968"/>
    <w:rsid w:val="002847A9"/>
    <w:rsid w:val="002C2D18"/>
    <w:rsid w:val="00311C88"/>
    <w:rsid w:val="00352164"/>
    <w:rsid w:val="003522B3"/>
    <w:rsid w:val="00357A88"/>
    <w:rsid w:val="00362D14"/>
    <w:rsid w:val="00377EEE"/>
    <w:rsid w:val="00390790"/>
    <w:rsid w:val="003B1028"/>
    <w:rsid w:val="003E121F"/>
    <w:rsid w:val="003F0C57"/>
    <w:rsid w:val="003F5A6C"/>
    <w:rsid w:val="00403C24"/>
    <w:rsid w:val="00424E3F"/>
    <w:rsid w:val="004765AB"/>
    <w:rsid w:val="004B0295"/>
    <w:rsid w:val="004C31F0"/>
    <w:rsid w:val="004D09C8"/>
    <w:rsid w:val="004E48C1"/>
    <w:rsid w:val="00502728"/>
    <w:rsid w:val="00514763"/>
    <w:rsid w:val="0053237B"/>
    <w:rsid w:val="00534099"/>
    <w:rsid w:val="00543BEF"/>
    <w:rsid w:val="00584BE9"/>
    <w:rsid w:val="005B452F"/>
    <w:rsid w:val="005D2EB8"/>
    <w:rsid w:val="005D7B8C"/>
    <w:rsid w:val="005E42C2"/>
    <w:rsid w:val="005E63C0"/>
    <w:rsid w:val="005F5BE4"/>
    <w:rsid w:val="00603B34"/>
    <w:rsid w:val="006306C9"/>
    <w:rsid w:val="00664008"/>
    <w:rsid w:val="006945DF"/>
    <w:rsid w:val="006B0ACB"/>
    <w:rsid w:val="00736122"/>
    <w:rsid w:val="007655C9"/>
    <w:rsid w:val="0076610A"/>
    <w:rsid w:val="00766266"/>
    <w:rsid w:val="00776FD6"/>
    <w:rsid w:val="00781E17"/>
    <w:rsid w:val="0078497F"/>
    <w:rsid w:val="007952B5"/>
    <w:rsid w:val="007B2189"/>
    <w:rsid w:val="007D52F9"/>
    <w:rsid w:val="007F6DD1"/>
    <w:rsid w:val="007F7A2F"/>
    <w:rsid w:val="00802C96"/>
    <w:rsid w:val="00805022"/>
    <w:rsid w:val="00805384"/>
    <w:rsid w:val="00823B6B"/>
    <w:rsid w:val="008B49AB"/>
    <w:rsid w:val="008C69B7"/>
    <w:rsid w:val="008D2D01"/>
    <w:rsid w:val="008D7AC7"/>
    <w:rsid w:val="008E03BA"/>
    <w:rsid w:val="008E1694"/>
    <w:rsid w:val="00912664"/>
    <w:rsid w:val="00913B1E"/>
    <w:rsid w:val="00915F6C"/>
    <w:rsid w:val="00922FC6"/>
    <w:rsid w:val="009302D8"/>
    <w:rsid w:val="00931CCA"/>
    <w:rsid w:val="00941579"/>
    <w:rsid w:val="00946591"/>
    <w:rsid w:val="00946B3A"/>
    <w:rsid w:val="00963742"/>
    <w:rsid w:val="00987CDA"/>
    <w:rsid w:val="009F6C94"/>
    <w:rsid w:val="009F7D10"/>
    <w:rsid w:val="00A26862"/>
    <w:rsid w:val="00A50319"/>
    <w:rsid w:val="00A626F1"/>
    <w:rsid w:val="00AB155D"/>
    <w:rsid w:val="00AD1000"/>
    <w:rsid w:val="00AD380D"/>
    <w:rsid w:val="00AD6F16"/>
    <w:rsid w:val="00AE4DD3"/>
    <w:rsid w:val="00B232D0"/>
    <w:rsid w:val="00B2594B"/>
    <w:rsid w:val="00B364D6"/>
    <w:rsid w:val="00B63041"/>
    <w:rsid w:val="00B80983"/>
    <w:rsid w:val="00BB0641"/>
    <w:rsid w:val="00BB5DD7"/>
    <w:rsid w:val="00BD1270"/>
    <w:rsid w:val="00BE2460"/>
    <w:rsid w:val="00BE41B3"/>
    <w:rsid w:val="00C149BB"/>
    <w:rsid w:val="00C211B1"/>
    <w:rsid w:val="00C232EF"/>
    <w:rsid w:val="00C3189F"/>
    <w:rsid w:val="00C57999"/>
    <w:rsid w:val="00C6682B"/>
    <w:rsid w:val="00C67D29"/>
    <w:rsid w:val="00C74797"/>
    <w:rsid w:val="00C76798"/>
    <w:rsid w:val="00C80A20"/>
    <w:rsid w:val="00C93979"/>
    <w:rsid w:val="00C9577F"/>
    <w:rsid w:val="00CD6036"/>
    <w:rsid w:val="00CE1E1B"/>
    <w:rsid w:val="00D0133B"/>
    <w:rsid w:val="00D1220C"/>
    <w:rsid w:val="00D25815"/>
    <w:rsid w:val="00D37F22"/>
    <w:rsid w:val="00D63D96"/>
    <w:rsid w:val="00D738E3"/>
    <w:rsid w:val="00DA1EC0"/>
    <w:rsid w:val="00DA24C1"/>
    <w:rsid w:val="00DB7050"/>
    <w:rsid w:val="00DC3E6E"/>
    <w:rsid w:val="00DE22C0"/>
    <w:rsid w:val="00DE67AD"/>
    <w:rsid w:val="00E210A2"/>
    <w:rsid w:val="00E2737F"/>
    <w:rsid w:val="00E3024B"/>
    <w:rsid w:val="00E308EA"/>
    <w:rsid w:val="00E35206"/>
    <w:rsid w:val="00E60213"/>
    <w:rsid w:val="00E763F4"/>
    <w:rsid w:val="00E8280C"/>
    <w:rsid w:val="00EB74C9"/>
    <w:rsid w:val="00ED0502"/>
    <w:rsid w:val="00EE0799"/>
    <w:rsid w:val="00F278C0"/>
    <w:rsid w:val="00F40E53"/>
    <w:rsid w:val="00F65D3C"/>
    <w:rsid w:val="00F81E3B"/>
    <w:rsid w:val="00FA40BA"/>
    <w:rsid w:val="00FB01BB"/>
    <w:rsid w:val="00FB2A40"/>
    <w:rsid w:val="00FD6E1D"/>
    <w:rsid w:val="00FE1FCB"/>
    <w:rsid w:val="00FE549A"/>
    <w:rsid w:val="00FF1ED5"/>
    <w:rsid w:val="00FF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C407"/>
  <w15:chartTrackingRefBased/>
  <w15:docId w15:val="{EFA420DD-A8D8-4C44-9E0E-37A7012C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8D2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D01"/>
    <w:rPr>
      <w:rFonts w:eastAsiaTheme="majorEastAsia" w:cstheme="majorBidi"/>
      <w:color w:val="272727" w:themeColor="text1" w:themeTint="D8"/>
    </w:rPr>
  </w:style>
  <w:style w:type="paragraph" w:styleId="Title">
    <w:name w:val="Title"/>
    <w:basedOn w:val="Normal"/>
    <w:next w:val="Normal"/>
    <w:link w:val="TitleChar"/>
    <w:uiPriority w:val="10"/>
    <w:qFormat/>
    <w:rsid w:val="008D2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D01"/>
    <w:pPr>
      <w:spacing w:before="160"/>
      <w:jc w:val="center"/>
    </w:pPr>
    <w:rPr>
      <w:i/>
      <w:iCs/>
      <w:color w:val="404040" w:themeColor="text1" w:themeTint="BF"/>
    </w:rPr>
  </w:style>
  <w:style w:type="character" w:customStyle="1" w:styleId="QuoteChar">
    <w:name w:val="Quote Char"/>
    <w:basedOn w:val="DefaultParagraphFont"/>
    <w:link w:val="Quote"/>
    <w:uiPriority w:val="29"/>
    <w:rsid w:val="008D2D01"/>
    <w:rPr>
      <w:i/>
      <w:iCs/>
      <w:color w:val="404040" w:themeColor="text1" w:themeTint="BF"/>
    </w:rPr>
  </w:style>
  <w:style w:type="paragraph" w:styleId="ListParagraph">
    <w:name w:val="List Paragraph"/>
    <w:basedOn w:val="Normal"/>
    <w:uiPriority w:val="34"/>
    <w:qFormat/>
    <w:rsid w:val="008D2D01"/>
    <w:pPr>
      <w:ind w:left="720"/>
      <w:contextualSpacing/>
    </w:pPr>
  </w:style>
  <w:style w:type="character" w:styleId="IntenseEmphasis">
    <w:name w:val="Intense Emphasis"/>
    <w:basedOn w:val="DefaultParagraphFont"/>
    <w:uiPriority w:val="21"/>
    <w:qFormat/>
    <w:rsid w:val="008D2D01"/>
    <w:rPr>
      <w:i/>
      <w:iCs/>
      <w:color w:val="0F4761" w:themeColor="accent1" w:themeShade="BF"/>
    </w:rPr>
  </w:style>
  <w:style w:type="paragraph" w:styleId="IntenseQuote">
    <w:name w:val="Intense Quote"/>
    <w:basedOn w:val="Normal"/>
    <w:next w:val="Normal"/>
    <w:link w:val="IntenseQuoteChar"/>
    <w:uiPriority w:val="30"/>
    <w:qFormat/>
    <w:rsid w:val="008D2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D01"/>
    <w:rPr>
      <w:i/>
      <w:iCs/>
      <w:color w:val="0F4761" w:themeColor="accent1" w:themeShade="BF"/>
    </w:rPr>
  </w:style>
  <w:style w:type="character" w:styleId="IntenseReference">
    <w:name w:val="Intense Reference"/>
    <w:basedOn w:val="DefaultParagraphFont"/>
    <w:uiPriority w:val="32"/>
    <w:qFormat/>
    <w:rsid w:val="008D2D01"/>
    <w:rPr>
      <w:b/>
      <w:bCs/>
      <w:smallCaps/>
      <w:color w:val="0F4761" w:themeColor="accent1" w:themeShade="BF"/>
      <w:spacing w:val="5"/>
    </w:rPr>
  </w:style>
  <w:style w:type="paragraph" w:styleId="Header">
    <w:name w:val="header"/>
    <w:basedOn w:val="Normal"/>
    <w:link w:val="HeaderChar"/>
    <w:uiPriority w:val="99"/>
    <w:unhideWhenUsed/>
    <w:rsid w:val="009302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02D8"/>
  </w:style>
  <w:style w:type="paragraph" w:styleId="Footer">
    <w:name w:val="footer"/>
    <w:basedOn w:val="Normal"/>
    <w:link w:val="FooterChar"/>
    <w:uiPriority w:val="99"/>
    <w:unhideWhenUsed/>
    <w:rsid w:val="009302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02D8"/>
  </w:style>
  <w:style w:type="paragraph" w:styleId="NoSpacing">
    <w:name w:val="No Spacing"/>
    <w:link w:val="NoSpacingChar"/>
    <w:uiPriority w:val="1"/>
    <w:qFormat/>
    <w:rsid w:val="009302D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302D8"/>
    <w:rPr>
      <w:rFonts w:eastAsiaTheme="minorEastAsia"/>
      <w:kern w:val="0"/>
      <w:sz w:val="22"/>
      <w:szCs w:val="22"/>
      <w14:ligatures w14:val="none"/>
    </w:rPr>
  </w:style>
  <w:style w:type="character" w:styleId="Hyperlink">
    <w:name w:val="Hyperlink"/>
    <w:basedOn w:val="DefaultParagraphFont"/>
    <w:uiPriority w:val="99"/>
    <w:unhideWhenUsed/>
    <w:rsid w:val="00390790"/>
    <w:rPr>
      <w:color w:val="467886" w:themeColor="hyperlink"/>
      <w:u w:val="single"/>
    </w:rPr>
  </w:style>
  <w:style w:type="character" w:customStyle="1" w:styleId="UnresolvedMention1">
    <w:name w:val="Unresolved Mention1"/>
    <w:basedOn w:val="DefaultParagraphFont"/>
    <w:uiPriority w:val="99"/>
    <w:semiHidden/>
    <w:unhideWhenUsed/>
    <w:rsid w:val="00390790"/>
    <w:rPr>
      <w:color w:val="605E5C"/>
      <w:shd w:val="clear" w:color="auto" w:fill="E1DFDD"/>
    </w:rPr>
  </w:style>
  <w:style w:type="character" w:styleId="PlaceholderText">
    <w:name w:val="Placeholder Text"/>
    <w:basedOn w:val="DefaultParagraphFont"/>
    <w:uiPriority w:val="99"/>
    <w:semiHidden/>
    <w:rsid w:val="00FF1ED5"/>
    <w:rPr>
      <w:color w:val="666666"/>
    </w:rPr>
  </w:style>
  <w:style w:type="paragraph" w:styleId="FootnoteText">
    <w:name w:val="footnote text"/>
    <w:basedOn w:val="Normal"/>
    <w:link w:val="FootnoteTextChar"/>
    <w:uiPriority w:val="99"/>
    <w:semiHidden/>
    <w:unhideWhenUsed/>
    <w:rsid w:val="00736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122"/>
    <w:rPr>
      <w:sz w:val="20"/>
      <w:szCs w:val="20"/>
    </w:rPr>
  </w:style>
  <w:style w:type="character" w:styleId="FootnoteReference">
    <w:name w:val="footnote reference"/>
    <w:basedOn w:val="DefaultParagraphFont"/>
    <w:uiPriority w:val="99"/>
    <w:semiHidden/>
    <w:unhideWhenUsed/>
    <w:rsid w:val="00736122"/>
    <w:rPr>
      <w:vertAlign w:val="superscript"/>
    </w:rPr>
  </w:style>
  <w:style w:type="character" w:styleId="CommentReference">
    <w:name w:val="annotation reference"/>
    <w:basedOn w:val="DefaultParagraphFont"/>
    <w:uiPriority w:val="99"/>
    <w:semiHidden/>
    <w:unhideWhenUsed/>
    <w:rsid w:val="00603B34"/>
    <w:rPr>
      <w:sz w:val="16"/>
      <w:szCs w:val="16"/>
    </w:rPr>
  </w:style>
  <w:style w:type="paragraph" w:styleId="CommentText">
    <w:name w:val="annotation text"/>
    <w:basedOn w:val="Normal"/>
    <w:link w:val="CommentTextChar"/>
    <w:uiPriority w:val="99"/>
    <w:semiHidden/>
    <w:unhideWhenUsed/>
    <w:rsid w:val="00603B34"/>
    <w:pPr>
      <w:spacing w:line="240" w:lineRule="auto"/>
    </w:pPr>
    <w:rPr>
      <w:sz w:val="20"/>
      <w:szCs w:val="20"/>
    </w:rPr>
  </w:style>
  <w:style w:type="character" w:customStyle="1" w:styleId="CommentTextChar">
    <w:name w:val="Comment Text Char"/>
    <w:basedOn w:val="DefaultParagraphFont"/>
    <w:link w:val="CommentText"/>
    <w:uiPriority w:val="99"/>
    <w:semiHidden/>
    <w:rsid w:val="00603B34"/>
    <w:rPr>
      <w:sz w:val="20"/>
      <w:szCs w:val="20"/>
    </w:rPr>
  </w:style>
  <w:style w:type="paragraph" w:styleId="CommentSubject">
    <w:name w:val="annotation subject"/>
    <w:basedOn w:val="CommentText"/>
    <w:next w:val="CommentText"/>
    <w:link w:val="CommentSubjectChar"/>
    <w:uiPriority w:val="99"/>
    <w:semiHidden/>
    <w:unhideWhenUsed/>
    <w:rsid w:val="00603B34"/>
    <w:rPr>
      <w:b/>
      <w:bCs/>
    </w:rPr>
  </w:style>
  <w:style w:type="character" w:customStyle="1" w:styleId="CommentSubjectChar">
    <w:name w:val="Comment Subject Char"/>
    <w:basedOn w:val="CommentTextChar"/>
    <w:link w:val="CommentSubject"/>
    <w:uiPriority w:val="99"/>
    <w:semiHidden/>
    <w:rsid w:val="00603B34"/>
    <w:rPr>
      <w:b/>
      <w:bCs/>
      <w:sz w:val="20"/>
      <w:szCs w:val="20"/>
    </w:rPr>
  </w:style>
  <w:style w:type="paragraph" w:styleId="BalloonText">
    <w:name w:val="Balloon Text"/>
    <w:basedOn w:val="Normal"/>
    <w:link w:val="BalloonTextChar"/>
    <w:uiPriority w:val="99"/>
    <w:semiHidden/>
    <w:unhideWhenUsed/>
    <w:rsid w:val="00603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B34"/>
    <w:rPr>
      <w:rFonts w:ascii="Segoe UI" w:hAnsi="Segoe UI" w:cs="Segoe UI"/>
      <w:sz w:val="18"/>
      <w:szCs w:val="18"/>
    </w:rPr>
  </w:style>
  <w:style w:type="table" w:styleId="TableGrid">
    <w:name w:val="Table Grid"/>
    <w:basedOn w:val="TableNormal"/>
    <w:uiPriority w:val="39"/>
    <w:rsid w:val="007B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6F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6FD6"/>
    <w:rPr>
      <w:rFonts w:ascii="Consolas" w:hAnsi="Consolas"/>
      <w:sz w:val="20"/>
      <w:szCs w:val="20"/>
      <w:lang w:val="es-MX"/>
    </w:rPr>
  </w:style>
  <w:style w:type="paragraph" w:styleId="NormalWeb">
    <w:name w:val="Normal (Web)"/>
    <w:basedOn w:val="Normal"/>
    <w:uiPriority w:val="99"/>
    <w:semiHidden/>
    <w:unhideWhenUsed/>
    <w:rsid w:val="00CD60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155">
      <w:bodyDiv w:val="1"/>
      <w:marLeft w:val="0"/>
      <w:marRight w:val="0"/>
      <w:marTop w:val="0"/>
      <w:marBottom w:val="0"/>
      <w:divBdr>
        <w:top w:val="none" w:sz="0" w:space="0" w:color="auto"/>
        <w:left w:val="none" w:sz="0" w:space="0" w:color="auto"/>
        <w:bottom w:val="none" w:sz="0" w:space="0" w:color="auto"/>
        <w:right w:val="none" w:sz="0" w:space="0" w:color="auto"/>
      </w:divBdr>
    </w:div>
    <w:div w:id="113445188">
      <w:bodyDiv w:val="1"/>
      <w:marLeft w:val="0"/>
      <w:marRight w:val="0"/>
      <w:marTop w:val="0"/>
      <w:marBottom w:val="0"/>
      <w:divBdr>
        <w:top w:val="none" w:sz="0" w:space="0" w:color="auto"/>
        <w:left w:val="none" w:sz="0" w:space="0" w:color="auto"/>
        <w:bottom w:val="none" w:sz="0" w:space="0" w:color="auto"/>
        <w:right w:val="none" w:sz="0" w:space="0" w:color="auto"/>
      </w:divBdr>
    </w:div>
    <w:div w:id="227420260">
      <w:bodyDiv w:val="1"/>
      <w:marLeft w:val="0"/>
      <w:marRight w:val="0"/>
      <w:marTop w:val="0"/>
      <w:marBottom w:val="0"/>
      <w:divBdr>
        <w:top w:val="none" w:sz="0" w:space="0" w:color="auto"/>
        <w:left w:val="none" w:sz="0" w:space="0" w:color="auto"/>
        <w:bottom w:val="none" w:sz="0" w:space="0" w:color="auto"/>
        <w:right w:val="none" w:sz="0" w:space="0" w:color="auto"/>
      </w:divBdr>
    </w:div>
    <w:div w:id="886333663">
      <w:bodyDiv w:val="1"/>
      <w:marLeft w:val="0"/>
      <w:marRight w:val="0"/>
      <w:marTop w:val="0"/>
      <w:marBottom w:val="0"/>
      <w:divBdr>
        <w:top w:val="none" w:sz="0" w:space="0" w:color="auto"/>
        <w:left w:val="none" w:sz="0" w:space="0" w:color="auto"/>
        <w:bottom w:val="none" w:sz="0" w:space="0" w:color="auto"/>
        <w:right w:val="none" w:sz="0" w:space="0" w:color="auto"/>
      </w:divBdr>
    </w:div>
    <w:div w:id="908923122">
      <w:bodyDiv w:val="1"/>
      <w:marLeft w:val="0"/>
      <w:marRight w:val="0"/>
      <w:marTop w:val="0"/>
      <w:marBottom w:val="0"/>
      <w:divBdr>
        <w:top w:val="none" w:sz="0" w:space="0" w:color="auto"/>
        <w:left w:val="none" w:sz="0" w:space="0" w:color="auto"/>
        <w:bottom w:val="none" w:sz="0" w:space="0" w:color="auto"/>
        <w:right w:val="none" w:sz="0" w:space="0" w:color="auto"/>
      </w:divBdr>
    </w:div>
    <w:div w:id="1054623817">
      <w:bodyDiv w:val="1"/>
      <w:marLeft w:val="0"/>
      <w:marRight w:val="0"/>
      <w:marTop w:val="0"/>
      <w:marBottom w:val="0"/>
      <w:divBdr>
        <w:top w:val="none" w:sz="0" w:space="0" w:color="auto"/>
        <w:left w:val="none" w:sz="0" w:space="0" w:color="auto"/>
        <w:bottom w:val="none" w:sz="0" w:space="0" w:color="auto"/>
        <w:right w:val="none" w:sz="0" w:space="0" w:color="auto"/>
      </w:divBdr>
    </w:div>
    <w:div w:id="1226338061">
      <w:bodyDiv w:val="1"/>
      <w:marLeft w:val="0"/>
      <w:marRight w:val="0"/>
      <w:marTop w:val="0"/>
      <w:marBottom w:val="0"/>
      <w:divBdr>
        <w:top w:val="none" w:sz="0" w:space="0" w:color="auto"/>
        <w:left w:val="none" w:sz="0" w:space="0" w:color="auto"/>
        <w:bottom w:val="none" w:sz="0" w:space="0" w:color="auto"/>
        <w:right w:val="none" w:sz="0" w:space="0" w:color="auto"/>
      </w:divBdr>
    </w:div>
    <w:div w:id="1301885482">
      <w:bodyDiv w:val="1"/>
      <w:marLeft w:val="0"/>
      <w:marRight w:val="0"/>
      <w:marTop w:val="0"/>
      <w:marBottom w:val="0"/>
      <w:divBdr>
        <w:top w:val="none" w:sz="0" w:space="0" w:color="auto"/>
        <w:left w:val="none" w:sz="0" w:space="0" w:color="auto"/>
        <w:bottom w:val="none" w:sz="0" w:space="0" w:color="auto"/>
        <w:right w:val="none" w:sz="0" w:space="0" w:color="auto"/>
      </w:divBdr>
    </w:div>
    <w:div w:id="1445035390">
      <w:bodyDiv w:val="1"/>
      <w:marLeft w:val="0"/>
      <w:marRight w:val="0"/>
      <w:marTop w:val="0"/>
      <w:marBottom w:val="0"/>
      <w:divBdr>
        <w:top w:val="none" w:sz="0" w:space="0" w:color="auto"/>
        <w:left w:val="none" w:sz="0" w:space="0" w:color="auto"/>
        <w:bottom w:val="none" w:sz="0" w:space="0" w:color="auto"/>
        <w:right w:val="none" w:sz="0" w:space="0" w:color="auto"/>
      </w:divBdr>
    </w:div>
    <w:div w:id="14454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94-007-2421-1_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egi.org.mx/programas/enasem/2021/" TargetMode="External"/><Relationship Id="rId17" Type="http://schemas.openxmlformats.org/officeDocument/2006/relationships/hyperlink" Target="http://www.scielo.org.mx/scielo.php?script=sci_arttext&amp;pid=S0036-36342006000100006&amp;lng=es&amp;tlng=es" TargetMode="External"/><Relationship Id="rId2" Type="http://schemas.openxmlformats.org/officeDocument/2006/relationships/numbering" Target="numbering.xml"/><Relationship Id="rId16" Type="http://schemas.openxmlformats.org/officeDocument/2006/relationships/hyperlink" Target="https://doi.org/10.1016/j.socscimed.2018.04.0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u16051804" TargetMode="External"/><Relationship Id="rId5" Type="http://schemas.openxmlformats.org/officeDocument/2006/relationships/webSettings" Target="webSettings.xml"/><Relationship Id="rId15" Type="http://schemas.openxmlformats.org/officeDocument/2006/relationships/hyperlink" Target="https://dx.doi.org/10.4067/S0718-34022007000200003"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22185/24487147.2016.90.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F84FD-9F68-4568-85A7-78839897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13</Pages>
  <Words>3593</Words>
  <Characters>20485</Characters>
  <Application>Microsoft Office Word</Application>
  <DocSecurity>0</DocSecurity>
  <Lines>170</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Wisnel François</cp:lastModifiedBy>
  <cp:revision>21</cp:revision>
  <cp:lastPrinted>2025-08-09T04:37:00Z</cp:lastPrinted>
  <dcterms:created xsi:type="dcterms:W3CDTF">2025-06-27T15:10:00Z</dcterms:created>
  <dcterms:modified xsi:type="dcterms:W3CDTF">2025-08-14T04:42:00Z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id="eeZimIMr"/&gt;&lt;style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