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yang diimplementasikan pada sistem ini (Enterprise, Funding, Accounting, Kas &amp; Vault, Internal Account, Customer).</w:t>
      </w:r>
    </w:p>
    <w:p>
      <w:pPr>
        <w:pStyle w:val="ListParagraph"/>
        <w:numPr>
          <w:ilvl w:val="0"/>
          <w:numId w:val="2"/>
        </w:numPr>
        <w:spacing w:after="80"/>
      </w:pPr>
      <w:r>
        <w:t xml:space="preserve">Struktur organisasi cabang &amp; departemen, serta manajemen user dan hak akses (role, limit otorisasi) — dikelola melalui modul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Interaksi dengan sistem sekitar: integrasi Feeder SAP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Teller &amp; Layanan Counter, QRIS &amp; Virtual Account, Host-to-Host &amp; REST API, Corporate Banking, Manajemen Rekening &amp; Nasabah (CIF), Biller, dan integrasi SAP/GL eksternal.</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spacing w:after="160" w:line="300"/>
      </w:pPr>
      <w:r>
        <w:t xml:space="preserve">Gambar 2.1 tersusun dari empat kelompok besar (kotak) yang dibahas berurutan pada 2.1-2.4: </w:t>
      </w:r>
      <w:r>
        <w:rPr>
          <w:b/>
          <w:bCs/>
        </w:rPr>
        <w:t xml:space="preserve">Channel Layer</w:t>
      </w:r>
      <w:r>
        <w:t xml:space="preserve">, </w:t>
      </w:r>
      <w:r>
        <w:rPr>
          <w:b/>
          <w:bCs/>
        </w:rPr>
        <w:t xml:space="preserve">Core Banking System</w:t>
      </w:r>
      <w:r>
        <w:t xml:space="preserve">, </w:t>
      </w:r>
      <w:r>
        <w:rPr>
          <w:b/>
          <w:bCs/>
        </w:rPr>
        <w:t xml:space="preserve">Internal Support Layer</w:t>
      </w:r>
      <w:r>
        <w:t xml:space="preserve">, dan </w:t>
      </w:r>
      <w:r>
        <w:rPr>
          <w:b/>
          <w:bCs/>
        </w:rPr>
        <w:t xml:space="preserve">3rd Party Service</w:t>
      </w:r>
      <w:r>
        <w:t xml:space="preserve">.</w:t>
      </w:r>
    </w:p>
    <w:p>
      <w:pPr>
        <w:pStyle w:val="Heading2"/>
        <w:spacing w:after="120" w:before="260"/>
      </w:pPr>
      <w:r>
        <w:t xml:space="preserve">2.1 Channel Layer</w:t>
      </w:r>
    </w:p>
    <w:p>
      <w:pPr>
        <w:spacing w:after="160" w:line="300"/>
      </w:pPr>
      <w:r>
        <w:t xml:space="preserve">Kelompok paling atas — seluruh titik masuk transaksi ke IBANKCORE:</w:t>
      </w:r>
    </w:p>
    <w:p>
      <w:pPr>
        <w:pStyle w:val="ListParagraph"/>
        <w:numPr>
          <w:ilvl w:val="0"/>
          <w:numId w:val="2"/>
        </w:numPr>
        <w:spacing w:after="80"/>
      </w:pPr>
      <w:r>
        <w:rPr>
          <w:b/>
          <w:bCs/>
        </w:rPr>
        <w:t xml:space="preserve">BDS/AppClient</w:t>
      </w:r>
      <w:r>
        <w:t xml:space="preserve">, </w:t>
      </w:r>
      <w:r>
        <w:rPr>
          <w:b/>
          <w:bCs/>
        </w:rPr>
        <w:t xml:space="preserve">Mobile &amp; Internet Banking</w:t>
      </w:r>
      <w:r>
        <w:t xml:space="preserve">, </w:t>
      </w:r>
      <w:r>
        <w:rPr>
          <w:b/>
          <w:bCs/>
        </w:rPr>
        <w:t xml:space="preserve">E-Channel/API Gateway</w:t>
      </w:r>
      <w:r>
        <w:t xml:space="preserve">, </w:t>
      </w:r>
      <w:r>
        <w:rPr>
          <w:b/>
          <w:bCs/>
        </w:rPr>
        <w:t xml:space="preserve">CMS (Cash Management System)</w:t>
      </w:r>
      <w:r>
        <w:t xml:space="preserve">, </w:t>
      </w:r>
      <w:r>
        <w:rPr>
          <w:b/>
          <w:bCs/>
        </w:rPr>
        <w:t xml:space="preserve">ATM/EDC</w:t>
      </w:r>
      <w:r>
        <w:t xml:space="preserve"> — lima kanal yang membawa transaksi masuk ke Core Banking System (2.2) dan sekaligus bisa menerima respons balik (koneksi dua arah).</w:t>
      </w:r>
    </w:p>
    <w:p>
      <w:pPr>
        <w:pStyle w:val="ListParagraph"/>
        <w:numPr>
          <w:ilvl w:val="0"/>
          <w:numId w:val="2"/>
        </w:numPr>
        <w:spacing w:after="80"/>
      </w:pPr>
      <w:r>
        <w:rPr>
          <w:b/>
          <w:bCs/>
        </w:rPr>
        <w:t xml:space="preserve">CMS</w:t>
      </w:r>
      <w:r>
        <w:t xml:space="preserve"> di sini adalah kanal digital untuk institusi/korporat (lihat 2.4 &amp; Bagian 7.6) — berbeda dari modul internal "Kas &amp; Vault" (2.2).</w:t>
      </w:r>
    </w:p>
    <w:p>
      <w:pPr>
        <w:pStyle w:val="Heading2"/>
        <w:spacing w:after="120" w:before="260"/>
      </w:pPr>
      <w:r>
        <w:t xml:space="preserve">2.2 Core Banking System</w:t>
      </w:r>
    </w:p>
    <w:p>
      <w:pPr>
        <w:spacing w:after="160" w:line="300"/>
      </w:pPr>
      <w:r>
        <w:t xml:space="preserve">Kelompok tengah (envelope terbesar) — mesin transaksi &amp; produk perbankan itu sendiri, mencakup modul bisnis, lapisan data, dan aplikasi penyusunnya.</w:t>
      </w:r>
    </w:p>
    <w:p>
      <w:pPr>
        <w:pStyle w:val="Heading3"/>
        <w:spacing w:after="100" w:before="200"/>
      </w:pPr>
      <w:r>
        <w:t xml:space="preserve">2.2.1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struktur organisasi, user &amp; hak akses, parameter, otorisasi, audit trail.</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bl>
    <w:p/>
    <w:p>
      <w:pPr>
        <w:pStyle w:val="Heading3"/>
        <w:spacing w:after="100" w:before="200"/>
      </w:pPr>
      <w:r>
        <w:t xml:space="preserve">2.2.2 Lapisan Data</w:t>
      </w:r>
    </w:p>
    <w:p>
      <w:pPr>
        <w:spacing w:after="160" w:line="300"/>
      </w:pPr>
      <w:r>
        <w:t xml:space="preserve">Seluruh modul berbagi satu basis data Oracle yang sama — bukan database terpisah per modul — sehingga transaksi lintas modul (mis. Setor Tunai yang melibatkan Funding, Accounting, dan Kas &amp; Vault sekaligus) dapat tercatat secara konsisten dalam satu lapisan data.</w:t>
      </w:r>
    </w:p>
    <w:p>
      <w:pPr>
        <w:pStyle w:val="Heading3"/>
        <w:spacing w:after="100" w:before="200"/>
      </w:pPr>
      <w:r>
        <w:t xml:space="preserve">2.2.3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rPr>
          <w:b/>
          <w:bCs/>
        </w:rPr>
        <w:t xml:space="preserve">Aplikasi Core</w:t>
      </w:r>
      <w:r>
        <w:t xml:space="preserve"> — mesin transaksi &amp; produk perbankan itu sendiri: logika akun, transaksi, jurnal, serta produk (Deposito, Tabungan,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t xml:space="preserve">Kedua aplikasi berbagi prinsip dan pola arsitektur yang sama (lapisan data, struktur transaksi), namun </w:t>
      </w:r>
      <w:r>
        <w:rPr>
          <w:b/>
          <w:bCs/>
        </w:rPr>
        <w:t xml:space="preserve">enterprise</w:t>
      </w:r>
      <w:r>
        <w:t xml:space="preserve"> berfokus pada domain administrasi, keamanan, dan operasional platform, sedangkan </w:t>
      </w:r>
      <w:r>
        <w:rPr>
          <w:b/>
          <w:bCs/>
        </w:rPr>
        <w:t xml:space="preserve">core</w:t>
      </w:r>
      <w:r>
        <w:t xml:space="preserve"> berfokus pada domain bisnis/produk.</w:t>
      </w:r>
    </w:p>
    <w:p>
      <w:pPr>
        <w:pStyle w:val="Heading3"/>
        <w:spacing w:after="100" w:before="200"/>
      </w:pPr>
      <w:r>
        <w:t xml:space="preserve">2.2.4 Aplikasi Ketiga: Switching (switching-cgs)</w:t>
      </w:r>
    </w:p>
    <w:p>
      <w:pPr>
        <w:spacing w:after="160" w:line="300"/>
      </w:pPr>
      <w:r>
        <w:t xml:space="preserve">Selain core dan enterprise (2.2.3), pada deployment PT Pos terdapat </w:t>
      </w:r>
      <w:r>
        <w:rPr>
          <w:b/>
          <w:bCs/>
        </w:rPr>
        <w:t xml:space="preserve">aplikasi ketiga yang berdiri sendiri</w:t>
      </w:r>
      <w:r>
        <w:t xml:space="preserve">: proyek switching (nama internal "switching-cgs") — hasil modernisasi komponen switching pembayaran dari Python legacy ke </w:t>
      </w:r>
      <w:r>
        <w:rPr>
          <w:b/>
          <w:bCs/>
        </w:rPr>
        <w:t xml:space="preserve">Go</w:t>
      </w:r>
      <w:r>
        <w:t xml:space="preserve">. Karena secara fungsional switching-cgs adalah bagian dari ekosistem IBANKCORE (bukan sistem pihak ketiga eksternal), pada Gambar 2.1 aplikasi ini digambar </w:t>
      </w:r>
      <w:r>
        <w:rPr>
          <w:b/>
          <w:bCs/>
        </w:rPr>
        <w:t xml:space="preserve">di dalam</w:t>
      </w:r>
      <w:r>
        <w:t xml:space="preserve"> envelope Core Banking System, sejajar modul lain — meski gaya visualnya tetap dibedakan (gold, garis putus-putus) untuk menandakan akses langsungnya ke database.</w:t>
      </w:r>
    </w:p>
    <w:p>
      <w:pPr>
        <w:pStyle w:val="ListParagraph"/>
        <w:numPr>
          <w:ilvl w:val="0"/>
          <w:numId w:val="2"/>
        </w:numPr>
        <w:spacing w:after="80"/>
      </w:pPr>
      <w:r>
        <w:rPr>
          <w:b/>
          <w:bCs/>
        </w:rPr>
        <w:t xml:space="preserve">Arsitektur microservice</w:t>
      </w:r>
      <w:r>
        <w:t xml:space="preserve"> — terdiri dari beberapa service terpisah (mis. core, core-hin, core-inq, core-rev, bca, jalin/QRIS, topup), masing-masing mendukung dua protokol: </w:t>
      </w:r>
      <w:r>
        <w:rPr>
          <w:b/>
          <w:bCs/>
        </w:rPr>
        <w:t xml:space="preserve">BL2 (TCP)</w:t>
      </w:r>
      <w:r>
        <w:t xml:space="preserve"> untuk kompatibilitas ATM/EDC legacy, dan </w:t>
      </w:r>
      <w:r>
        <w:rPr>
          <w:b/>
          <w:bCs/>
        </w:rPr>
        <w:t xml:space="preserve">gRPC</w:t>
      </w:r>
      <w:r>
        <w:t xml:space="preserve"> untuk klien modern. </w:t>
      </w:r>
      <w:r>
        <w:rPr>
          <w:b/>
          <w:bCs/>
        </w:rPr>
        <w:t xml:space="preserve">Redis</w:t>
      </w:r>
      <w:r>
        <w:t xml:space="preserve"> dipakai sebagai job-queue/state-tracking untuk idempotency &amp; recovery, dideploy via Docker/Kubernetes.</w:t>
      </w:r>
    </w:p>
    <w:p>
      <w:pPr>
        <w:pStyle w:val="ListParagraph"/>
        <w:numPr>
          <w:ilvl w:val="0"/>
          <w:numId w:val="2"/>
        </w:numPr>
        <w:spacing w:after="80"/>
      </w:pPr>
      <w:r>
        <w:rPr>
          <w:b/>
          <w:bCs/>
        </w:rPr>
        <w:t xml:space="preserve">Akses langsung ke database Core</w:t>
      </w:r>
      <w:r>
        <w:t xml:space="preserve"> — berbeda dari core/enterprise yang mengakses data melalui lapisan aplikasinya sendiri, switching-cgs terhubung </w:t>
      </w:r>
      <w:r>
        <w:rPr>
          <w:b/>
          <w:bCs/>
        </w:rPr>
        <w:t xml:space="preserve">langsung ke Oracle</w:t>
      </w:r>
      <w:r>
        <w:t xml:space="preserve"> dengan skema (`ibcoreprod`/`ibentprod`) yang sama persis dengan skema core/enterprise, lengkap dengan modul query per-tabel (akun, transaksi, CIF, dsb.) — bukan lewat API. Pola ini konsisten dipakai baik untuk switching pembayaran umum (Bagian 7.5) maupun QRIS (menggantikan/melengkapi implementasi QRIS sisi core, Bagian 7.2), serta integrasi verifikasi identitas &amp; OTP (Bagian 7.7).</w:t>
      </w:r>
    </w:p>
    <w:p>
      <w:pPr>
        <w:pStyle w:val="ListParagraph"/>
        <w:numPr>
          <w:ilvl w:val="0"/>
          <w:numId w:val="2"/>
        </w:numPr>
        <w:spacing w:after="80"/>
      </w:pPr>
      <w:r>
        <w:rPr>
          <w:b/>
          <w:bCs/>
        </w:rPr>
        <w:t xml:space="preserve">Implikasi arsitektur</w:t>
      </w:r>
      <w:r>
        <w:t xml:space="preserve"> — dengan tiga aplikasi (core, enterprise, switching-cgs) yang saling terhubung ke satu database Oracle yang sama, perubahan skema database berdampak lintas aplikasi dan perlu dikoordinasikan, tidak cukup diuji di satu aplikasi saja.</w:t>
      </w:r>
    </w:p>
    <w:p>
      <w:pPr>
        <w:pStyle w:val="Heading2"/>
        <w:spacing w:after="120" w:before="260"/>
      </w:pPr>
      <w:r>
        <w:t xml:space="preserve">2.3 Internal Support Layer</w:t>
      </w:r>
    </w:p>
    <w:p>
      <w:pPr>
        <w:spacing w:after="160" w:line="300"/>
      </w:pPr>
      <w:r>
        <w:t xml:space="preserve">Kelompok ketiga (di bawah envelope Core Banking System) — kumpulan layanan pendukung internal yang beroperasi di sekitar (bukan di dalam) database Core, masing-masing independen satu sama lain:</w:t>
      </w:r>
    </w:p>
    <w:p>
      <w:pPr>
        <w:pStyle w:val="ListParagraph"/>
        <w:numPr>
          <w:ilvl w:val="0"/>
          <w:numId w:val="2"/>
        </w:numPr>
        <w:spacing w:after="80"/>
      </w:pPr>
      <w:r>
        <w:rPr>
          <w:b/>
          <w:bCs/>
        </w:rPr>
        <w:t xml:space="preserve">Feeder SAP</w:t>
      </w:r>
      <w:r>
        <w:t xml:space="preserve"> — mengambil (pull) data akuntansi dari database Core untuk dikirim ke sistem SAP eksternal (detail mekanisme pull-nya di Bagian 4.3 &amp; 7.4).</w:t>
      </w:r>
    </w:p>
    <w:p>
      <w:pPr>
        <w:pStyle w:val="ListParagraph"/>
        <w:numPr>
          <w:ilvl w:val="0"/>
          <w:numId w:val="2"/>
        </w:numPr>
        <w:spacing w:after="80"/>
      </w:pPr>
      <w:r>
        <w:rPr>
          <w:b/>
          <w:bCs/>
        </w:rPr>
        <w:t xml:space="preserve">Cut-off &amp; Cleansing Service</w:t>
      </w:r>
      <w:r>
        <w:t xml:space="preserve"> — layanan yang menyiapkan/membersihkan data pada titik cut-off (mis. akhir hari), sejalan dengan proses Batch EOD/BOD yang telah dibahas (Bagian 10.1), sebelum data dikonsumsi oleh layanan hilir seperti DWH atau Reporting Service.</w:t>
      </w:r>
    </w:p>
    <w:p>
      <w:pPr>
        <w:pStyle w:val="ListParagraph"/>
        <w:numPr>
          <w:ilvl w:val="0"/>
          <w:numId w:val="2"/>
        </w:numPr>
        <w:spacing w:after="80"/>
      </w:pPr>
      <w:r>
        <w:rPr>
          <w:b/>
          <w:bCs/>
        </w:rPr>
        <w:t xml:space="preserve">DWH (Data Warehouse)</w:t>
      </w:r>
      <w:r>
        <w:t xml:space="preserve"> — gudang data yang menampung hasil olahan/agregasi data Core untuk kebutuhan analitik, menjadi sumber data bagi Dashboard.</w:t>
      </w:r>
    </w:p>
    <w:p>
      <w:pPr>
        <w:pStyle w:val="ListParagraph"/>
        <w:numPr>
          <w:ilvl w:val="0"/>
          <w:numId w:val="2"/>
        </w:numPr>
        <w:spacing w:after="80"/>
      </w:pPr>
      <w:r>
        <w:rPr>
          <w:b/>
          <w:bCs/>
        </w:rPr>
        <w:t xml:space="preserve">Reporting Service</w:t>
      </w:r>
      <w:r>
        <w:t xml:space="preserve"> — layanan yang menyusun laporan, termasuk pelaporan berkala ke regulator OJK/BI (Bagian 7.1).</w:t>
      </w:r>
    </w:p>
    <w:p>
      <w:pPr>
        <w:spacing w:after="160" w:line="300"/>
      </w:pPr>
      <w:r>
        <w:t xml:space="preserve">Keempat layanan ini bermuara ke tiga tujuan akhir: </w:t>
      </w:r>
      <w:r>
        <w:rPr>
          <w:b/>
          <w:bCs/>
        </w:rPr>
        <w:t xml:space="preserve">SAP</w:t>
      </w:r>
      <w:r>
        <w:t xml:space="preserve"> (dari Feeder SAP), </w:t>
      </w:r>
      <w:r>
        <w:rPr>
          <w:b/>
          <w:bCs/>
        </w:rPr>
        <w:t xml:space="preserve">Regulator OJK/BI Reporting</w:t>
      </w:r>
      <w:r>
        <w:t xml:space="preserve"> (dari Internal Support Layer secara umum, terutama Reporting Service), dan </w:t>
      </w:r>
      <w:r>
        <w:rPr>
          <w:b/>
          <w:bCs/>
        </w:rPr>
        <w:t xml:space="preserve">Dashboard</w:t>
      </w:r>
      <w:r>
        <w:t xml:space="preserve"> (dipasok dari DWH).</w:t>
      </w:r>
    </w:p>
    <w:p>
      <w:pPr>
        <w:spacing w:after="160" w:line="300"/>
      </w:pPr>
      <w:r>
        <w:t xml:space="preserve">&gt; </w:t>
      </w:r>
      <w:r>
        <w:rPr>
          <w:b/>
          <w:bCs/>
        </w:rPr>
        <w:t xml:space="preserve">Catatan</w:t>
      </w:r>
      <w:r>
        <w:t xml:space="preserve">: penamaan "Internal Support Layer" dipilih untuk membedakannya dari "3rd Party Service" (2.4) — layanan-layanan ini adalah komponen pendukung milik/dikelola sendiri (internal), bukan sistem pihak ketiga eksternal, meski posisinya di luar envelope Core Banking System pada diagram.</w:t>
      </w:r>
    </w:p>
    <w:p>
      <w:pPr>
        <w:pStyle w:val="Heading2"/>
        <w:spacing w:after="120" w:before="260"/>
      </w:pPr>
      <w:r>
        <w:t xml:space="preserve">2.4 3rd Party Service</w:t>
      </w:r>
    </w:p>
    <w:p>
      <w:pPr>
        <w:spacing w:after="160" w:line="300"/>
      </w:pPr>
      <w:r>
        <w:t xml:space="preserve">Kelompok keempat (di sisi kanan Gambar 2.1) — penyedia layanan pihak ketiga yang terhubung ke IBANKCORE melalui satu jalur koneksi dua arah (bidirectional), merepresentasikan bahwa integrasi ke masing-masing pihak ketiga pada akhirnya bermuara pada satu boundary yang sama di sisi IBANKCORE, meski secara teknis tiap pihak ketiga punya kontrak/protokol integrasinya sendiri.</w:t>
      </w:r>
    </w:p>
    <w:p>
      <w:pPr>
        <w:pStyle w:val="ListParagraph"/>
        <w:numPr>
          <w:ilvl w:val="0"/>
          <w:numId w:val="2"/>
        </w:numPr>
        <w:spacing w:after="80"/>
      </w:pPr>
      <w:r>
        <w:rPr>
          <w:b/>
          <w:bCs/>
        </w:rPr>
        <w:t xml:space="preserve">PGC (Bansos)</w:t>
      </w:r>
      <w:r>
        <w:t xml:space="preserve"> — instansi pemerintah/himbara penyalur PGC (lihat Bagian 7.6 untuk detail alur penyaluran &amp; peran CMS).</w:t>
      </w:r>
    </w:p>
    <w:p>
      <w:pPr>
        <w:pStyle w:val="ListParagraph"/>
        <w:numPr>
          <w:ilvl w:val="0"/>
          <w:numId w:val="2"/>
        </w:numPr>
        <w:spacing w:after="80"/>
      </w:pPr>
      <w:r>
        <w:rPr>
          <w:b/>
          <w:bCs/>
        </w:rPr>
        <w:t xml:space="preserve">Jalin (QRIS)</w:t>
      </w:r>
      <w:r>
        <w:t xml:space="preserve"> — penyedia switching QRIS; pemrosesannya ditangani oleh service `jalin` pada aplikasi switching-cgs (2.2.4 &amp; Bagian 7.2), termasuk proses rekonsiliasi manual berbasis file dari Jalin (Bagian 7.2).</w:t>
      </w:r>
    </w:p>
    <w:p>
      <w:pPr>
        <w:pStyle w:val="ListParagraph"/>
        <w:numPr>
          <w:ilvl w:val="0"/>
          <w:numId w:val="2"/>
        </w:numPr>
        <w:spacing w:after="80"/>
      </w:pPr>
      <w:r>
        <w:rPr>
          <w:b/>
          <w:bCs/>
        </w:rPr>
        <w:t xml:space="preserve">Bank</w:t>
      </w:r>
      <w:r>
        <w:t xml:space="preserve"> — bank lain/mitra untuk kebutuhan transfer maupun switching antar bank.</w:t>
      </w:r>
    </w:p>
    <w:p>
      <w:pPr>
        <w:spacing w:after="160" w:line="300"/>
      </w:pPr>
      <w:r>
        <w:t xml:space="preserve">&gt; </w:t>
      </w:r>
      <w:r>
        <w:rPr>
          <w:b/>
          <w:bCs/>
        </w:rPr>
        <w:t xml:space="preserve">Catatan</w:t>
      </w:r>
      <w:r>
        <w:t xml:space="preserve">: pengelompokan "3rd Party Service" ini menggambarkan pihak eksternal yang sudah dibahas detailnya di bagian lain — bagian ini hanya menyatukan gambaran besarnya dalam satu diagram arsitektur.</w:t>
      </w:r>
    </w:p>
    <w:p>
      <w:pPr>
        <w:pStyle w:val="Heading1"/>
        <w:spacing w:after="160" w:before="360"/>
      </w:pPr>
      <w:r>
        <w:t xml:space="preserve">3.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3.1 Struktur Organisasi: Cabang, Wilayah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Wilayah (Area Cabang)</w:t>
      </w:r>
      <w:r>
        <w:t xml:space="preserve"> — cabang dikelompokkan ke dalam wilayah melalui entity Area Cabang (dengan kode wilayah tersendiri); setiap cabang menyimpan kode wilayahnya sebagai atribut, sehingga laporan manajerial dapat diagregasi per wilayah (satu wilayah menaungi banyak cabang). Pada implementasi di PT Pos, entity ini dikenal dengan istilah bisnis </w:t>
      </w:r>
      <w:r>
        <w:rPr>
          <w:b/>
          <w:bCs/>
        </w:rPr>
        <w:t xml:space="preserve">"Regional"</w:t>
      </w:r>
      <w:r>
        <w:t xml:space="preserve">.</w:t>
      </w:r>
    </w:p>
    <w:p>
      <w:pPr>
        <w:pStyle w:val="ListParagraph"/>
        <w:numPr>
          <w:ilvl w:val="0"/>
          <w:numId w:val="2"/>
        </w:numPr>
        <w:spacing w:after="80"/>
      </w:pPr>
      <w:r>
        <w:rPr>
          <w:b/>
          <w:bCs/>
        </w:rPr>
        <w:t xml:space="preserve">Cabang Induk &amp; Cabang Anak</w:t>
      </w:r>
      <w:r>
        <w:t xml:space="preserve"> — selain pengelompokan per wilayah, setiap cabang juga dapat mereferensikan satu cabang induk secara langsung, membentuk hierarki induk-anak antar cabang — umum dipakai untuk struktur kantor cabang pembantu/kantor kas di bawah kantor cabang utamanya.</w:t>
      </w:r>
    </w:p>
    <w:p>
      <w:pPr>
        <w:pStyle w:val="ListParagraph"/>
        <w:numPr>
          <w:ilvl w:val="0"/>
          <w:numId w:val="2"/>
        </w:numPr>
        <w:spacing w:after="80"/>
      </w:pPr>
      <w:r>
        <w:rPr>
          <w:b/>
          <w:bCs/>
        </w:rPr>
        <w:t xml:space="preserve">Jenis/Tipe Unit ("Kantor")</w:t>
      </w:r>
      <w:r>
        <w:t xml:space="preserve"> — istilah "Kantor" pada sistem ini bukan level organisasi tersendiri di atas/di bawah cabang, melainkan atribut tipe &amp; status dari cabang itu sendiri (mis. Kantor Pusat, Cabang Utama, Cabang Pembantu, Kantor Kas, Kantor Fungsional, Pusat Operasional/Non-Operasional, Gerai), beserta data alamat &amp; kontak resmi yang melekat pada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Sebagai entity organisasi, Departemen terhubung ke data kepegawaian (employee/HR); kode departemen juga ikut terekam pada header transaksi/jurnal (lihat 3.2), namun bukan sebagai dimensi cost center yang formal pada Chart of Accounts (lihat 3.5).</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3.1 — Struktur Organisasi: Wilayah, Cabang &amp; Atribut Kantor</w:t>
      </w:r>
    </w:p>
    <w:p>
      <w:pPr>
        <w:pStyle w:val="Heading2"/>
        <w:spacing w:after="120" w:before="260"/>
      </w:pPr>
      <w:r>
        <w:t xml:space="preserve">3.2 Kode Cabang &amp; Kantor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Header JOURNAL (bukan baris JOURNALITEM-nya) menyimpan tiga kode organisasi sekaligus pada setiap transaksi: </w:t>
      </w:r>
      <w:r>
        <w:rPr>
          <w:b/>
          <w:bCs/>
        </w:rPr>
        <w:t xml:space="preserve">kode cabang</w:t>
      </w:r>
      <w:r>
        <w:t xml:space="preserve">, </w:t>
      </w:r>
      <w:r>
        <w:rPr>
          <w:b/>
          <w:bCs/>
        </w:rPr>
        <w:t xml:space="preserve">kode kantor</w:t>
      </w:r>
      <w:r>
        <w:t xml:space="preserve">, dan </w:t>
      </w:r>
      <w:r>
        <w:rPr>
          <w:b/>
          <w:bCs/>
        </w:rPr>
        <w:t xml:space="preserve">kode departemen</w:t>
      </w:r>
      <w:r>
        <w:t xml:space="preserve"> — sebagai kolom data biasa (tanpa foreign key formal ke entity Cabang/Kantor/Departemen).</w:t>
      </w:r>
    </w:p>
    <w:p>
      <w:pPr>
        <w:spacing w:after="160" w:line="300"/>
      </w:pPr>
      <w:r>
        <w:t xml:space="preserve">- </w:t>
      </w:r>
      <w:r>
        <w:rPr>
          <w:b/>
          <w:bCs/>
        </w:rPr>
        <w:t xml:space="preserve">Kode kantor</w:t>
      </w:r>
      <w:r>
        <w:t xml:space="preserve"> diisi dari kode kantor transaksi bila tersedia, dan otomatis jatuh kembali (fallback) ke kode cabang apabila kode kantor tidak diisi — sehingga nilainya bisa sama dengan kode cabang pada banyak kasus, namun kolomnya tetap terpisah secara fisik.</w:t>
      </w:r>
    </w:p>
    <w:p>
      <w:pPr>
        <w:spacing w:after="160" w:line="300"/>
      </w:pPr>
      <w:r>
        <w:t xml:space="preserve">- </w:t>
      </w:r>
      <w:r>
        <w:rPr>
          <w:b/>
          <w:bCs/>
        </w:rPr>
        <w:t xml:space="preserve">Kode departemen</w:t>
      </w:r>
      <w:r>
        <w:t xml:space="preserve"> diisi dari departemen user yang memposting transaksi, atau dari data transaksi eksternal (untuk transaksi masuk via interface/API) — bukan dari struktur Departemen sebagai unit organisasi (3.1).</w:t>
      </w:r>
    </w:p>
    <w:p>
      <w:pPr>
        <w:spacing w:after="160" w:line="300"/>
      </w:pPr>
      <w:r>
        <w:t xml:space="preserve">- Baris JOURNALITEM (detail mutasi) sendiri hanya menyimpan kode cabang, tidak menyimpan kode kantor/departemen — kedua kode itu hanya ada di level header transaksi.</w:t>
      </w:r>
    </w:p>
    <w:p>
      <w:pPr>
        <w:pStyle w:val="ListParagraph"/>
        <w:numPr>
          <w:ilvl w:val="0"/>
          <w:numId w:val="2"/>
        </w:numPr>
        <w:spacing w:after="80"/>
      </w:pPr>
      <w:r>
        <w:t xml:space="preserve">dailybalancerekening turut menyimpan kode cabang, sehingga saldo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3.3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(approval limit) — dicek per-user (bukan per-jenjang hierarki cabang/role): setiap user punya nilai limit transaksinya sendiri, dan transaksi yang melebihi limit tersebut memerlukan persetujuan (approval) dari user lain yang punya limit mencukupi, sesuai prinsip maker-checker atau dual control.</w:t>
      </w:r>
    </w:p>
    <w:p>
      <w:pPr>
        <w:spacing w:after="160" w:line="300"/>
      </w:pPr>
      <w:r>
        <w:rPr>
          <w:b/>
          <w:bCs/>
        </w:rPr>
        <w:t xml:space="preserve">Isolasi akses berdasarkan cabang &amp; departemen</w:t>
      </w:r>
      <w:r>
        <w:t xml:space="preserve"> — akses user terhadap data/transaksi dibatasi lewat dua mekanisme yang berbeda konstruksinya:</w:t>
      </w:r>
    </w:p>
    <w:p>
      <w:pPr>
        <w:pStyle w:val="ListParagraph"/>
        <w:numPr>
          <w:ilvl w:val="0"/>
          <w:numId w:val="2"/>
        </w:numPr>
        <w:spacing w:after="80"/>
      </w:pPr>
      <w:r>
        <w:rPr>
          <w:b/>
          <w:bCs/>
        </w:rPr>
        <w:t xml:space="preserve">Isolasi cabang</w:t>
      </w:r>
      <w:r>
        <w:t xml:space="preserve"> — diatur oleh atribut tipe akses cabang pada masing-masing user, dengan tiga mode: </w:t>
      </w:r>
      <w:r>
        <w:rPr>
          <w:b/>
          <w:bCs/>
        </w:rPr>
        <w:t xml:space="preserve">Semua</w:t>
      </w:r>
      <w:r>
        <w:t xml:space="preserve"> (akses ke seluruh cabang), </w:t>
      </w:r>
      <w:r>
        <w:rPr>
          <w:b/>
          <w:bCs/>
        </w:rPr>
        <w:t xml:space="preserve">Tunggal</w:t>
      </w:r>
      <w:r>
        <w:t xml:space="preserve"> (hanya cabang milik user sendiri), atau </w:t>
      </w:r>
      <w:r>
        <w:rPr>
          <w:b/>
          <w:bCs/>
        </w:rPr>
        <w:t xml:space="preserve">Parsial</w:t>
      </w:r>
      <w:r>
        <w:t xml:space="preserve"> (hanya cabang yang eksplisit terdaftar sebagai "cabang diizinkan" untuk user tersebut, ditambah cabang miliknya sendiri). Ini gerbang akses aktif yang dicek setiap kali sistem perlu memvalidasi apakah seorang user boleh mengakses data suatu cabang.</w:t>
      </w:r>
    </w:p>
    <w:p>
      <w:pPr>
        <w:pStyle w:val="ListParagraph"/>
        <w:numPr>
          <w:ilvl w:val="0"/>
          <w:numId w:val="2"/>
        </w:numPr>
        <w:spacing w:after="80"/>
      </w:pPr>
      <w:r>
        <w:rPr>
          <w:b/>
          <w:bCs/>
        </w:rPr>
        <w:t xml:space="preserve">Isolasi departemen</w:t>
      </w:r>
      <w:r>
        <w:t xml:space="preserve"> — konsepnya mirip (ada daftar "departemen diizinkan"), tapi konstruksinya berbeda: daftar ini terhubung ke data </w:t>
      </w:r>
      <w:r>
        <w:rPr>
          <w:b/>
          <w:bCs/>
        </w:rPr>
        <w:t xml:space="preserve">karyawan</w:t>
      </w:r>
      <w:r>
        <w:t xml:space="preserve">, bukan langsung ke akun user, dan lebih banyak dipakai dalam konteks pemilihan/administrasi departemen (mis. saat menetapkan departemen seorang karyawan) daripada sebagai gerbang akses transaksi/data yang independen. Mode "Semua/Tunggal/Parsial" untuk departemen juga meminjam pengaturan mode akses cabang milik user, bukan pengaturan tersendiri untuk departemen.</w:t>
      </w:r>
    </w:p>
    <w:p>
      <w:pPr>
        <w:pStyle w:val="Heading2"/>
        <w:spacing w:after="120" w:before="260"/>
      </w:pPr>
      <w:r>
        <w:t xml:space="preserve">3.4 Segregasi &amp; Pelaporan Berdasarkan Cabang/Wilayah</w:t>
      </w:r>
    </w:p>
    <w:p>
      <w:pPr>
        <w:pStyle w:val="ListParagraph"/>
        <w:numPr>
          <w:ilvl w:val="0"/>
          <w:numId w:val="2"/>
        </w:numPr>
        <w:spacing w:after="80"/>
      </w:pPr>
      <w:r>
        <w:t xml:space="preserve">Laporan manajerial (mis. volume transaksi per cabang, kinerja cabang) direkonstruksi dari agregasi JOURNAL/JOURNALITEM berdasarkan kode cabang, dan dapat diagregasi lebih lanjut per wilayah melalui relasi cabang ke Area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2"/>
        <w:spacing w:after="120" w:before="260"/>
      </w:pPr>
      <w:r>
        <w:t xml:space="preserve">3.5 Kaitan dengan Chart of Accounts (COA) &amp; Neraca</w:t>
      </w:r>
    </w:p>
    <w:p>
      <w:pPr>
        <w:spacing w:after="160" w:line="300"/>
      </w:pPr>
      <w:r>
        <w:t xml:space="preserve">Struktur cabang/wilayah di atas menyatu langsung dengan cara Chart of Accounts (COA) dan laporan Neraca disusun pada sistem ini.</w:t>
      </w:r>
    </w:p>
    <w:p>
      <w:pPr>
        <w:pStyle w:val="ListParagraph"/>
        <w:numPr>
          <w:ilvl w:val="0"/>
          <w:numId w:val="2"/>
        </w:numPr>
        <w:spacing w:after="80"/>
      </w:pPr>
      <w:r>
        <w:rPr>
          <w:b/>
          <w:bCs/>
        </w:rPr>
        <w:t xml:space="preserve">Account (COA master)</w:t>
      </w:r>
      <w:r>
        <w:t xml:space="preserve"> — daftar akun standar bank (kode akun, nama akun, tipe akun), tanpa dimensi cabang.</w:t>
      </w:r>
    </w:p>
    <w:p>
      <w:pPr>
        <w:pStyle w:val="ListParagraph"/>
        <w:numPr>
          <w:ilvl w:val="0"/>
          <w:numId w:val="2"/>
        </w:numPr>
        <w:spacing w:after="80"/>
      </w:pPr>
      <w:r>
        <w:rPr>
          <w:b/>
          <w:bCs/>
        </w:rPr>
        <w:t xml:space="preserve">Account Instance</w:t>
      </w:r>
      <w:r>
        <w:t xml:space="preserve"> — setiap akun COA "diinstansiasi" per cabang dan mata uang (dibuat melalui proses generate instance per cabang); saldo &amp; posting GL (GL Account) menempel ke Account Instance ini, bukan ke Account master secara langsung. Artinya </w:t>
      </w:r>
      <w:r>
        <w:rPr>
          <w:b/>
          <w:bCs/>
        </w:rPr>
        <w:t xml:space="preserve">setiap cabang punya salinan instance akunnya sendiri</w:t>
      </w:r>
      <w:r>
        <w:t xml:space="preserve"> untuk setiap akun COA yang relevan.</w:t>
      </w:r>
    </w:p>
    <w:p>
      <w:pPr>
        <w:pStyle w:val="ListParagraph"/>
        <w:numPr>
          <w:ilvl w:val="0"/>
          <w:numId w:val="2"/>
        </w:numPr>
        <w:spacing w:after="80"/>
      </w:pPr>
      <w:r>
        <w:rPr>
          <w:b/>
          <w:bCs/>
        </w:rPr>
        <w:t xml:space="preserve">Neraca (Balance Sheet)</w:t>
      </w:r>
      <w:r>
        <w:t xml:space="preserve"> — dihasilkan dari laporan yang menggabungkan Account Instance dengan data Cabang (join berdasarkan kode cabang), dengan parameter cabang yang bersifat opsional — sehingga Neraca dapat ditampilkan </w:t>
      </w:r>
      <w:r>
        <w:rPr>
          <w:b/>
          <w:bCs/>
        </w:rPr>
        <w:t xml:space="preserve">per cabang</w:t>
      </w:r>
      <w:r>
        <w:t xml:space="preserve"> maupun </w:t>
      </w:r>
      <w:r>
        <w:rPr>
          <w:b/>
          <w:bCs/>
        </w:rPr>
        <w:t xml:space="preserve">konsolidasi seluruh bank</w:t>
      </w:r>
      <w:r>
        <w:t xml:space="preserve">.</w:t>
      </w:r>
    </w:p>
    <w:p>
      <w:pPr>
        <w:pStyle w:val="ListParagraph"/>
        <w:numPr>
          <w:ilvl w:val="0"/>
          <w:numId w:val="2"/>
        </w:numPr>
        <w:spacing w:after="80"/>
      </w:pPr>
      <w:r>
        <w:rPr>
          <w:b/>
          <w:bCs/>
        </w:rPr>
        <w:t xml:space="preserve">Wilayah bukan dimensi langsung pada GL</w:t>
      </w:r>
      <w:r>
        <w:t xml:space="preserve"> — tidak ada kolom kode wilayah pada tabel Account Instance/GL Account/posting jurnal. Agregasi Neraca per wilayah harus dilakukan secara tidak langsung: menjumlahkan Account Instance dari seluruh cabang yang berada di wilayah tersebut (via relasi Cabang → Area Cabang).</w:t>
      </w:r>
    </w:p>
    <w:p>
      <w:pPr>
        <w:pStyle w:val="ListParagraph"/>
        <w:numPr>
          <w:ilvl w:val="0"/>
          <w:numId w:val="2"/>
        </w:numPr>
        <w:spacing w:after="80"/>
      </w:pPr>
      <w:r>
        <w:rPr>
          <w:b/>
          <w:bCs/>
        </w:rPr>
        <w:t xml:space="preserve">Dimensi cost center pada posting jurnal</w:t>
      </w:r>
      <w:r>
        <w:t xml:space="preserve"> — setiap baris jurnal (JOURNALITEM) membawa "Kode RC" (Revenue-Cost Center, entity Project) sebagai dimensi biaya/pendapatan non-operasional, terpisah dari kode cabang. Kode RC inilah dimensi cost center yang formal pada COA/GL — berbeda dari kode departemen yang tersimpan di header JOURNAL (3.2), yang sifatnya administratif/audit (mencatat departemen user pemosting atau data transaksi eksternal) dan tidak terhubung ke struktur Account/Account Instance.</w:t>
      </w:r>
    </w:p>
    <w:p>
      <w:pPr>
        <w:pStyle w:val="Heading1"/>
        <w:spacing w:after="160" w:before="360"/>
      </w:pPr>
      <w:r>
        <w:t xml:space="preserve">4.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4.1 Struktur Pencatatan</w:t>
      </w:r>
    </w:p>
    <w:p>
      <w:pPr>
        <w:pStyle w:val="ListParagraph"/>
        <w:numPr>
          <w:ilvl w:val="0"/>
          <w:numId w:val="2"/>
        </w:numPr>
        <w:spacing w:after="80"/>
      </w:pPr>
      <w:r>
        <w:t xml:space="preserve">JOURNAL/JOURNALITEM — tabel inti buku besar (ledger) yang menyimpan baris mutasi (jurnal) untuk setiap transaksi, dengan pembedaan debit (DR) dan kredit (CR).</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4.2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4.1 — Alur pencatatan transaksi pada modul Accounting</w:t>
      </w:r>
    </w:p>
    <w:p>
      <w:pPr>
        <w:pStyle w:val="Heading2"/>
        <w:spacing w:after="120" w:before="260"/>
      </w:pPr>
      <w:r>
        <w:t xml:space="preserve">4.3 Feeder SAP</w:t>
      </w:r>
    </w:p>
    <w:p>
      <w:pPr>
        <w:spacing w:after="160" w:line="300"/>
      </w:pPr>
      <w:r>
        <w:t xml:space="preserve">Data akuntansi yang sudah tercatat pada modul Accounting diambil (pull) secara berkala oleh mekanisme Feeder SAP langsung dari basis data Core — bukan dikirim/dipublikasikan secara aktif oleh sistem Core — untuk kebutuhan konsolidasi keuangan pada level korporasi/holding (lihat Bagian 7.4 untuk detail integrasi).</w:t>
      </w:r>
    </w:p>
    <w:p>
      <w:pPr>
        <w:pStyle w:val="Heading2"/>
        <w:spacing w:after="120" w:before="260"/>
      </w:pPr>
      <w:r>
        <w:t xml:space="preserve">4.4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5.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5.1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5.2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5.3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6.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6.1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6.2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6.1 — Integrasi Kas &amp; Vault &amp; Treasury dengan sistem sekitar</w:t>
      </w:r>
    </w:p>
    <w:p>
      <w:pPr>
        <w:pStyle w:val="Heading2"/>
        <w:spacing w:after="120" w:before="260"/>
      </w:pPr>
      <w:r>
        <w:t xml:space="preserve">6.3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7. Interaksi dengan Aplikasi &amp; Sistem Sekitar</w:t>
      </w:r>
    </w:p>
    <w:p>
      <w:pPr>
        <w:pStyle w:val="Heading2"/>
        <w:spacing w:after="120" w:before="260"/>
      </w:pPr>
      <w:r>
        <w:t xml:space="preserve">7.1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7.2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 Pemrosesan QRIS ditangani oleh service `jalin` pada aplikasi switching-cgs (Bagian 2.2.4), dengan pola akses langsung ke database Core yang sama seperti switching pembayaran lainnya.</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ListParagraph"/>
        <w:numPr>
          <w:ilvl w:val="0"/>
          <w:numId w:val="2"/>
        </w:numPr>
        <w:spacing w:after="80"/>
      </w:pPr>
      <w:r>
        <w:rPr>
          <w:b/>
          <w:bCs/>
        </w:rPr>
        <w:t xml:space="preserve">Rekonsiliasi QRIS</w:t>
      </w:r>
      <w:r>
        <w:t xml:space="preserve"> — proses pencocokan data transaksi QRIS sisi Core terhadap data dari Jalin, dijalankan di sisi aplikasi `core` (bukan switching-cgs). Mekanismenya: user meng-upload file teks dari Jalin (format pipe-delimited berisi RRN, tanggal, amount, response code) melalui dialog rekonsiliasi; setiap baris dicocokkan ke tabel transaksi QRIS berdasarkan kombinasi RRN + tanggal transaksi + amount + tipe + settle ID — jika cocok, status transaksi ditandai "sudah direkonsiliasi &amp; cocok di kedua sisi"; jika tidak ditemukan pasangannya di sisi Core, dicatat sebagai "hanya ada di sisi Jalin" (indikasi selisih). Hasil akhirnya berupa laporan Excel rekap per hari (total transaksi, total cocok, total nominal berhasil). Proses ini bersifat </w:t>
      </w:r>
      <w:r>
        <w:rPr>
          <w:b/>
          <w:bCs/>
        </w:rPr>
        <w:t xml:space="preserve">manual/on-demand</w:t>
      </w:r>
      <w:r>
        <w:t xml:space="preserve"> (dipicu upload user), bukan job terjadwal otomatis.</w:t>
      </w:r>
    </w:p>
    <w:p>
      <w:pPr>
        <w:pStyle w:val="Heading2"/>
        <w:spacing w:after="120" w:before="260"/>
      </w:pPr>
      <w:r>
        <w:t xml:space="preserve">7.3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7.4 Feeder SAP (Integrasi Akuntansi Eksternal)</w:t>
      </w:r>
    </w:p>
    <w:p>
      <w:pPr>
        <w:spacing w:after="160" w:line="300"/>
      </w:pPr>
      <w:r>
        <w:t xml:space="preserve">Untuk kebutuhan konsolidasi keuangan pada level korporasi/holding, posting akuntansi diambil (pull) secara batch oleh mekanisme Feeder SAP langsung dari basis data Core, sebagai pelengkap pencatatan GL internal pada modul Accounting. Pendekatan ini berbeda dari pola push/event-driven — sistem Core tidak secara aktif mengirim data, melainkan Feeder SAP yang menjalankan proses ekstraksi terjadwal terhadap database.</w:t>
      </w:r>
    </w:p>
    <w:p>
      <w:pPr>
        <w:pStyle w:val="Heading2"/>
        <w:spacing w:after="120" w:before="260"/>
      </w:pPr>
      <w:r>
        <w:t xml:space="preserve">7.5 Payment Switching</w:t>
      </w:r>
    </w:p>
    <w:p>
      <w:pPr>
        <w:spacing w:after="160" w:line="300"/>
      </w:pPr>
      <w:r>
        <w:t xml:space="preserve">Payment Switching (switching pembayaran antar kanal/ATM-EDC) ditangani oleh aplikasi switching-cgs (Bagian 2.2.4) dan memiliki </w:t>
      </w:r>
      <w:r>
        <w:rPr>
          <w:b/>
          <w:bCs/>
        </w:rPr>
        <w:t xml:space="preserve">akses langsung ke basis data Core</w:t>
      </w:r>
      <w:r>
        <w:t xml:space="preserve"> — bukan melalui lapisan aplikasi/API seperti kanal-kanal lain (host-to-host, REST API di atas). Ini merupakan konfigurasi pada level infrastruktur/database (mis. database link), bukan bagian dari kode aplikasi Core itu sendiri.</w:t>
      </w:r>
    </w:p>
    <w:p>
      <w:pPr>
        <w:spacing w:after="160" w:line="300"/>
      </w:pPr>
      <w:r>
        <w:t xml:space="preserve">&gt; </w:t>
      </w:r>
      <w:r>
        <w:rPr>
          <w:b/>
          <w:bCs/>
        </w:rPr>
        <w:t xml:space="preserve">Catatan</w:t>
      </w:r>
      <w:r>
        <w:t xml:space="preserve">: pola integrasi ini serupa dengan Feeder SAP (akses langsung ke database, bukan lewat API), namun perlu diperlakukan dengan perhatian ekstra dari sisi keamanan &amp; tata kelola data karena melewati lapisan validasi aplikasi Core — perubahan skema database di masa depan berpotensi berdampak langsung ke switching tanpa melalui kontrak API yang terversi.</w:t>
      </w:r>
    </w:p>
    <w:p>
      <w:pPr>
        <w:pStyle w:val="Heading2"/>
        <w:spacing w:after="120" w:before="260"/>
      </w:pPr>
      <w:r>
        <w:t xml:space="preserve">7.6 Sistem Sekitar Khusus PT Pos: PGC &amp; CMS</w:t>
      </w:r>
    </w:p>
    <w:p>
      <w:pPr>
        <w:spacing w:after="160" w:line="300"/>
      </w:pPr>
      <w:r>
        <w:t xml:space="preserve">Di luar sistem sekitar generik yang telah dibahas, deployment PT Pos memiliki dua interaksi tambahan yang khas dengan perannya sebagai agen penyalur dana bantuan/tunai.</w:t>
      </w:r>
    </w:p>
    <w:p>
      <w:pPr>
        <w:spacing w:after="160" w:line="300"/>
      </w:pPr>
      <w:r>
        <w:t xml:space="preserve">&gt; </w:t>
      </w:r>
      <w:r>
        <w:rPr>
          <w:b/>
          <w:bCs/>
        </w:rPr>
        <w:t xml:space="preserve">Catatan</w:t>
      </w:r>
      <w:r>
        <w:t xml:space="preserve">: bagian ini disusun berdasarkan konfirmasi bisnis langsung — modul PGC dan CMS tidak ditemukan pada eksplorasi source code `core`/`enterprise` yang tersedia untuk sesi ini, sehingga detail implementasinya belum terverifikasi ke kode.</w:t>
      </w:r>
    </w:p>
    <w:p>
      <w:pPr>
        <w:pStyle w:val="ListParagraph"/>
        <w:numPr>
          <w:ilvl w:val="0"/>
          <w:numId w:val="2"/>
        </w:numPr>
        <w:spacing w:after="80"/>
      </w:pPr>
      <w:r>
        <w:rPr>
          <w:b/>
          <w:bCs/>
        </w:rPr>
        <w:t xml:space="preserve">CMS (Cash Management System)</w:t>
      </w:r>
      <w:r>
        <w:t xml:space="preserve"> — portal digital bagi nasabah korporat/institusi (termasuk instansi pemerintah/himbara penyalur PGC) untuk mengirim instruksi pembayaran/penyaluran massal (bulk disbursement) serta memantau statusnya, tanpa transaksi manual satu per satu di cabang. CMS ini </w:t>
      </w:r>
      <w:r>
        <w:rPr>
          <w:b/>
          <w:bCs/>
        </w:rPr>
        <w:t xml:space="preserve">berbeda</w:t>
      </w:r>
      <w:r>
        <w:t xml:space="preserve"> dari modul internal "Kas &amp; Vault" (Bagian 6) — CMS adalah kanal digital eksternal untuk institusi, bukan pengelolaan kas fisik cabang.</w:t>
      </w:r>
    </w:p>
    <w:p>
      <w:pPr>
        <w:pStyle w:val="ListParagraph"/>
        <w:numPr>
          <w:ilvl w:val="0"/>
          <w:numId w:val="2"/>
        </w:numPr>
        <w:spacing w:after="80"/>
      </w:pPr>
      <w:r>
        <w:rPr>
          <w:b/>
          <w:bCs/>
        </w:rPr>
        <w:t xml:space="preserve">PGC (Pos Giro Cash)</w:t>
      </w:r>
      <w:r>
        <w:t xml:space="preserve"> — PT Pos bertindak sebagai agen penyalur dana bantuan/tunai (mis. bantuan sosial pemerintah) ke penerima manfaat. Instruksi penyaluran diterima dari instansi pemerintah/himbara (via CMS), lalu direalisasikan melalui salah satu kanal PT Pos: loket/counter (tunai), QRIS (non-tunai), atau kredit ke rekening tabungan penerima — tergantung metode pencairan yang ditetapkan program PGC terkait.</w:t>
      </w:r>
    </w:p>
    <w:p>
      <w:pPr>
        <w:spacing w:after="80" w:before="200"/>
        <w:jc w:val="center"/>
      </w:pPr>
      <w:r>
        <w:drawing>
          <wp:inline distT="0" distB="0" distL="0" distR="0">
            <wp:extent cx="5334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81325"/>
                    </a:xfrm>
                    <a:prstGeom prst="rect">
                      <a:avLst/>
                    </a:prstGeom>
                  </pic:spPr>
                </pic:pic>
              </a:graphicData>
            </a:graphic>
          </wp:inline>
        </w:drawing>
      </w:r>
    </w:p>
    <w:p>
      <w:pPr>
        <w:spacing w:after="240"/>
        <w:jc w:val="center"/>
      </w:pPr>
      <w:r>
        <w:rPr>
          <w:i/>
          <w:iCs/>
          <w:color w:val="6B7280"/>
          <w:sz w:val="18"/>
          <w:szCs w:val="18"/>
        </w:rPr>
        <w:t xml:space="preserve">Gambar 7.1 — Sistem Sekitar Khusus PT Pos: PGC &amp; CMS</w:t>
      </w:r>
    </w:p>
    <w:p>
      <w:pPr>
        <w:pStyle w:val="Heading2"/>
        <w:spacing w:after="120" w:before="260"/>
      </w:pPr>
      <w:r>
        <w:t xml:space="preserve">7.7 Verifikasi Identitas &amp; OTP: API KTP dan SMS API</w:t>
      </w:r>
    </w:p>
    <w:p>
      <w:pPr>
        <w:spacing w:after="160" w:line="300"/>
      </w:pPr>
      <w:r>
        <w:t xml:space="preserve">Aplikasi switching juga terhubung ke dua sistem verifikasi tambahan yang mendukung proses transaksi/layanan nasabah:</w:t>
      </w:r>
    </w:p>
    <w:p>
      <w:pPr>
        <w:pStyle w:val="ListParagraph"/>
        <w:numPr>
          <w:ilvl w:val="0"/>
          <w:numId w:val="2"/>
        </w:numPr>
        <w:spacing w:after="80"/>
      </w:pPr>
      <w:r>
        <w:rPr>
          <w:b/>
          <w:bCs/>
        </w:rPr>
        <w:t xml:space="preserve">API KTP</w:t>
      </w:r>
      <w:r>
        <w:t xml:space="preserve"> — layanan verifikasi identitas nasabah (validasi data kependudukan) yang dipanggil oleh aplikasi switching saat diperlukan, mis. pada proses yang mensyaratkan pengecekan identitas.</w:t>
      </w:r>
    </w:p>
    <w:p>
      <w:pPr>
        <w:pStyle w:val="ListParagraph"/>
        <w:numPr>
          <w:ilvl w:val="0"/>
          <w:numId w:val="2"/>
        </w:numPr>
        <w:spacing w:after="80"/>
      </w:pPr>
      <w:r>
        <w:rPr>
          <w:b/>
          <w:bCs/>
        </w:rPr>
        <w:t xml:space="preserve">SMS API</w:t>
      </w:r>
      <w:r>
        <w:t xml:space="preserve"> — layanan pengiriman SMS untuk kebutuhan One-Time Password (OTP), mendukung proses otentikasi transaksi yang memerlukan verifikasi tambahan di luar PIN.</w:t>
      </w:r>
    </w:p>
    <w:p>
      <w:pPr>
        <w:spacing w:after="160" w:line="300"/>
      </w:pPr>
      <w:r>
        <w:t xml:space="preserve">Kedua integrasi ini ditemukan pada konfigurasi aplikasi switching, melengkapi gambaran sistem sekitar yang berinteraksi dengan ekosistem IBANKCORE di PT Pos.</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saat transaksi terjadi.</w:t>
      </w:r>
    </w:p>
    <w:p>
      <w:pPr>
        <w:pStyle w:val="Heading2"/>
        <w:spacing w:after="120" w:before="260"/>
      </w:pPr>
      <w:r>
        <w:t xml:space="preserve">9.3 Biller</w:t>
      </w:r>
    </w:p>
    <w:p>
      <w:pPr>
        <w:spacing w:after="160" w:line="300"/>
      </w:pPr>
      <w:r>
        <w:t xml:space="preserve">Integrasi pembayaran tagihan pihak ketiga (listrik, telekomunikasi, dan sejenisnya) melalui antarmuka biller tersendiri.</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3,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3.3),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Ringkasan</w:t>
      </w:r>
    </w:p>
    <w:p>
      <w:pPr>
        <w:pStyle w:val="ListParagraph"/>
        <w:numPr>
          <w:ilvl w:val="0"/>
          <w:numId w:val="2"/>
        </w:numPr>
        <w:spacing w:after="80"/>
      </w:pPr>
      <w:r>
        <w:t xml:space="preserve">IBANKCORE adalah sistem core banking multi-modul yang berbagi lapisan data dan pola integrasi yang konsisten, terdiri dari dua aplikasi utama: enterprise (platform, keamanan, operasional) dan core (mesin transaksi/produk).</w:t>
      </w:r>
    </w:p>
    <w:p>
      <w:pPr>
        <w:pStyle w:val="ListParagraph"/>
        <w:numPr>
          <w:ilvl w:val="0"/>
          <w:numId w:val="2"/>
        </w:numPr>
        <w:spacing w:after="80"/>
      </w:pPr>
      <w:r>
        <w:t xml:space="preserve">Modul Enterprise menjadi fondasi struktur organisasi, user, dan hak akses yang melekat pada hampir seluruh transaksi dan aktivitas sistem.</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Interaksi dengan sistem sekitar (Feeder SAP, QRIS, host-to-host/REST API, regulator) menjadi bagian penting dari arsitektur end-to-end.</w:t>
      </w:r>
    </w:p>
    <w:p>
      <w:pPr>
        <w:pStyle w:val="ListParagraph"/>
        <w:numPr>
          <w:ilvl w:val="0"/>
          <w:numId w:val="2"/>
        </w:numPr>
        <w:spacing w:after="80"/>
      </w:pPr>
      <w:r>
        <w:t xml:space="preserve">Produk &amp; layanan tambahan (Corporate Banking, Biller, dsb.) memperluas cakupan bisnis di luar produk simpanan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9d695060350818428094445c1773b0fa484474.png"/><Relationship Id="rId10" Type="http://schemas.openxmlformats.org/officeDocument/2006/relationships/image" Target="media/8a0430ed939f7f88641b533aa0f5c5c3f86d3708.png"/><Relationship Id="rId11" Type="http://schemas.openxmlformats.org/officeDocument/2006/relationships/image" Target="media/3cff5fe215cc5b5f81ce0ce04dc3c540fb87a357.png"/><Relationship Id="rId12" Type="http://schemas.openxmlformats.org/officeDocument/2006/relationships/image" Target="media/fac32c5795cf1da3ca4580deaafec9f9996612e4.png"/><Relationship Id="rId13" Type="http://schemas.openxmlformats.org/officeDocument/2006/relationships/image" Target="media/1ba46a1bd755e4d91a0d8877976bf01ec6e7699c.png"/><Relationship Id="rId14" Type="http://schemas.openxmlformats.org/officeDocument/2006/relationships/image" Target="media/df296c2080715dc7cd1824fb644cf1c084fd299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2026-08-25T20:44:17.262Z</dcterms:created>
  <dcterms:modified xsi:type="dcterms:W3CDTF">2026-08-25T20:44:17.393Z</dcterms:modified>
</cp:coreProperties>
</file>

<file path=docProps/custom.xml><?xml version="1.0" encoding="utf-8"?>
<Properties xmlns="http://schemas.openxmlformats.org/officeDocument/2006/custom-properties" xmlns:vt="http://schemas.openxmlformats.org/officeDocument/2006/docPropsVTypes"/>
</file>