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4E79"/>
          <w:sz w:val="30"/>
          <w:szCs w:val="30"/>
        </w:rPr>
        <w:t xml:space="preserve">MATERI TRAINING</w:t>
      </w:r>
    </w:p>
    <w:p>
      <w:pPr>
        <w:spacing w:after="200" w:before="200"/>
        <w:jc w:val="center"/>
      </w:pPr>
      <w:r>
        <w:rPr>
          <w:b/>
          <w:bCs/>
          <w:color w:val="12233F"/>
          <w:sz w:val="44"/>
          <w:szCs w:val="44"/>
        </w:rPr>
        <w:t xml:space="preserve">Sistem Core Banking IBANKCORE</w:t>
      </w:r>
    </w:p>
    <w:p>
      <w:pPr>
        <w:spacing w:after="400"/>
        <w:jc w:val="center"/>
      </w:pPr>
      <w:r>
        <w:rPr>
          <w:color w:val="6B7280"/>
          <w:sz w:val="24"/>
          <w:szCs w:val="24"/>
        </w:rPr>
        <w:t xml:space="preserve">Modul Accounting, Funding, Treasury &amp; Interaksi dengan Aplikasi Sekitar</w:t>
      </w:r>
    </w:p>
    <w:p>
      <w:pPr>
        <w:spacing w:before="800"/>
        <w:jc w:val="center"/>
      </w:pPr>
      <w:r>
        <w:rPr>
          <w:color w:val="6B7280"/>
          <w:sz w:val="22"/>
          <w:szCs w:val="22"/>
        </w:rPr>
        <w:t xml:space="preserve">Ihsan Solusi</w:t>
      </w:r>
    </w:p>
    <w:p>
      <w:pPr>
        <w:jc w:val="center"/>
      </w:pPr>
      <w:r>
        <w:rPr>
          <w:color w:val="6B7280"/>
          <w:sz w:val="20"/>
          <w:szCs w:val="20"/>
        </w:rPr>
        <w:t xml:space="preserve">Overview / Garis Besar — Audiens Teknis &amp; Bisnis</w:t>
      </w:r>
    </w:p>
    <w:p>
      <w:r>
        <w:br w:type="page"/>
      </w:r>
    </w:p>
    <w:p>
      <w:pPr>
        <w:pStyle w:val="Heading1"/>
        <w:spacing w:after="160" w:before="360"/>
      </w:pPr>
      <w:r>
        <w:t xml:space="preserve">1. Pendahuluan</w:t>
      </w:r>
    </w:p>
    <w:p>
      <w:pPr>
        <w:pStyle w:val="Heading2"/>
        <w:spacing w:after="120" w:before="260"/>
      </w:pPr>
      <w:r>
        <w:t xml:space="preserve">1.1 Tujuan Training</w:t>
      </w:r>
    </w:p>
    <w:p>
      <w:pPr>
        <w:spacing w:after="160" w:line="300"/>
      </w:pPr>
      <w:r>
        <w:t xml:space="preserve">Sesi ini bertujuan memberikan pemahaman menyeluruh (overview) mengenai sistem core banking IBANKCORE, khususnya modul Accounting, Funding, dan Treasury (Kas &amp; Vault), serta bagaimana ketiga modul tersebut berinteraksi satu sama lain maupun dengan aplikasi/sistem di sekitarnya (channel, regulator, dan platform integrasi).</w:t>
      </w:r>
    </w:p>
    <w:p>
      <w:pPr>
        <w:spacing w:after="160" w:line="300"/>
      </w:pPr>
      <w:r>
        <w:t xml:space="preserve">Materi disusun untuk audiens campuran — baik yang berlatar belakang teknis (developer, DBA) maupun bisnis (business analyst, product owner, auditor) — sehingga penjelasan konsep akan diberikan pada level arsitektur dan proses bisnis, sebelum masuk ke detail data model bila diperlukan.</w:t>
      </w:r>
    </w:p>
    <w:p>
      <w:pPr>
        <w:pStyle w:val="Heading2"/>
        <w:spacing w:after="120" w:before="260"/>
      </w:pPr>
      <w:r>
        <w:t xml:space="preserve">1.2 Ruang Lingkup</w:t>
      </w:r>
    </w:p>
    <w:p>
      <w:pPr>
        <w:pStyle w:val="ListParagraph"/>
        <w:numPr>
          <w:ilvl w:val="0"/>
          <w:numId w:val="2"/>
        </w:numPr>
        <w:spacing w:after="80"/>
      </w:pPr>
      <w:r>
        <w:t xml:space="preserve">Arsitektur modul IBANKCORE yang diimplementasikan pada sistem ini (Enterprise, Funding, Accounting, Kas &amp; Vault, Internal Account, Customer).</w:t>
      </w:r>
    </w:p>
    <w:p>
      <w:pPr>
        <w:pStyle w:val="ListParagraph"/>
        <w:numPr>
          <w:ilvl w:val="0"/>
          <w:numId w:val="2"/>
        </w:numPr>
        <w:spacing w:after="80"/>
      </w:pPr>
      <w:r>
        <w:t xml:space="preserve">Struktur organisasi cabang &amp; departemen, serta manajemen user dan hak akses (role, limit otorisasi) — dikelola melalui modul Enterprise.</w:t>
      </w:r>
    </w:p>
    <w:p>
      <w:pPr>
        <w:pStyle w:val="ListParagraph"/>
        <w:numPr>
          <w:ilvl w:val="0"/>
          <w:numId w:val="2"/>
        </w:numPr>
        <w:spacing w:after="80"/>
      </w:pPr>
      <w:r>
        <w:t xml:space="preserve">Prinsip pencatatan transaksi (double-entry ledger) pada modul Accounting.</w:t>
      </w:r>
    </w:p>
    <w:p>
      <w:pPr>
        <w:pStyle w:val="ListParagraph"/>
        <w:numPr>
          <w:ilvl w:val="0"/>
          <w:numId w:val="2"/>
        </w:numPr>
        <w:spacing w:after="80"/>
      </w:pPr>
      <w:r>
        <w:t xml:space="preserve">Konsep dasar modul Funding (produk pendanaan/simpanan).</w:t>
      </w:r>
    </w:p>
    <w:p>
      <w:pPr>
        <w:pStyle w:val="ListParagraph"/>
        <w:numPr>
          <w:ilvl w:val="0"/>
          <w:numId w:val="2"/>
        </w:numPr>
        <w:spacing w:after="80"/>
      </w:pPr>
      <w:r>
        <w:t xml:space="preserve">Konsep Treasury / Kas &amp; Vault (Teller/ATM), termasuk abstraksi CASH_POINT (teller, vault, ATM, sundry).</w:t>
      </w:r>
    </w:p>
    <w:p>
      <w:pPr>
        <w:pStyle w:val="ListParagraph"/>
        <w:numPr>
          <w:ilvl w:val="0"/>
          <w:numId w:val="2"/>
        </w:numPr>
        <w:spacing w:after="80"/>
      </w:pPr>
      <w:r>
        <w:t xml:space="preserve">Interaksi dengan sistem sekitar: integrasi Feeder SAP serta pelaporan regulator (OJK/BI).</w:t>
      </w:r>
    </w:p>
    <w:p>
      <w:pPr>
        <w:pStyle w:val="ListParagraph"/>
        <w:numPr>
          <w:ilvl w:val="0"/>
          <w:numId w:val="2"/>
        </w:numPr>
        <w:spacing w:after="80"/>
      </w:pPr>
      <w:r>
        <w:t xml:space="preserve">Contoh proses bisnis end-to-end: Setor Tunai dan Pindah Buku.</w:t>
      </w:r>
    </w:p>
    <w:p>
      <w:pPr>
        <w:pStyle w:val="ListParagraph"/>
        <w:numPr>
          <w:ilvl w:val="0"/>
          <w:numId w:val="2"/>
        </w:numPr>
        <w:spacing w:after="80"/>
      </w:pPr>
      <w:r>
        <w:t xml:space="preserve">Produk &amp; layanan tambahan: Deposito, Teller &amp; Layanan Counter, QRIS &amp; Virtual Account, Host-to-Host &amp; REST API, Corporate Banking, Manajemen Rekening &amp; Nasabah (CIF), Biller, dan integrasi SAP/GL eksternal.</w:t>
      </w:r>
    </w:p>
    <w:p>
      <w:pPr>
        <w:pStyle w:val="ListParagraph"/>
        <w:numPr>
          <w:ilvl w:val="0"/>
          <w:numId w:val="2"/>
        </w:numPr>
        <w:spacing w:after="80"/>
      </w:pPr>
      <w:r>
        <w:t xml:space="preserve">Operasional batch &amp; kontinuitas layanan: End-of-Day/Begin-of-Day (EOD/BOD) cabang, serta backup &amp; disaster recovery.</w:t>
      </w:r>
    </w:p>
    <w:p>
      <w:pPr>
        <w:pStyle w:val="ListParagraph"/>
        <w:numPr>
          <w:ilvl w:val="0"/>
          <w:numId w:val="2"/>
        </w:numPr>
        <w:spacing w:after="80"/>
      </w:pPr>
      <w:r>
        <w:t xml:space="preserve">Keamanan, otorisasi, dan audit lanjutan: mekanisme maker-checker (OtorEntri), user security &amp; access control, session/block management, dan verifikasi biometrik.</w:t>
      </w:r>
    </w:p>
    <w:p>
      <w:pPr>
        <w:pStyle w:val="Heading2"/>
        <w:spacing w:after="120" w:before="260"/>
      </w:pPr>
      <w:r>
        <w:t xml:space="preserve">1.3 Konteks Lingkungan</w:t>
      </w:r>
    </w:p>
    <w:p>
      <w:pPr>
        <w:spacing w:after="160" w:line="300"/>
      </w:pPr>
      <w:r>
        <w:t xml:space="preserve">IBANKCORE beroperasi pada lingkungan perbankan yang diatur (regulated), tunduk pada ketentuan OJK/BI serta audit eksternal. Sistem berjalan di atas basis data Oracle, dengan kode sumber dikelola pada instance GitLab internal (self-hosted).</w:t>
      </w:r>
    </w:p>
    <w:p>
      <w:pPr>
        <w:pStyle w:val="Heading1"/>
        <w:spacing w:after="160" w:before="360"/>
      </w:pPr>
      <w:r>
        <w:t xml:space="preserve">2. Arsitektur Modul IBANKCORE</w:t>
      </w:r>
    </w:p>
    <w:p>
      <w:pPr>
        <w:spacing w:after="160" w:line="300"/>
      </w:pPr>
      <w:r>
        <w:t xml:space="preserve">IBANKCORE adalah sistem core banking multi-modul. Setiap modul menangani domain bisnis tertentu namun berbagi lapisan data (shared ledger) dan pola integrasi yang konsisten. Diagram berikut menggambarkan posisi setiap modul beserta kanal dan sistem sekitarnya.</w:t>
      </w:r>
    </w:p>
    <w:p>
      <w:pPr>
        <w:spacing w:after="80" w:before="200"/>
        <w:jc w:val="center"/>
      </w:pPr>
      <w:r>
        <w:drawing>
          <wp:inline distT="0" distB="0" distL="0" distR="0">
            <wp:extent cx="5334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40"/>
        <w:jc w:val="center"/>
      </w:pPr>
      <w:r>
        <w:rPr>
          <w:i/>
          <w:iCs/>
          <w:color w:val="6B7280"/>
          <w:sz w:val="18"/>
          <w:szCs w:val="18"/>
        </w:rPr>
        <w:t xml:space="preserve">Gambar 2.1 — Arsitektur Modul IBANKCORE</w:t>
      </w:r>
    </w:p>
    <w:p>
      <w:pPr>
        <w:pStyle w:val="Heading2"/>
        <w:spacing w:after="120" w:before="260"/>
      </w:pPr>
      <w:r>
        <w:t xml:space="preserve">2.1 Modul-Modul Utama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4"/>
        <w:gridCol w:w="6696"/>
      </w:tblGrid>
      <w:tr>
        <w:tc>
          <w:tcPr>
            <w:tcW w:type="dxa" w:w="2604"/>
            <w:shd w:fill="1F4E79" w:val="clear"/>
          </w:tcPr>
          <w:p>
            <w:r>
              <w:rPr>
                <w:b/>
                <w:bCs/>
                <w:color w:val="FFFFFF"/>
                <w:sz w:val="20"/>
                <w:szCs w:val="20"/>
              </w:rPr>
              <w:t xml:space="preserve">Modul</w:t>
            </w:r>
          </w:p>
        </w:tc>
        <w:tc>
          <w:tcPr>
            <w:tcW w:type="dxa" w:w="6696"/>
            <w:shd w:fill="1F4E79" w:val="clear"/>
          </w:tcPr>
          <w:p>
            <w:r>
              <w:rPr>
                <w:b/>
                <w:bCs/>
                <w:color w:val="FFFFFF"/>
                <w:sz w:val="20"/>
                <w:szCs w:val="20"/>
              </w:rPr>
              <w:t xml:space="preserve">Fungsi Utama</w:t>
            </w:r>
          </w:p>
        </w:tc>
      </w:tr>
      <w:tr>
        <w:tc>
          <w:tcPr>
            <w:tcW w:type="dxa" w:w="2604"/>
          </w:tcPr>
          <w:p>
            <w:r>
              <w:rPr>
                <w:b w:val="false"/>
                <w:bCs w:val="false"/>
                <w:color w:val="000000"/>
                <w:sz w:val="20"/>
                <w:szCs w:val="20"/>
              </w:rPr>
              <w:t xml:space="preserve">Enterprise</w:t>
            </w:r>
          </w:p>
        </w:tc>
        <w:tc>
          <w:tcPr>
            <w:tcW w:type="dxa" w:w="6696"/>
          </w:tcPr>
          <w:p>
            <w:r>
              <w:rPr>
                <w:b w:val="false"/>
                <w:bCs w:val="false"/>
                <w:color w:val="000000"/>
                <w:sz w:val="20"/>
                <w:szCs w:val="20"/>
              </w:rPr>
              <w:t xml:space="preserve">Fungsi lintas modul: struktur organisasi, user &amp; hak akses, parameter, otorisasi, audit trail.</w:t>
            </w:r>
          </w:p>
        </w:tc>
      </w:tr>
      <w:tr>
        <w:tc>
          <w:tcPr>
            <w:tcW w:type="dxa" w:w="2604"/>
          </w:tcPr>
          <w:p>
            <w:r>
              <w:rPr>
                <w:b w:val="false"/>
                <w:bCs w:val="false"/>
                <w:color w:val="000000"/>
                <w:sz w:val="20"/>
                <w:szCs w:val="20"/>
              </w:rPr>
              <w:t xml:space="preserve">Funding</w:t>
            </w:r>
          </w:p>
        </w:tc>
        <w:tc>
          <w:tcPr>
            <w:tcW w:type="dxa" w:w="6696"/>
          </w:tcPr>
          <w:p>
            <w:r>
              <w:rPr>
                <w:b w:val="false"/>
                <w:bCs w:val="false"/>
                <w:color w:val="000000"/>
                <w:sz w:val="20"/>
                <w:szCs w:val="20"/>
              </w:rPr>
              <w:t xml:space="preserve">Produk pendanaan/simpanan nasabah (tabungan, giro, deposito).</w:t>
            </w:r>
          </w:p>
        </w:tc>
      </w:tr>
      <w:tr>
        <w:tc>
          <w:tcPr>
            <w:tcW w:type="dxa" w:w="2604"/>
          </w:tcPr>
          <w:p>
            <w:r>
              <w:rPr>
                <w:b w:val="false"/>
                <w:bCs w:val="false"/>
                <w:color w:val="000000"/>
                <w:sz w:val="20"/>
                <w:szCs w:val="20"/>
              </w:rPr>
              <w:t xml:space="preserve">Accounting</w:t>
            </w:r>
          </w:p>
        </w:tc>
        <w:tc>
          <w:tcPr>
            <w:tcW w:type="dxa" w:w="6696"/>
          </w:tcPr>
          <w:p>
            <w:r>
              <w:rPr>
                <w:b w:val="false"/>
                <w:bCs w:val="false"/>
                <w:color w:val="000000"/>
                <w:sz w:val="20"/>
                <w:szCs w:val="20"/>
              </w:rPr>
              <w:t xml:space="preserve">Pencatatan transaksi double-entry, buku besar (GL), saldo harian.</w:t>
            </w:r>
          </w:p>
        </w:tc>
      </w:tr>
      <w:tr>
        <w:tc>
          <w:tcPr>
            <w:tcW w:type="dxa" w:w="2604"/>
          </w:tcPr>
          <w:p>
            <w:r>
              <w:rPr>
                <w:b w:val="false"/>
                <w:bCs w:val="false"/>
                <w:color w:val="000000"/>
                <w:sz w:val="20"/>
                <w:szCs w:val="20"/>
              </w:rPr>
              <w:t xml:space="preserve">Kas &amp; Vault (Teller/ATM)</w:t>
            </w:r>
          </w:p>
        </w:tc>
        <w:tc>
          <w:tcPr>
            <w:tcW w:type="dxa" w:w="6696"/>
          </w:tcPr>
          <w:p>
            <w:r>
              <w:rPr>
                <w:b w:val="false"/>
                <w:bCs w:val="false"/>
                <w:color w:val="000000"/>
                <w:sz w:val="20"/>
                <w:szCs w:val="20"/>
              </w:rPr>
              <w:t xml:space="preserve">Pengelolaan kas fisik: teller, vault, ATM, sundry (CASH_POINT).</w:t>
            </w:r>
          </w:p>
        </w:tc>
      </w:tr>
      <w:tr>
        <w:tc>
          <w:tcPr>
            <w:tcW w:type="dxa" w:w="2604"/>
          </w:tcPr>
          <w:p>
            <w:r>
              <w:rPr>
                <w:b w:val="false"/>
                <w:bCs w:val="false"/>
                <w:color w:val="000000"/>
                <w:sz w:val="20"/>
                <w:szCs w:val="20"/>
              </w:rPr>
              <w:t xml:space="preserve">Internal Account</w:t>
            </w:r>
          </w:p>
        </w:tc>
        <w:tc>
          <w:tcPr>
            <w:tcW w:type="dxa" w:w="6696"/>
          </w:tcPr>
          <w:p>
            <w:r>
              <w:rPr>
                <w:b w:val="false"/>
                <w:bCs w:val="false"/>
                <w:color w:val="000000"/>
                <w:sz w:val="20"/>
                <w:szCs w:val="20"/>
              </w:rPr>
              <w:t xml:space="preserve">Rekening internal bank (GL internal, suspense, sundry account).</w:t>
            </w:r>
          </w:p>
        </w:tc>
      </w:tr>
      <w:tr>
        <w:tc>
          <w:tcPr>
            <w:tcW w:type="dxa" w:w="2604"/>
          </w:tcPr>
          <w:p>
            <w:r>
              <w:rPr>
                <w:b w:val="false"/>
                <w:bCs w:val="false"/>
                <w:color w:val="000000"/>
                <w:sz w:val="20"/>
                <w:szCs w:val="20"/>
              </w:rPr>
              <w:t xml:space="preserve">Customer</w:t>
            </w:r>
          </w:p>
        </w:tc>
        <w:tc>
          <w:tcPr>
            <w:tcW w:type="dxa" w:w="6696"/>
          </w:tcPr>
          <w:p>
            <w:r>
              <w:rPr>
                <w:b w:val="false"/>
                <w:bCs w:val="false"/>
                <w:color w:val="000000"/>
                <w:sz w:val="20"/>
                <w:szCs w:val="20"/>
              </w:rPr>
              <w:t xml:space="preserve">Data induk nasabah (CIF), identitas, profil risiko.</w:t>
            </w:r>
          </w:p>
        </w:tc>
      </w:tr>
    </w:tbl>
    <w:p/>
    <w:p>
      <w:pPr>
        <w:pStyle w:val="Heading2"/>
        <w:spacing w:after="120" w:before="260"/>
      </w:pPr>
      <w:r>
        <w:t xml:space="preserve">2.2 Lapisan Data</w:t>
      </w:r>
    </w:p>
    <w:p>
      <w:pPr>
        <w:spacing w:after="160" w:line="300"/>
      </w:pPr>
      <w:r>
        <w:t xml:space="preserve">Seluruh modul berbagi satu basis data Oracle yang sama — bukan database terpisah per modul — sehingga transaksi lintas modul (mis. Setor Tunai yang melibatkan Funding, Accounting, dan Kas &amp; Vault sekaligus) dapat tercatat secara konsisten dalam satu lapisan data.</w:t>
      </w:r>
    </w:p>
    <w:p>
      <w:pPr>
        <w:pStyle w:val="Heading2"/>
        <w:spacing w:after="120" w:before="260"/>
      </w:pPr>
      <w:r>
        <w:t xml:space="preserve">2.3 Kanal &amp; Sistem Sekitar</w:t>
      </w:r>
    </w:p>
    <w:p>
      <w:pPr>
        <w:spacing w:after="160" w:line="300"/>
      </w:pPr>
      <w:r>
        <w:t xml:space="preserve">Transaksi dapat masuk melalui berbagai kanal (teller/cabang, ATM/EDC, mobile &amp; internet banking, maupun API gateway). Di sisi hilir, IBANKCORE terhubung dengan kebutuhan pelaporan regulator (OJK/BI) serta kebutuhan audit eksternal.</w:t>
      </w:r>
    </w:p>
    <w:p>
      <w:pPr>
        <w:pStyle w:val="Heading2"/>
        <w:spacing w:after="120" w:before="260"/>
      </w:pPr>
      <w:r>
        <w:t xml:space="preserve">2.4 Aplikasi Core vs Enterprise</w:t>
      </w:r>
    </w:p>
    <w:p>
      <w:pPr>
        <w:spacing w:after="160" w:line="300"/>
      </w:pPr>
      <w:r>
        <w:t xml:space="preserve">Secara implementasi, IBANKCORE terdiri dari dua aplikasi terpisah namun saling terkait: </w:t>
      </w:r>
      <w:r>
        <w:rPr>
          <w:b/>
          <w:bCs/>
        </w:rPr>
        <w:t xml:space="preserve">core</w:t>
      </w:r>
      <w:r>
        <w:t xml:space="preserve"> dan </w:t>
      </w:r>
      <w:r>
        <w:rPr>
          <w:b/>
          <w:bCs/>
        </w:rPr>
        <w:t xml:space="preserve">enterprise</w:t>
      </w:r>
      <w:r>
        <w:t xml:space="preserve">.</w:t>
      </w:r>
    </w:p>
    <w:p>
      <w:pPr>
        <w:pStyle w:val="ListParagraph"/>
        <w:numPr>
          <w:ilvl w:val="0"/>
          <w:numId w:val="2"/>
        </w:numPr>
        <w:spacing w:after="80"/>
      </w:pPr>
      <w:r>
        <w:rPr>
          <w:b/>
          <w:bCs/>
        </w:rPr>
        <w:t xml:space="preserve">Aplikasi Enterprise</w:t>
      </w:r>
      <w:r>
        <w:t xml:space="preserve"> — modul platform/administratif di atas core: manajemen user &amp; cabang, keamanan &amp; hak akses, mekanisme otorisasi (maker-checker), proses batch operasional (EOD/BOD), backup/disaster recovery, serta monitoring sesi user.</w:t>
      </w:r>
    </w:p>
    <w:p>
      <w:pPr>
        <w:pStyle w:val="ListParagraph"/>
        <w:numPr>
          <w:ilvl w:val="0"/>
          <w:numId w:val="2"/>
        </w:numPr>
        <w:spacing w:after="80"/>
      </w:pPr>
      <w:r>
        <w:rPr>
          <w:b/>
          <w:bCs/>
        </w:rPr>
        <w:t xml:space="preserve">Aplikasi Core</w:t>
      </w:r>
      <w:r>
        <w:t xml:space="preserve"> — mesin transaksi &amp; produk perbankan itu sendiri: logika akun, transaksi, jurnal, serta produk (Deposito, Tabungan, Teller, Corporate) dan integrasi kanal (QRIS, host-to-host, REST API). Aplikasi ini dideploy per-instansi/bank, ditandai dengan konfigurasi lingkungan terpisah seperti training, UAT, dan production.</w:t>
      </w:r>
    </w:p>
    <w:p>
      <w:pPr>
        <w:pStyle w:val="ListParagraph"/>
        <w:numPr>
          <w:ilvl w:val="0"/>
          <w:numId w:val="2"/>
        </w:numPr>
        <w:spacing w:after="80"/>
      </w:pPr>
      <w:r>
        <w:t xml:space="preserve">Kedua aplikasi berbagi prinsip dan pola arsitektur yang sama (lapisan data, struktur transaksi), namun </w:t>
      </w:r>
      <w:r>
        <w:rPr>
          <w:b/>
          <w:bCs/>
        </w:rPr>
        <w:t xml:space="preserve">enterprise</w:t>
      </w:r>
      <w:r>
        <w:t xml:space="preserve"> berfokus pada domain administrasi, keamanan, dan operasional platform, sedangkan </w:t>
      </w:r>
      <w:r>
        <w:rPr>
          <w:b/>
          <w:bCs/>
        </w:rPr>
        <w:t xml:space="preserve">core</w:t>
      </w:r>
      <w:r>
        <w:t xml:space="preserve"> berfokus pada domain bisnis/produk.</w:t>
      </w:r>
    </w:p>
    <w:p>
      <w:pPr>
        <w:pStyle w:val="Heading2"/>
        <w:spacing w:after="120" w:before="260"/>
      </w:pPr>
      <w:r>
        <w:t xml:space="preserve">2.5 Aplikasi Ketiga: Switching (switching-cgs)</w:t>
      </w:r>
    </w:p>
    <w:p>
      <w:pPr>
        <w:spacing w:after="160" w:line="300"/>
      </w:pPr>
      <w:r>
        <w:t xml:space="preserve">Selain core dan enterprise (Bagian 2.4), pada deployment PT Pos terdapat </w:t>
      </w:r>
      <w:r>
        <w:rPr>
          <w:b/>
          <w:bCs/>
        </w:rPr>
        <w:t xml:space="preserve">aplikasi ketiga yang berdiri sendiri</w:t>
      </w:r>
      <w:r>
        <w:t xml:space="preserve">: proyek switching (nama internal "switching-cgs") — hasil modernisasi komponen switching pembayaran dari Python legacy ke </w:t>
      </w:r>
      <w:r>
        <w:rPr>
          <w:b/>
          <w:bCs/>
        </w:rPr>
        <w:t xml:space="preserve">Go</w:t>
      </w:r>
      <w:r>
        <w:t xml:space="preserve">. Karena secara fungsional switching-cgs adalah bagian dari ekosistem IBANKCORE (bukan sistem pihak ketiga eksternal), pada Gambar 2.1 aplikasi ini digambar </w:t>
      </w:r>
      <w:r>
        <w:rPr>
          <w:b/>
          <w:bCs/>
        </w:rPr>
        <w:t xml:space="preserve">di dalam</w:t>
      </w:r>
      <w:r>
        <w:t xml:space="preserve"> envelope IBANKCORE, sejajar modul lain — meski gaya visualnya tetap dibedakan (gold, garis putus-putus) untuk menandakan akses langsungnya ke database.</w:t>
      </w:r>
    </w:p>
    <w:p>
      <w:pPr>
        <w:pStyle w:val="ListParagraph"/>
        <w:numPr>
          <w:ilvl w:val="0"/>
          <w:numId w:val="2"/>
        </w:numPr>
        <w:spacing w:after="80"/>
      </w:pPr>
      <w:r>
        <w:rPr>
          <w:b/>
          <w:bCs/>
        </w:rPr>
        <w:t xml:space="preserve">Arsitektur microservice</w:t>
      </w:r>
      <w:r>
        <w:t xml:space="preserve"> — terdiri dari beberapa service terpisah (mis. core, core-hin, core-inq, core-rev, bca, jalin/QRIS, topup), masing-masing mendukung dua protokol: </w:t>
      </w:r>
      <w:r>
        <w:rPr>
          <w:b/>
          <w:bCs/>
        </w:rPr>
        <w:t xml:space="preserve">BL2 (TCP)</w:t>
      </w:r>
      <w:r>
        <w:t xml:space="preserve"> untuk kompatibilitas ATM/EDC legacy, dan </w:t>
      </w:r>
      <w:r>
        <w:rPr>
          <w:b/>
          <w:bCs/>
        </w:rPr>
        <w:t xml:space="preserve">gRPC</w:t>
      </w:r>
      <w:r>
        <w:t xml:space="preserve"> untuk klien modern. </w:t>
      </w:r>
      <w:r>
        <w:rPr>
          <w:b/>
          <w:bCs/>
        </w:rPr>
        <w:t xml:space="preserve">Redis</w:t>
      </w:r>
      <w:r>
        <w:t xml:space="preserve"> dipakai sebagai job-queue/state-tracking untuk idempotency &amp; recovery, dideploy via Docker/Kubernetes.</w:t>
      </w:r>
    </w:p>
    <w:p>
      <w:pPr>
        <w:pStyle w:val="ListParagraph"/>
        <w:numPr>
          <w:ilvl w:val="0"/>
          <w:numId w:val="2"/>
        </w:numPr>
        <w:spacing w:after="80"/>
      </w:pPr>
      <w:r>
        <w:rPr>
          <w:b/>
          <w:bCs/>
        </w:rPr>
        <w:t xml:space="preserve">Akses langsung ke database Core</w:t>
      </w:r>
      <w:r>
        <w:t xml:space="preserve"> — berbeda dari core/enterprise yang mengakses data melalui lapisan aplikasinya sendiri, switching-cgs terhubung </w:t>
      </w:r>
      <w:r>
        <w:rPr>
          <w:b/>
          <w:bCs/>
        </w:rPr>
        <w:t xml:space="preserve">langsung ke Oracle</w:t>
      </w:r>
      <w:r>
        <w:t xml:space="preserve"> dengan skema (`ibcoreprod`/`ibentprod`) yang sama persis dengan skema core/enterprise, lengkap dengan modul query per-tabel (akun, transaksi, CIF, dsb.) — bukan lewat API. Pola ini konsisten dipakai baik untuk switching pembayaran umum (Bagian 7.5) maupun QRIS (menggantikan/melengkapi implementasi QRIS sisi core, Bagian 7.2), serta integrasi verifikasi identitas &amp; OTP (Bagian 7.7).</w:t>
      </w:r>
    </w:p>
    <w:p>
      <w:pPr>
        <w:pStyle w:val="ListParagraph"/>
        <w:numPr>
          <w:ilvl w:val="0"/>
          <w:numId w:val="2"/>
        </w:numPr>
        <w:spacing w:after="80"/>
      </w:pPr>
      <w:r>
        <w:rPr>
          <w:b/>
          <w:bCs/>
        </w:rPr>
        <w:t xml:space="preserve">Implikasi arsitektur</w:t>
      </w:r>
      <w:r>
        <w:t xml:space="preserve"> — dengan tiga aplikasi (core, enterprise, switching-cgs) yang saling terhubung ke satu database Oracle yang sama, perubahan skema database berdampak lintas aplikasi dan perlu dikoordinasikan, tidak cukup diuji di satu aplikasi saja.</w:t>
      </w:r>
    </w:p>
    <w:p>
      <w:pPr>
        <w:pStyle w:val="Heading2"/>
        <w:spacing w:after="120" w:before="260"/>
      </w:pPr>
      <w:r>
        <w:t xml:space="preserve">2.6 3rd Party Service</w:t>
      </w:r>
    </w:p>
    <w:p>
      <w:pPr>
        <w:spacing w:after="160" w:line="300"/>
      </w:pPr>
      <w:r>
        <w:t xml:space="preserve">Di sisi kanan Gambar 2.1, IBANKCORE terhubung ke sejumlah penyedia layanan pihak ketiga melalui satu jalur koneksi dua arah (bidirectional) — merepresentasikan bahwa integrasi ke masing-masing pihak ketiga pada akhirnya bermuara pada satu boundary yang sama di sisi IBANKCORE, meski secara teknis tiap pihak ketiga punya kontrak/protokol integrasinya sendiri.</w:t>
      </w:r>
    </w:p>
    <w:p>
      <w:pPr>
        <w:pStyle w:val="ListParagraph"/>
        <w:numPr>
          <w:ilvl w:val="0"/>
          <w:numId w:val="2"/>
        </w:numPr>
        <w:spacing w:after="80"/>
      </w:pPr>
      <w:r>
        <w:rPr>
          <w:b/>
          <w:bCs/>
        </w:rPr>
        <w:t xml:space="preserve">PGC (Bansos)</w:t>
      </w:r>
      <w:r>
        <w:t xml:space="preserve"> — instansi pemerintah/himbara penyalur PGC (lihat Bagian 7.6 untuk detail alur penyaluran &amp; peran CMS).</w:t>
      </w:r>
    </w:p>
    <w:p>
      <w:pPr>
        <w:pStyle w:val="ListParagraph"/>
        <w:numPr>
          <w:ilvl w:val="0"/>
          <w:numId w:val="2"/>
        </w:numPr>
        <w:spacing w:after="80"/>
      </w:pPr>
      <w:r>
        <w:rPr>
          <w:b/>
          <w:bCs/>
        </w:rPr>
        <w:t xml:space="preserve">Jalin (QRIS)</w:t>
      </w:r>
      <w:r>
        <w:t xml:space="preserve"> — penyedia switching QRIS; pemrosesannya ditangani oleh service `jalin` pada aplikasi switching-cgs (Bagian 2.5 &amp; 7.2), termasuk proses rekonsiliasi manual berbasis file dari Jalin (Bagian 7.2).</w:t>
      </w:r>
    </w:p>
    <w:p>
      <w:pPr>
        <w:pStyle w:val="ListParagraph"/>
        <w:numPr>
          <w:ilvl w:val="0"/>
          <w:numId w:val="2"/>
        </w:numPr>
        <w:spacing w:after="80"/>
      </w:pPr>
      <w:r>
        <w:rPr>
          <w:b/>
          <w:bCs/>
        </w:rPr>
        <w:t xml:space="preserve">Bank</w:t>
      </w:r>
      <w:r>
        <w:t xml:space="preserve"> — bank lain/mitra untuk kebutuhan transfer maupun switching antar bank.</w:t>
      </w:r>
    </w:p>
    <w:p>
      <w:pPr>
        <w:spacing w:after="160" w:line="300"/>
      </w:pPr>
      <w:r>
        <w:t xml:space="preserve">&gt; </w:t>
      </w:r>
      <w:r>
        <w:rPr>
          <w:b/>
          <w:bCs/>
        </w:rPr>
        <w:t xml:space="preserve">Catatan</w:t>
      </w:r>
      <w:r>
        <w:t xml:space="preserve">: pengelompokan "3rd Party Service" ini menggambarkan pihak eksternal yang sudah dibahas detailnya di bagian lain — bagian ini hanya menyatukan gambaran besarnya dalam satu diagram arsitektur.</w:t>
      </w:r>
    </w:p>
    <w:p>
      <w:pPr>
        <w:pStyle w:val="Heading2"/>
        <w:spacing w:after="120" w:before="260"/>
      </w:pPr>
      <w:r>
        <w:t xml:space="preserve">2.7 Internal Support Layer</w:t>
      </w:r>
    </w:p>
    <w:p>
      <w:pPr>
        <w:spacing w:after="160" w:line="300"/>
      </w:pPr>
      <w:r>
        <w:t xml:space="preserve">Di bagian bawah Gambar 2.1, terdapat kumpulan layanan pendukung internal yang beroperasi di sekitar (bukan di dalam) database Core, masing-masing independen satu sama lain:</w:t>
      </w:r>
    </w:p>
    <w:p>
      <w:pPr>
        <w:pStyle w:val="ListParagraph"/>
        <w:numPr>
          <w:ilvl w:val="0"/>
          <w:numId w:val="2"/>
        </w:numPr>
        <w:spacing w:after="80"/>
      </w:pPr>
      <w:r>
        <w:rPr>
          <w:b/>
          <w:bCs/>
        </w:rPr>
        <w:t xml:space="preserve">Feeder SAP</w:t>
      </w:r>
      <w:r>
        <w:t xml:space="preserve"> — mengambil (pull) data akuntansi dari database Core untuk dikirim ke sistem SAP eksternal (detail mekanisme pull-nya di Bagian 4.3 &amp; 7.4).</w:t>
      </w:r>
    </w:p>
    <w:p>
      <w:pPr>
        <w:pStyle w:val="ListParagraph"/>
        <w:numPr>
          <w:ilvl w:val="0"/>
          <w:numId w:val="2"/>
        </w:numPr>
        <w:spacing w:after="80"/>
      </w:pPr>
      <w:r>
        <w:rPr>
          <w:b/>
          <w:bCs/>
        </w:rPr>
        <w:t xml:space="preserve">Cut-off &amp; Cleansing Service</w:t>
      </w:r>
      <w:r>
        <w:t xml:space="preserve"> — layanan yang menyiapkan/membersihkan data pada titik cut-off (mis. akhir hari), sejalan dengan proses Batch EOD/BOD yang telah dibahas (Bagian 10.1), sebelum data dikonsumsi oleh layanan hilir seperti DWH atau Reporting Service.</w:t>
      </w:r>
    </w:p>
    <w:p>
      <w:pPr>
        <w:pStyle w:val="ListParagraph"/>
        <w:numPr>
          <w:ilvl w:val="0"/>
          <w:numId w:val="2"/>
        </w:numPr>
        <w:spacing w:after="80"/>
      </w:pPr>
      <w:r>
        <w:rPr>
          <w:b/>
          <w:bCs/>
        </w:rPr>
        <w:t xml:space="preserve">DWH (Data Warehouse)</w:t>
      </w:r>
      <w:r>
        <w:t xml:space="preserve"> — gudang data yang menampung hasil olahan/agregasi data Core untuk kebutuhan analitik, menjadi sumber data bagi Dashboard.</w:t>
      </w:r>
    </w:p>
    <w:p>
      <w:pPr>
        <w:pStyle w:val="ListParagraph"/>
        <w:numPr>
          <w:ilvl w:val="0"/>
          <w:numId w:val="2"/>
        </w:numPr>
        <w:spacing w:after="80"/>
      </w:pPr>
      <w:r>
        <w:rPr>
          <w:b/>
          <w:bCs/>
        </w:rPr>
        <w:t xml:space="preserve">Reporting Service</w:t>
      </w:r>
      <w:r>
        <w:t xml:space="preserve"> — layanan yang menyusun laporan, termasuk pelaporan berkala ke regulator OJK/BI (Bagian 7.1).</w:t>
      </w:r>
    </w:p>
    <w:p>
      <w:pPr>
        <w:spacing w:after="160" w:line="300"/>
      </w:pPr>
      <w:r>
        <w:t xml:space="preserve">Keempat layanan ini bermuara ke tiga tujuan akhir: </w:t>
      </w:r>
      <w:r>
        <w:rPr>
          <w:b/>
          <w:bCs/>
        </w:rPr>
        <w:t xml:space="preserve">SAP</w:t>
      </w:r>
      <w:r>
        <w:t xml:space="preserve"> (dari Feeder SAP), </w:t>
      </w:r>
      <w:r>
        <w:rPr>
          <w:b/>
          <w:bCs/>
        </w:rPr>
        <w:t xml:space="preserve">Regulator OJK/BI Reporting</w:t>
      </w:r>
      <w:r>
        <w:t xml:space="preserve"> (dari Internal Support Layer secara umum, terutama Reporting Service), dan </w:t>
      </w:r>
      <w:r>
        <w:rPr>
          <w:b/>
          <w:bCs/>
        </w:rPr>
        <w:t xml:space="preserve">Dashboard</w:t>
      </w:r>
      <w:r>
        <w:t xml:space="preserve"> (dipasok dari DWH).</w:t>
      </w:r>
    </w:p>
    <w:p>
      <w:pPr>
        <w:spacing w:after="160" w:line="300"/>
      </w:pPr>
      <w:r>
        <w:t xml:space="preserve">&gt; </w:t>
      </w:r>
      <w:r>
        <w:rPr>
          <w:b/>
          <w:bCs/>
        </w:rPr>
        <w:t xml:space="preserve">Catatan</w:t>
      </w:r>
      <w:r>
        <w:t xml:space="preserve">: penamaan "Internal Support Layer" dipilih untuk membedakannya dari "3rd Party Service" (Bagian 2.6) — layanan-layanan ini adalah komponen pendukung milik/dikelola sendiri (internal), bukan sistem pihak ketiga eksternal, meski posisinya di luar envelope IBANKCORE pada diagram.</w:t>
      </w:r>
    </w:p>
    <w:p>
      <w:pPr>
        <w:pStyle w:val="Heading1"/>
        <w:spacing w:after="160" w:before="360"/>
      </w:pPr>
      <w:r>
        <w:t xml:space="preserve">3. Manajemen Cabang, Departemen &amp; User</w:t>
      </w:r>
    </w:p>
    <w:p>
      <w:pPr>
        <w:spacing w:after="160" w:line="300"/>
      </w:pPr>
      <w:r>
        <w:t xml:space="preserve">Selain modul-modul fungsional (Funding, Accounting, Treasury, dsb.), IBANKCORE juga memiliki lapisan struktur organisasi — cabang, departemen, dan user — yang menjadi atribut wajib pada hampir setiap transaksi maupun aktivitas sistem. Lapisan ini dikelola terutama melalui modul Enterprise dan Customer.</w:t>
      </w:r>
    </w:p>
    <w:p>
      <w:pPr>
        <w:pStyle w:val="Heading2"/>
        <w:spacing w:after="120" w:before="260"/>
      </w:pPr>
      <w:r>
        <w:t xml:space="preserve">3.1 Struktur Organisasi: Cabang, Wilayah &amp; Departemen</w:t>
      </w:r>
    </w:p>
    <w:p>
      <w:pPr>
        <w:pStyle w:val="ListParagraph"/>
        <w:numPr>
          <w:ilvl w:val="0"/>
          <w:numId w:val="2"/>
        </w:numPr>
        <w:spacing w:after="80"/>
      </w:pPr>
      <w:r>
        <w:rPr>
          <w:b/>
          <w:bCs/>
        </w:rPr>
        <w:t xml:space="preserve">Cabang (Branch)</w:t>
      </w:r>
      <w:r>
        <w:t xml:space="preserve"> — unit operasional yang melayani nasabah secara langsung (tatap muka maupun melalui kanal cabang). Setiap cabang memiliki kode unik (kode cabang) yang menjadi atribut wajib pada transaksi yang terjadi di cabang tersebut.</w:t>
      </w:r>
    </w:p>
    <w:p>
      <w:pPr>
        <w:pStyle w:val="ListParagraph"/>
        <w:numPr>
          <w:ilvl w:val="0"/>
          <w:numId w:val="2"/>
        </w:numPr>
        <w:spacing w:after="80"/>
      </w:pPr>
      <w:r>
        <w:rPr>
          <w:b/>
          <w:bCs/>
        </w:rPr>
        <w:t xml:space="preserve">Wilayah (Area Cabang)</w:t>
      </w:r>
      <w:r>
        <w:t xml:space="preserve"> — cabang dikelompokkan ke dalam wilayah melalui entity Area Cabang (dengan kode wilayah tersendiri); setiap cabang menyimpan kode wilayahnya sebagai atribut, sehingga laporan manajerial dapat diagregasi per wilayah (satu wilayah menaungi banyak cabang). Pada implementasi di PT Pos, entity ini dikenal dengan istilah bisnis </w:t>
      </w:r>
      <w:r>
        <w:rPr>
          <w:b/>
          <w:bCs/>
        </w:rPr>
        <w:t xml:space="preserve">"Regional"</w:t>
      </w:r>
      <w:r>
        <w:t xml:space="preserve">.</w:t>
      </w:r>
    </w:p>
    <w:p>
      <w:pPr>
        <w:pStyle w:val="ListParagraph"/>
        <w:numPr>
          <w:ilvl w:val="0"/>
          <w:numId w:val="2"/>
        </w:numPr>
        <w:spacing w:after="80"/>
      </w:pPr>
      <w:r>
        <w:rPr>
          <w:b/>
          <w:bCs/>
        </w:rPr>
        <w:t xml:space="preserve">Cabang Induk &amp; Cabang Anak</w:t>
      </w:r>
      <w:r>
        <w:t xml:space="preserve"> — selain pengelompokan per wilayah, setiap cabang juga dapat mereferensikan satu cabang induk secara langsung, membentuk hierarki induk-anak antar cabang — umum dipakai untuk struktur kantor cabang pembantu/kantor kas di bawah kantor cabang utamanya.</w:t>
      </w:r>
    </w:p>
    <w:p>
      <w:pPr>
        <w:pStyle w:val="ListParagraph"/>
        <w:numPr>
          <w:ilvl w:val="0"/>
          <w:numId w:val="2"/>
        </w:numPr>
        <w:spacing w:after="80"/>
      </w:pPr>
      <w:r>
        <w:rPr>
          <w:b/>
          <w:bCs/>
        </w:rPr>
        <w:t xml:space="preserve">Jenis/Tipe Unit ("Kantor")</w:t>
      </w:r>
      <w:r>
        <w:t xml:space="preserve"> — istilah "Kantor" pada sistem ini bukan level organisasi tersendiri di atas/di bawah cabang, melainkan atribut tipe &amp; status dari cabang itu sendiri (mis. Kantor Pusat, Cabang Utama, Cabang Pembantu, Kantor Kas, Kantor Fungsional, Pusat Operasional/Non-Operasional, Gerai), beserta data alamat &amp; kontak resmi yang melekat pada cabang tersebut.</w:t>
      </w:r>
    </w:p>
    <w:p>
      <w:pPr>
        <w:pStyle w:val="ListParagraph"/>
        <w:numPr>
          <w:ilvl w:val="0"/>
          <w:numId w:val="2"/>
        </w:numPr>
        <w:spacing w:after="80"/>
      </w:pPr>
      <w:r>
        <w:rPr>
          <w:b/>
          <w:bCs/>
        </w:rPr>
        <w:t xml:space="preserve">Departemen</w:t>
      </w:r>
      <w:r>
        <w:t xml:space="preserve"> — unit di kantor pusat (head office) yang umumnya bersifat back office/non-transaksional, misalnya Departemen Treasury, Departemen Accounting, Departemen Kepatuhan, atau Departemen IT. Sebagai entity organisasi, Departemen terhubung ke data kepegawaian (employee/HR); kode departemen juga ikut terekam pada header transaksi/jurnal (lihat 3.2), namun bukan sebagai dimensi cost center yang formal pada Chart of Accounts (lihat 3.5).</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3.1 — Struktur Organisasi: Wilayah, Cabang &amp; Atribut Kantor</w:t>
      </w:r>
    </w:p>
    <w:p>
      <w:pPr>
        <w:pStyle w:val="Heading2"/>
        <w:spacing w:after="120" w:before="260"/>
      </w:pPr>
      <w:r>
        <w:t xml:space="preserve">3.2 Kode Cabang &amp; Kantor sebagai Atribut Transaksi</w:t>
      </w:r>
    </w:p>
    <w:p>
      <w:pPr>
        <w:pStyle w:val="ListParagraph"/>
        <w:numPr>
          <w:ilvl w:val="0"/>
          <w:numId w:val="2"/>
        </w:numPr>
        <w:spacing w:after="80"/>
      </w:pPr>
      <w:r>
        <w:t xml:space="preserve">Setiap transaksi (Setor Tunai, Pindah Buku, dsb.) membawa kode cabang tempat transaksi dilakukan atau diinisiasi.</w:t>
      </w:r>
    </w:p>
    <w:p>
      <w:pPr>
        <w:pStyle w:val="ListParagraph"/>
        <w:numPr>
          <w:ilvl w:val="0"/>
          <w:numId w:val="2"/>
        </w:numPr>
        <w:spacing w:after="80"/>
      </w:pPr>
      <w:r>
        <w:t xml:space="preserve">Header JOURNAL (bukan baris JOURNALITEM-nya) menyimpan tiga kode organisasi sekaligus pada setiap transaksi: </w:t>
      </w:r>
      <w:r>
        <w:rPr>
          <w:b/>
          <w:bCs/>
        </w:rPr>
        <w:t xml:space="preserve">kode cabang</w:t>
      </w:r>
      <w:r>
        <w:t xml:space="preserve">, </w:t>
      </w:r>
      <w:r>
        <w:rPr>
          <w:b/>
          <w:bCs/>
        </w:rPr>
        <w:t xml:space="preserve">kode kantor</w:t>
      </w:r>
      <w:r>
        <w:t xml:space="preserve">, dan </w:t>
      </w:r>
      <w:r>
        <w:rPr>
          <w:b/>
          <w:bCs/>
        </w:rPr>
        <w:t xml:space="preserve">kode departemen</w:t>
      </w:r>
      <w:r>
        <w:t xml:space="preserve"> — sebagai kolom data biasa (tanpa foreign key formal ke entity Cabang/Kantor/Departemen).</w:t>
      </w:r>
    </w:p>
    <w:p>
      <w:pPr>
        <w:spacing w:after="160" w:line="300"/>
      </w:pPr>
      <w:r>
        <w:t xml:space="preserve">- </w:t>
      </w:r>
      <w:r>
        <w:rPr>
          <w:b/>
          <w:bCs/>
        </w:rPr>
        <w:t xml:space="preserve">Kode kantor</w:t>
      </w:r>
      <w:r>
        <w:t xml:space="preserve"> diisi dari kode kantor transaksi bila tersedia, dan otomatis jatuh kembali (fallback) ke kode cabang apabila kode kantor tidak diisi — sehingga nilainya bisa sama dengan kode cabang pada banyak kasus, namun kolomnya tetap terpisah secara fisik.</w:t>
      </w:r>
    </w:p>
    <w:p>
      <w:pPr>
        <w:spacing w:after="160" w:line="300"/>
      </w:pPr>
      <w:r>
        <w:t xml:space="preserve">- </w:t>
      </w:r>
      <w:r>
        <w:rPr>
          <w:b/>
          <w:bCs/>
        </w:rPr>
        <w:t xml:space="preserve">Kode departemen</w:t>
      </w:r>
      <w:r>
        <w:t xml:space="preserve"> diisi dari departemen user yang memposting transaksi, atau dari data transaksi eksternal (untuk transaksi masuk via interface/API) — bukan dari struktur Departemen sebagai unit organisasi (3.1).</w:t>
      </w:r>
    </w:p>
    <w:p>
      <w:pPr>
        <w:spacing w:after="160" w:line="300"/>
      </w:pPr>
      <w:r>
        <w:t xml:space="preserve">- Baris JOURNALITEM (detail mutasi) sendiri hanya menyimpan kode cabang, tidak menyimpan kode kantor/departemen — kedua kode itu hanya ada di level header transaksi.</w:t>
      </w:r>
    </w:p>
    <w:p>
      <w:pPr>
        <w:pStyle w:val="ListParagraph"/>
        <w:numPr>
          <w:ilvl w:val="0"/>
          <w:numId w:val="2"/>
        </w:numPr>
        <w:spacing w:after="80"/>
      </w:pPr>
      <w:r>
        <w:t xml:space="preserve">dailybalancerekening turut menyimpan kode cabang, sehingga saldo dapat direkonsiliasi maupun dilaporkan per cabang.</w:t>
      </w:r>
    </w:p>
    <w:p>
      <w:pPr>
        <w:pStyle w:val="ListParagraph"/>
        <w:numPr>
          <w:ilvl w:val="0"/>
          <w:numId w:val="2"/>
        </w:numPr>
        <w:spacing w:after="80"/>
      </w:pPr>
      <w:r>
        <w:t xml:space="preserve">Setiap CASH_POINT (laci teller, vault, ATM) selalu terasosiasi ke satu kode cabang tertentu, sehingga posisi kas fisik dapat dipantau per cabang.</w:t>
      </w:r>
    </w:p>
    <w:p>
      <w:pPr>
        <w:pStyle w:val="Heading2"/>
        <w:spacing w:after="120" w:before="260"/>
      </w:pPr>
      <w:r>
        <w:t xml:space="preserve">3.3 Manajemen User &amp; Hak Akses</w:t>
      </w:r>
    </w:p>
    <w:p>
      <w:pPr>
        <w:pStyle w:val="ListParagraph"/>
        <w:numPr>
          <w:ilvl w:val="0"/>
          <w:numId w:val="2"/>
        </w:numPr>
        <w:spacing w:after="80"/>
      </w:pPr>
      <w:r>
        <w:t xml:space="preserve">User sistem — mulai dari teller, customer service, supervisor cabang, branch manager, hingga user di kantor pusat/departemen — dikelola melalui modul Enterprise.</w:t>
      </w:r>
    </w:p>
    <w:p>
      <w:pPr>
        <w:pStyle w:val="ListParagraph"/>
        <w:numPr>
          <w:ilvl w:val="0"/>
          <w:numId w:val="2"/>
        </w:numPr>
        <w:spacing w:after="80"/>
      </w:pPr>
      <w:r>
        <w:t xml:space="preserve">Role-Based Access Control (RBAC) — peran (role) menentukan menu, jenis transaksi, dan limit otorisasi yang dapat diakses oleh user, misalnya perbedaan hak akses antara teller, supervisor, dan branch manager.</w:t>
      </w:r>
    </w:p>
    <w:p>
      <w:pPr>
        <w:pStyle w:val="ListParagraph"/>
        <w:numPr>
          <w:ilvl w:val="0"/>
          <w:numId w:val="2"/>
        </w:numPr>
        <w:spacing w:after="80"/>
      </w:pPr>
      <w:r>
        <w:t xml:space="preserve">Limit otorisasi (approval limit) — dicek per-user (bukan per-jenjang hierarki cabang/role): setiap user punya nilai limit transaksinya sendiri, dan transaksi yang melebihi limit tersebut memerlukan persetujuan (approval) dari user lain yang punya limit mencukupi, sesuai prinsip maker-checker atau dual control.</w:t>
      </w:r>
    </w:p>
    <w:p>
      <w:pPr>
        <w:spacing w:after="160" w:line="300"/>
      </w:pPr>
      <w:r>
        <w:rPr>
          <w:b/>
          <w:bCs/>
        </w:rPr>
        <w:t xml:space="preserve">Isolasi akses berdasarkan cabang &amp; departemen</w:t>
      </w:r>
      <w:r>
        <w:t xml:space="preserve"> — akses user terhadap data/transaksi dibatasi lewat dua mekanisme yang berbeda konstruksinya:</w:t>
      </w:r>
    </w:p>
    <w:p>
      <w:pPr>
        <w:pStyle w:val="ListParagraph"/>
        <w:numPr>
          <w:ilvl w:val="0"/>
          <w:numId w:val="2"/>
        </w:numPr>
        <w:spacing w:after="80"/>
      </w:pPr>
      <w:r>
        <w:rPr>
          <w:b/>
          <w:bCs/>
        </w:rPr>
        <w:t xml:space="preserve">Isolasi cabang</w:t>
      </w:r>
      <w:r>
        <w:t xml:space="preserve"> — diatur oleh atribut tipe akses cabang pada masing-masing user, dengan tiga mode: </w:t>
      </w:r>
      <w:r>
        <w:rPr>
          <w:b/>
          <w:bCs/>
        </w:rPr>
        <w:t xml:space="preserve">Semua</w:t>
      </w:r>
      <w:r>
        <w:t xml:space="preserve"> (akses ke seluruh cabang), </w:t>
      </w:r>
      <w:r>
        <w:rPr>
          <w:b/>
          <w:bCs/>
        </w:rPr>
        <w:t xml:space="preserve">Tunggal</w:t>
      </w:r>
      <w:r>
        <w:t xml:space="preserve"> (hanya cabang milik user sendiri), atau </w:t>
      </w:r>
      <w:r>
        <w:rPr>
          <w:b/>
          <w:bCs/>
        </w:rPr>
        <w:t xml:space="preserve">Parsial</w:t>
      </w:r>
      <w:r>
        <w:t xml:space="preserve"> (hanya cabang yang eksplisit terdaftar sebagai "cabang diizinkan" untuk user tersebut, ditambah cabang miliknya sendiri). Ini gerbang akses aktif yang dicek setiap kali sistem perlu memvalidasi apakah seorang user boleh mengakses data suatu cabang.</w:t>
      </w:r>
    </w:p>
    <w:p>
      <w:pPr>
        <w:pStyle w:val="ListParagraph"/>
        <w:numPr>
          <w:ilvl w:val="0"/>
          <w:numId w:val="2"/>
        </w:numPr>
        <w:spacing w:after="80"/>
      </w:pPr>
      <w:r>
        <w:rPr>
          <w:b/>
          <w:bCs/>
        </w:rPr>
        <w:t xml:space="preserve">Isolasi departemen</w:t>
      </w:r>
      <w:r>
        <w:t xml:space="preserve"> — konsepnya mirip (ada daftar "departemen diizinkan"), tapi konstruksinya berbeda: daftar ini terhubung ke data </w:t>
      </w:r>
      <w:r>
        <w:rPr>
          <w:b/>
          <w:bCs/>
        </w:rPr>
        <w:t xml:space="preserve">karyawan</w:t>
      </w:r>
      <w:r>
        <w:t xml:space="preserve">, bukan langsung ke akun user, dan lebih banyak dipakai dalam konteks pemilihan/administrasi departemen (mis. saat menetapkan departemen seorang karyawan) daripada sebagai gerbang akses transaksi/data yang independen. Mode "Semua/Tunggal/Parsial" untuk departemen juga meminjam pengaturan mode akses cabang milik user, bukan pengaturan tersendiri untuk departemen.</w:t>
      </w:r>
    </w:p>
    <w:p>
      <w:pPr>
        <w:pStyle w:val="Heading2"/>
        <w:spacing w:after="120" w:before="260"/>
      </w:pPr>
      <w:r>
        <w:t xml:space="preserve">3.4 Segregasi &amp; Pelaporan Berdasarkan Cabang/Wilayah</w:t>
      </w:r>
    </w:p>
    <w:p>
      <w:pPr>
        <w:pStyle w:val="ListParagraph"/>
        <w:numPr>
          <w:ilvl w:val="0"/>
          <w:numId w:val="2"/>
        </w:numPr>
        <w:spacing w:after="80"/>
      </w:pPr>
      <w:r>
        <w:t xml:space="preserve">Laporan manajerial (mis. volume transaksi per cabang, kinerja cabang) direkonstruksi dari agregasi JOURNAL/JOURNALITEM berdasarkan kode cabang, dan dapat diagregasi lebih lanjut per wilayah melalui relasi cabang ke Area Cabang.</w:t>
      </w:r>
    </w:p>
    <w:p>
      <w:pPr>
        <w:pStyle w:val="ListParagraph"/>
        <w:numPr>
          <w:ilvl w:val="0"/>
          <w:numId w:val="2"/>
        </w:numPr>
        <w:spacing w:after="80"/>
      </w:pPr>
      <w:r>
        <w:t xml:space="preserve">Audit trail pada modul Enterprise mencatat user, kode cabang/departemen, serta waktu setiap aksi — mendukung kebutuhan investigasi maupun kepatuhan (OJK/BI, audit eksternal).</w:t>
      </w:r>
    </w:p>
    <w:p>
      <w:pPr>
        <w:pStyle w:val="Heading2"/>
        <w:spacing w:after="120" w:before="260"/>
      </w:pPr>
      <w:r>
        <w:t xml:space="preserve">3.5 Kaitan dengan Chart of Accounts (COA) &amp; Neraca</w:t>
      </w:r>
    </w:p>
    <w:p>
      <w:pPr>
        <w:spacing w:after="160" w:line="300"/>
      </w:pPr>
      <w:r>
        <w:t xml:space="preserve">Struktur cabang/wilayah di atas menyatu langsung dengan cara Chart of Accounts (COA) dan laporan Neraca disusun pada sistem ini.</w:t>
      </w:r>
    </w:p>
    <w:p>
      <w:pPr>
        <w:pStyle w:val="ListParagraph"/>
        <w:numPr>
          <w:ilvl w:val="0"/>
          <w:numId w:val="2"/>
        </w:numPr>
        <w:spacing w:after="80"/>
      </w:pPr>
      <w:r>
        <w:rPr>
          <w:b/>
          <w:bCs/>
        </w:rPr>
        <w:t xml:space="preserve">Account (COA master)</w:t>
      </w:r>
      <w:r>
        <w:t xml:space="preserve"> — daftar akun standar bank (kode akun, nama akun, tipe akun), tanpa dimensi cabang.</w:t>
      </w:r>
    </w:p>
    <w:p>
      <w:pPr>
        <w:pStyle w:val="ListParagraph"/>
        <w:numPr>
          <w:ilvl w:val="0"/>
          <w:numId w:val="2"/>
        </w:numPr>
        <w:spacing w:after="80"/>
      </w:pPr>
      <w:r>
        <w:rPr>
          <w:b/>
          <w:bCs/>
        </w:rPr>
        <w:t xml:space="preserve">Account Instance</w:t>
      </w:r>
      <w:r>
        <w:t xml:space="preserve"> — setiap akun COA "diinstansiasi" per cabang dan mata uang (dibuat melalui proses generate instance per cabang); saldo &amp; posting GL (GL Account) menempel ke Account Instance ini, bukan ke Account master secara langsung. Artinya </w:t>
      </w:r>
      <w:r>
        <w:rPr>
          <w:b/>
          <w:bCs/>
        </w:rPr>
        <w:t xml:space="preserve">setiap cabang punya salinan instance akunnya sendiri</w:t>
      </w:r>
      <w:r>
        <w:t xml:space="preserve"> untuk setiap akun COA yang relevan.</w:t>
      </w:r>
    </w:p>
    <w:p>
      <w:pPr>
        <w:pStyle w:val="ListParagraph"/>
        <w:numPr>
          <w:ilvl w:val="0"/>
          <w:numId w:val="2"/>
        </w:numPr>
        <w:spacing w:after="80"/>
      </w:pPr>
      <w:r>
        <w:rPr>
          <w:b/>
          <w:bCs/>
        </w:rPr>
        <w:t xml:space="preserve">Neraca (Balance Sheet)</w:t>
      </w:r>
      <w:r>
        <w:t xml:space="preserve"> — dihasilkan dari laporan yang menggabungkan Account Instance dengan data Cabang (join berdasarkan kode cabang), dengan parameter cabang yang bersifat opsional — sehingga Neraca dapat ditampilkan </w:t>
      </w:r>
      <w:r>
        <w:rPr>
          <w:b/>
          <w:bCs/>
        </w:rPr>
        <w:t xml:space="preserve">per cabang</w:t>
      </w:r>
      <w:r>
        <w:t xml:space="preserve"> maupun </w:t>
      </w:r>
      <w:r>
        <w:rPr>
          <w:b/>
          <w:bCs/>
        </w:rPr>
        <w:t xml:space="preserve">konsolidasi seluruh bank</w:t>
      </w:r>
      <w:r>
        <w:t xml:space="preserve">.</w:t>
      </w:r>
    </w:p>
    <w:p>
      <w:pPr>
        <w:pStyle w:val="ListParagraph"/>
        <w:numPr>
          <w:ilvl w:val="0"/>
          <w:numId w:val="2"/>
        </w:numPr>
        <w:spacing w:after="80"/>
      </w:pPr>
      <w:r>
        <w:rPr>
          <w:b/>
          <w:bCs/>
        </w:rPr>
        <w:t xml:space="preserve">Wilayah bukan dimensi langsung pada GL</w:t>
      </w:r>
      <w:r>
        <w:t xml:space="preserve"> — tidak ada kolom kode wilayah pada tabel Account Instance/GL Account/posting jurnal. Agregasi Neraca per wilayah harus dilakukan secara tidak langsung: menjumlahkan Account Instance dari seluruh cabang yang berada di wilayah tersebut (via relasi Cabang → Area Cabang).</w:t>
      </w:r>
    </w:p>
    <w:p>
      <w:pPr>
        <w:pStyle w:val="ListParagraph"/>
        <w:numPr>
          <w:ilvl w:val="0"/>
          <w:numId w:val="2"/>
        </w:numPr>
        <w:spacing w:after="80"/>
      </w:pPr>
      <w:r>
        <w:rPr>
          <w:b/>
          <w:bCs/>
        </w:rPr>
        <w:t xml:space="preserve">Dimensi cost center pada posting jurnal</w:t>
      </w:r>
      <w:r>
        <w:t xml:space="preserve"> — setiap baris jurnal (JOURNALITEM) membawa "Kode RC" (Revenue-Cost Center, entity Project) sebagai dimensi biaya/pendapatan non-operasional, terpisah dari kode cabang. Kode RC inilah dimensi cost center yang formal pada COA/GL — berbeda dari kode departemen yang tersimpan di header JOURNAL (3.2), yang sifatnya administratif/audit (mencatat departemen user pemosting atau data transaksi eksternal) dan tidak terhubung ke struktur Account/Account Instance.</w:t>
      </w:r>
    </w:p>
    <w:p>
      <w:pPr>
        <w:pStyle w:val="Heading1"/>
        <w:spacing w:after="160" w:before="360"/>
      </w:pPr>
      <w:r>
        <w:t xml:space="preserve">4. Modul Accounting</w:t>
      </w:r>
    </w:p>
    <w:p>
      <w:pPr>
        <w:spacing w:after="160" w:line="300"/>
      </w:pPr>
      <w:r>
        <w:t xml:space="preserve">Modul Accounting adalah jantung pencatatan finansial IBANKCORE. Prinsip utamanya adalah double-entry bookkeeping — setiap transaksi selalu menghasilkan pasangan mutasi debit (DR) dan kredit (CR) yang seimbang.</w:t>
      </w:r>
    </w:p>
    <w:p>
      <w:pPr>
        <w:pStyle w:val="Heading2"/>
        <w:spacing w:after="120" w:before="260"/>
      </w:pPr>
      <w:r>
        <w:t xml:space="preserve">4.1 Struktur Pencatatan</w:t>
      </w:r>
    </w:p>
    <w:p>
      <w:pPr>
        <w:pStyle w:val="ListParagraph"/>
        <w:numPr>
          <w:ilvl w:val="0"/>
          <w:numId w:val="2"/>
        </w:numPr>
        <w:spacing w:after="80"/>
      </w:pPr>
      <w:r>
        <w:t xml:space="preserve">JOURNAL/JOURNALITEM — tabel inti buku besar (ledger) yang menyimpan baris mutasi (jurnal) untuk setiap transaksi, dengan pembedaan debit (DR) dan kredit (CR).</w:t>
      </w:r>
    </w:p>
    <w:p>
      <w:pPr>
        <w:pStyle w:val="ListParagraph"/>
        <w:numPr>
          <w:ilvl w:val="0"/>
          <w:numId w:val="2"/>
        </w:numPr>
        <w:spacing w:after="80"/>
      </w:pPr>
      <w:r>
        <w:t xml:space="preserve">dailybalancerekening — saldo harian per rekening, yang direkonsiliasi terhadap akumulasi mutasi debit/kredit dari tabel transaksi historis dan berjalan.</w:t>
      </w:r>
    </w:p>
    <w:p>
      <w:pPr>
        <w:pStyle w:val="ListParagraph"/>
        <w:numPr>
          <w:ilvl w:val="0"/>
          <w:numId w:val="2"/>
        </w:numPr>
        <w:spacing w:after="80"/>
      </w:pPr>
      <w:r>
        <w:t xml:space="preserve">Setiap transaksi bisnis (Setor Tunai, Pindah Buku, dsb.) pada akhirnya diterjemahkan menjadi satu atau lebih pasangan entri DR/CR yang tersimpan secara atomik.</w:t>
      </w:r>
    </w:p>
    <w:p>
      <w:pPr>
        <w:pStyle w:val="Heading2"/>
        <w:spacing w:after="120" w:before="260"/>
      </w:pPr>
      <w:r>
        <w:t xml:space="preserve">4.2 Alur Pencatatan Transaksi</w:t>
      </w:r>
    </w:p>
    <w:p>
      <w:pPr>
        <w:spacing w:after="80" w:before="200"/>
        <w:jc w:val="center"/>
      </w:pPr>
      <w:r>
        <w:drawing>
          <wp:inline distT="0" distB="0" distL="0" distR="0">
            <wp:extent cx="5334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19400"/>
                    </a:xfrm>
                    <a:prstGeom prst="rect">
                      <a:avLst/>
                    </a:prstGeom>
                  </pic:spPr>
                </pic:pic>
              </a:graphicData>
            </a:graphic>
          </wp:inline>
        </w:drawing>
      </w:r>
    </w:p>
    <w:p>
      <w:pPr>
        <w:spacing w:after="240"/>
        <w:jc w:val="center"/>
      </w:pPr>
      <w:r>
        <w:rPr>
          <w:i/>
          <w:iCs/>
          <w:color w:val="6B7280"/>
          <w:sz w:val="18"/>
          <w:szCs w:val="18"/>
        </w:rPr>
        <w:t xml:space="preserve">Gambar 4.1 — Alur pencatatan transaksi pada modul Accounting</w:t>
      </w:r>
    </w:p>
    <w:p>
      <w:pPr>
        <w:pStyle w:val="Heading2"/>
        <w:spacing w:after="120" w:before="260"/>
      </w:pPr>
      <w:r>
        <w:t xml:space="preserve">4.3 Feeder SAP</w:t>
      </w:r>
    </w:p>
    <w:p>
      <w:pPr>
        <w:spacing w:after="160" w:line="300"/>
      </w:pPr>
      <w:r>
        <w:t xml:space="preserve">Data akuntansi yang sudah tercatat pada modul Accounting diambil (pull) secara berkala oleh mekanisme Feeder SAP langsung dari basis data Core — bukan dikirim/dipublikasikan secara aktif oleh sistem Core — untuk kebutuhan konsolidasi keuangan pada level korporasi/holding (lihat Bagian 7.4 untuk detail integrasi).</w:t>
      </w:r>
    </w:p>
    <w:p>
      <w:pPr>
        <w:pStyle w:val="Heading2"/>
        <w:spacing w:after="120" w:before="260"/>
      </w:pPr>
      <w:r>
        <w:t xml:space="preserve">4.4 Audit &amp; Rekonsiliasi</w:t>
      </w:r>
    </w:p>
    <w:p>
      <w:pPr>
        <w:spacing w:after="160" w:line="300"/>
      </w:pPr>
      <w:r>
        <w:t xml:space="preserve">Karena berada dalam lingkungan yang diaudit, modul Accounting perlu mendukung: jejak audit (audit trail) yang lengkap, kemampuan rekonsiliasi saldo (membandingkan saldo tersimpan vs. hasil rekonstruksi dari mutasi), dan deteksi anomali seperti duplikasi transaksi.</w:t>
      </w:r>
    </w:p>
    <w:p>
      <w:pPr>
        <w:pStyle w:val="Heading1"/>
        <w:spacing w:after="160" w:before="360"/>
      </w:pPr>
      <w:r>
        <w:t xml:space="preserve">5. Modul Funding</w:t>
      </w:r>
    </w:p>
    <w:p>
      <w:pPr>
        <w:spacing w:after="160" w:line="300"/>
      </w:pPr>
      <w:r>
        <w:t xml:space="preserve">Modul Funding mengelola produk-produk pendanaan/simpanan nasabah — misalnya tabungan, giro, dan deposito. Modul ini menjadi sumber utama dana pihak ketiga (DPK) bank.</w:t>
      </w:r>
    </w:p>
    <w:p>
      <w:pPr>
        <w:pStyle w:val="Heading2"/>
        <w:spacing w:after="120" w:before="260"/>
      </w:pPr>
      <w:r>
        <w:t xml:space="preserve">5.1 Cakupan Fungsional</w:t>
      </w:r>
    </w:p>
    <w:p>
      <w:pPr>
        <w:pStyle w:val="ListParagraph"/>
        <w:numPr>
          <w:ilvl w:val="0"/>
          <w:numId w:val="2"/>
        </w:numPr>
        <w:spacing w:after="80"/>
      </w:pPr>
      <w:r>
        <w:t xml:space="preserve">Pembukaan dan pemeliharaan rekening simpanan.</w:t>
      </w:r>
    </w:p>
    <w:p>
      <w:pPr>
        <w:pStyle w:val="ListParagraph"/>
        <w:numPr>
          <w:ilvl w:val="0"/>
          <w:numId w:val="2"/>
        </w:numPr>
        <w:spacing w:after="80"/>
      </w:pPr>
      <w:r>
        <w:t xml:space="preserve">Perhitungan bagi hasil/bunga sesuai jenis produk (konvensional maupun syariah).</w:t>
      </w:r>
    </w:p>
    <w:p>
      <w:pPr>
        <w:pStyle w:val="ListParagraph"/>
        <w:numPr>
          <w:ilvl w:val="0"/>
          <w:numId w:val="2"/>
        </w:numPr>
        <w:spacing w:after="80"/>
      </w:pPr>
      <w:r>
        <w:t xml:space="preserve">Integrasi dengan modul Accounting untuk pencatatan mutasi rekening (setoran, penarikan, pemindahbukuan).</w:t>
      </w:r>
    </w:p>
    <w:p>
      <w:pPr>
        <w:pStyle w:val="ListParagraph"/>
        <w:numPr>
          <w:ilvl w:val="0"/>
          <w:numId w:val="2"/>
        </w:numPr>
        <w:spacing w:after="80"/>
      </w:pPr>
      <w:r>
        <w:t xml:space="preserve">Integrasi dengan modul Customer untuk validasi identitas dan profil nasabah.</w:t>
      </w:r>
    </w:p>
    <w:p>
      <w:pPr>
        <w:pStyle w:val="Heading2"/>
        <w:spacing w:after="120" w:before="260"/>
      </w:pPr>
      <w:r>
        <w:t xml:space="preserve">5.2 Keterkaitan dengan Modul Lain</w:t>
      </w:r>
    </w:p>
    <w:p>
      <w:pPr>
        <w:spacing w:after="160" w:line="300"/>
      </w:pPr>
      <w:r>
        <w:t xml:space="preserve">Setiap transaksi pada rekening Funding (misalnya Setor Tunai) akan memicu pencatatan pada modul Accounting (DR/CR) dan, bila melibatkan kas fisik, berinteraksi dengan modul Kas &amp; Vault melalui abstraksi CASH_POINT.</w:t>
      </w:r>
    </w:p>
    <w:p>
      <w:pPr>
        <w:pStyle w:val="Heading2"/>
        <w:spacing w:after="120" w:before="260"/>
      </w:pPr>
      <w:r>
        <w:t xml:space="preserve">5.3 Produk Deposito</w:t>
      </w:r>
    </w:p>
    <w:p>
      <w:pPr>
        <w:spacing w:after="160" w:line="300"/>
      </w:pPr>
      <w:r>
        <w:t xml:space="preserve">Deposito adalah salah satu produk Funding dengan karakteristik jangka waktu dan perhitungan bagi hasil/bunga tersendiri, mencakup beberapa proses khusus.</w:t>
      </w:r>
    </w:p>
    <w:p>
      <w:pPr>
        <w:pStyle w:val="ListParagraph"/>
        <w:numPr>
          <w:ilvl w:val="0"/>
          <w:numId w:val="2"/>
        </w:numPr>
        <w:spacing w:after="80"/>
      </w:pPr>
      <w:r>
        <w:rPr>
          <w:b/>
          <w:bCs/>
        </w:rPr>
        <w:t xml:space="preserve">Perhitungan bunga/bagi hasil</w:t>
      </w:r>
      <w:r>
        <w:t xml:space="preserve"> — dihitung berdasarkan nominal, jangka waktu, dan nisbah/suku bunga yang berlaku pada saat pembukaan atau perpanjangan deposito.</w:t>
      </w:r>
    </w:p>
    <w:p>
      <w:pPr>
        <w:pStyle w:val="ListParagraph"/>
        <w:numPr>
          <w:ilvl w:val="0"/>
          <w:numId w:val="2"/>
        </w:numPr>
        <w:spacing w:after="80"/>
      </w:pPr>
      <w:r>
        <w:rPr>
          <w:b/>
          <w:bCs/>
        </w:rPr>
        <w:t xml:space="preserve">Pencairan awal (premature withdrawal)</w:t>
      </w:r>
      <w:r>
        <w:t xml:space="preserve"> — pencairan sebelum jatuh tempo, umumnya dikenakan penalti atau penyesuaian bagi hasil sesuai kebijakan bank.</w:t>
      </w:r>
    </w:p>
    <w:p>
      <w:pPr>
        <w:pStyle w:val="ListParagraph"/>
        <w:numPr>
          <w:ilvl w:val="0"/>
          <w:numId w:val="2"/>
        </w:numPr>
        <w:spacing w:after="80"/>
      </w:pPr>
      <w:r>
        <w:rPr>
          <w:b/>
          <w:bCs/>
        </w:rPr>
        <w:t xml:space="preserve">Perubahan nisbah</w:t>
      </w:r>
      <w:r>
        <w:t xml:space="preserve"> — penyesuaian porsi bagi hasil (untuk produk syariah) yang dapat berlaku pada perpanjangan otomatis (roll-over) deposito.</w:t>
      </w:r>
    </w:p>
    <w:p>
      <w:pPr>
        <w:pStyle w:val="Heading1"/>
        <w:spacing w:after="160" w:before="360"/>
      </w:pPr>
      <w:r>
        <w:t xml:space="preserve">6. Modul Treasury / Kas &amp; Vault (Teller/ATM)</w:t>
      </w:r>
    </w:p>
    <w:p>
      <w:pPr>
        <w:spacing w:after="160" w:line="300"/>
      </w:pPr>
      <w:r>
        <w:t xml:space="preserve">Modul Kas &amp; Vault mengelola pergerakan kas fisik dan likuiditas bank, termasuk kas teller, vault (khazanah), ATM, dan rekening sundry.</w:t>
      </w:r>
    </w:p>
    <w:p>
      <w:pPr>
        <w:spacing w:after="160" w:line="300"/>
      </w:pPr>
      <w:r>
        <w:t xml:space="preserve">&gt; </w:t>
      </w:r>
      <w:r>
        <w:rPr>
          <w:b/>
          <w:bCs/>
        </w:rPr>
        <w:t xml:space="preserve">Catatan istilah</w:t>
      </w:r>
      <w:r>
        <w:t xml:space="preserve">: modul ini berbeda dengan istilah industri "Cash Management System (CMS)", yang umumnya merujuk pada portal/aplikasi web bagi nasabah korporat (CIF) untuk kebutuhan pembayaran massal, koleksi, dan monitoring likuiditas multi-rekening. Modul yang dibahas di sini secara spesifik menangani manajemen kas fisik internal cabang (laci teller, vault, ATM, sundry), bukan kanal digital nasabah korporat.</w:t>
      </w:r>
    </w:p>
    <w:p>
      <w:pPr>
        <w:pStyle w:val="Heading2"/>
        <w:spacing w:after="120" w:before="260"/>
      </w:pPr>
      <w:r>
        <w:t xml:space="preserve">6.1 Abstraksi CASH_POINT</w:t>
      </w:r>
    </w:p>
    <w:p>
      <w:pPr>
        <w:spacing w:after="160" w:line="300"/>
      </w:pPr>
      <w:r>
        <w:t xml:space="preserve">CASH_POINT adalah abstraksi yang menyeragamkan berbagai titik penyimpanan/perputaran kas — baik itu laci teller, vault cabang, mesin ATM, maupun rekening sundry — sehingga logika pengelolaan saldo kas dapat digeneralisasi lintas titik tersebut.</w:t>
      </w:r>
    </w:p>
    <w:p>
      <w:pPr>
        <w:pStyle w:val="Heading2"/>
        <w:spacing w:after="120" w:before="260"/>
      </w:pPr>
      <w:r>
        <w:t xml:space="preserve">6.2 Fungsi Treasury</w:t>
      </w:r>
    </w:p>
    <w:p>
      <w:pPr>
        <w:pStyle w:val="ListParagraph"/>
        <w:numPr>
          <w:ilvl w:val="0"/>
          <w:numId w:val="2"/>
        </w:numPr>
        <w:spacing w:after="80"/>
      </w:pPr>
      <w:r>
        <w:t xml:space="preserve">Pengelolaan likuiditas harian dan posisi kas bank.</w:t>
      </w:r>
    </w:p>
    <w:p>
      <w:pPr>
        <w:pStyle w:val="ListParagraph"/>
        <w:numPr>
          <w:ilvl w:val="0"/>
          <w:numId w:val="2"/>
        </w:numPr>
        <w:spacing w:after="80"/>
      </w:pPr>
      <w:r>
        <w:t xml:space="preserve">Rekonsiliasi kas fisik terhadap catatan sistem.</w:t>
      </w:r>
    </w:p>
    <w:p>
      <w:pPr>
        <w:spacing w:after="80" w:before="200"/>
        <w:jc w:val="center"/>
      </w:pPr>
      <w:r>
        <w:drawing>
          <wp:inline distT="0" distB="0" distL="0" distR="0">
            <wp:extent cx="5334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05175"/>
                    </a:xfrm>
                    <a:prstGeom prst="rect">
                      <a:avLst/>
                    </a:prstGeom>
                  </pic:spPr>
                </pic:pic>
              </a:graphicData>
            </a:graphic>
          </wp:inline>
        </w:drawing>
      </w:r>
    </w:p>
    <w:p>
      <w:pPr>
        <w:spacing w:after="240"/>
        <w:jc w:val="center"/>
      </w:pPr>
      <w:r>
        <w:rPr>
          <w:i/>
          <w:iCs/>
          <w:color w:val="6B7280"/>
          <w:sz w:val="18"/>
          <w:szCs w:val="18"/>
        </w:rPr>
        <w:t xml:space="preserve">Gambar 6.1 — Integrasi Kas &amp; Vault &amp; Treasury dengan sistem sekitar</w:t>
      </w:r>
    </w:p>
    <w:p>
      <w:pPr>
        <w:pStyle w:val="Heading2"/>
        <w:spacing w:after="120" w:before="260"/>
      </w:pPr>
      <w:r>
        <w:t xml:space="preserve">6.3 Modul Teller &amp; Layanan Counter</w:t>
      </w:r>
    </w:p>
    <w:p>
      <w:pPr>
        <w:spacing w:after="160" w:line="300"/>
      </w:pPr>
      <w:r>
        <w:t xml:space="preserve">Modul Teller/Layanan Counter merepresentasikan alur transaksi front office di cabang — titik interaksi langsung antara nasabah dan sistem melalui CASH_POINT laci teller.</w:t>
      </w:r>
    </w:p>
    <w:p>
      <w:pPr>
        <w:pStyle w:val="ListParagraph"/>
        <w:numPr>
          <w:ilvl w:val="0"/>
          <w:numId w:val="2"/>
        </w:numPr>
        <w:spacing w:after="80"/>
      </w:pPr>
      <w:r>
        <w:t xml:space="preserve">Mendukung ragam transaksi counter (setor, tarik, pemindahbukuan, layanan lain) dalam satu alur kerja teller yang konsisten.</w:t>
      </w:r>
    </w:p>
    <w:p>
      <w:pPr>
        <w:pStyle w:val="ListParagraph"/>
        <w:numPr>
          <w:ilvl w:val="0"/>
          <w:numId w:val="2"/>
        </w:numPr>
        <w:spacing w:after="80"/>
      </w:pPr>
      <w:r>
        <w:t xml:space="preserve">Setiap transaksi teller tervalidasi terhadap saldo kas fisik pada CASH_POINT terkait sebelum dicatat ke modul Accounting.</w:t>
      </w:r>
    </w:p>
    <w:p>
      <w:pPr>
        <w:pStyle w:val="ListParagraph"/>
        <w:numPr>
          <w:ilvl w:val="0"/>
          <w:numId w:val="2"/>
        </w:numPr>
        <w:spacing w:after="80"/>
      </w:pPr>
      <w:r>
        <w:t xml:space="preserve">Menjadi titik awal (entry point) paling umum bagi sebagian besar contoh proses bisnis (lihat Bagian 8).</w:t>
      </w:r>
    </w:p>
    <w:p>
      <w:pPr>
        <w:pStyle w:val="Heading1"/>
        <w:spacing w:after="160" w:before="360"/>
      </w:pPr>
      <w:r>
        <w:t xml:space="preserve">7. Interaksi dengan Aplikasi &amp; Sistem Sekitar</w:t>
      </w:r>
    </w:p>
    <w:p>
      <w:pPr>
        <w:pStyle w:val="Heading2"/>
        <w:spacing w:after="120" w:before="260"/>
      </w:pPr>
      <w:r>
        <w:t xml:space="preserve">7.1 Pelaporan Regulator &amp; Audit Eksternal</w:t>
      </w:r>
    </w:p>
    <w:p>
      <w:pPr>
        <w:spacing w:after="160" w:line="300"/>
      </w:pPr>
      <w:r>
        <w:t xml:space="preserve">Sebagai entitas yang diawasi OJK dan BI, IBANKCORE perlu mendukung pelaporan berkala (mis. laporan keuangan, laporan transaksi, laporan kepatuhan) serta menyediakan jejak data yang dapat ditelusuri untuk kebutuhan audit eksternal.</w:t>
      </w:r>
    </w:p>
    <w:p>
      <w:pPr>
        <w:pStyle w:val="Heading2"/>
        <w:spacing w:after="120" w:before="260"/>
      </w:pPr>
      <w:r>
        <w:t xml:space="preserve">7.2 QRIS &amp; Virtual Account</w:t>
      </w:r>
    </w:p>
    <w:p>
      <w:pPr>
        <w:pStyle w:val="ListParagraph"/>
        <w:numPr>
          <w:ilvl w:val="0"/>
          <w:numId w:val="2"/>
        </w:numPr>
        <w:spacing w:after="80"/>
      </w:pPr>
      <w:r>
        <w:rPr>
          <w:b/>
          <w:bCs/>
        </w:rPr>
        <w:t xml:space="preserve">QRIS</w:t>
      </w:r>
      <w:r>
        <w:t xml:space="preserve"> — kanal pembayaran berbasis kode QR standar nasional; transaksi QRIS masuk melalui integrasi channel pihak ketiga dan diselesaikan (settlement) ke rekening tujuan melalui proses tersendiri. Pemrosesan QRIS ditangani oleh service `jalin` pada aplikasi switching-cgs (Bagian 2.5), dengan pola akses langsung ke database Core yang sama seperti switching pembayaran lainnya.</w:t>
      </w:r>
    </w:p>
    <w:p>
      <w:pPr>
        <w:pStyle w:val="ListParagraph"/>
        <w:numPr>
          <w:ilvl w:val="0"/>
          <w:numId w:val="2"/>
        </w:numPr>
        <w:spacing w:after="80"/>
      </w:pPr>
      <w:r>
        <w:rPr>
          <w:b/>
          <w:bCs/>
        </w:rPr>
        <w:t xml:space="preserve">Virtual Account (VA)</w:t>
      </w:r>
      <w:r>
        <w:t xml:space="preserve"> — nomor rekening virtual yang dipetakan ke rekening nasabah/tujuan sebenarnya, umumnya dipakai untuk penagihan (billing) atau penerimaan pembayaran; pencocokan (matching) pembayaran VA dilakukan secara terjadwal (batch).</w:t>
      </w:r>
    </w:p>
    <w:p>
      <w:pPr>
        <w:pStyle w:val="ListParagraph"/>
        <w:numPr>
          <w:ilvl w:val="0"/>
          <w:numId w:val="2"/>
        </w:numPr>
        <w:spacing w:after="80"/>
      </w:pPr>
      <w:r>
        <w:rPr>
          <w:b/>
          <w:bCs/>
        </w:rPr>
        <w:t xml:space="preserve">Rekonsiliasi QRIS</w:t>
      </w:r>
      <w:r>
        <w:t xml:space="preserve"> — proses pencocokan data transaksi QRIS sisi Core terhadap data dari Jalin, dijalankan di sisi aplikasi `core` (bukan switching-cgs). Mekanismenya: user meng-upload file teks dari Jalin (format pipe-delimited berisi RRN, tanggal, amount, response code) melalui dialog rekonsiliasi; setiap baris dicocokkan ke tabel transaksi QRIS berdasarkan kombinasi RRN + tanggal transaksi + amount + tipe + settle ID — jika cocok, status transaksi ditandai "sudah direkonsiliasi &amp; cocok di kedua sisi"; jika tidak ditemukan pasangannya di sisi Core, dicatat sebagai "hanya ada di sisi Jalin" (indikasi selisih). Hasil akhirnya berupa laporan Excel rekap per hari (total transaksi, total cocok, total nominal berhasil). Proses ini bersifat </w:t>
      </w:r>
      <w:r>
        <w:rPr>
          <w:b/>
          <w:bCs/>
        </w:rPr>
        <w:t xml:space="preserve">manual/on-demand</w:t>
      </w:r>
      <w:r>
        <w:t xml:space="preserve"> (dipicu upload user), bukan job terjadwal otomatis.</w:t>
      </w:r>
    </w:p>
    <w:p>
      <w:pPr>
        <w:pStyle w:val="Heading2"/>
        <w:spacing w:after="120" w:before="260"/>
      </w:pPr>
      <w:r>
        <w:t xml:space="preserve">7.3 Host-to-Host &amp; REST API</w:t>
      </w:r>
    </w:p>
    <w:p>
      <w:pPr>
        <w:spacing w:after="160" w:line="300"/>
      </w:pPr>
      <w:r>
        <w:t xml:space="preserve">Selain kanal konvensional, IBANKCORE menyediakan integrasi host-to-host serta REST API bagi sistem eksternal (mis. aplikasi mitra, agregator pembayaran) untuk memicu transaksi maupun menarik data secara terprogram, mengikuti kontrak/format pesan yang telah disepakati (request/response berbasis JSON).</w:t>
      </w:r>
    </w:p>
    <w:p>
      <w:pPr>
        <w:pStyle w:val="Heading2"/>
        <w:spacing w:after="120" w:before="260"/>
      </w:pPr>
      <w:r>
        <w:t xml:space="preserve">7.4 Feeder SAP (Integrasi Akuntansi Eksternal)</w:t>
      </w:r>
    </w:p>
    <w:p>
      <w:pPr>
        <w:spacing w:after="160" w:line="300"/>
      </w:pPr>
      <w:r>
        <w:t xml:space="preserve">Untuk kebutuhan konsolidasi keuangan pada level korporasi/holding, posting akuntansi diambil (pull) secara batch oleh mekanisme Feeder SAP langsung dari basis data Core, sebagai pelengkap pencatatan GL internal pada modul Accounting. Pendekatan ini berbeda dari pola push/event-driven — sistem Core tidak secara aktif mengirim data, melainkan Feeder SAP yang menjalankan proses ekstraksi terjadwal terhadap database.</w:t>
      </w:r>
    </w:p>
    <w:p>
      <w:pPr>
        <w:pStyle w:val="Heading2"/>
        <w:spacing w:after="120" w:before="260"/>
      </w:pPr>
      <w:r>
        <w:t xml:space="preserve">7.5 Payment Switching</w:t>
      </w:r>
    </w:p>
    <w:p>
      <w:pPr>
        <w:spacing w:after="160" w:line="300"/>
      </w:pPr>
      <w:r>
        <w:t xml:space="preserve">Payment Switching (switching pembayaran antar kanal/ATM-EDC) ditangani oleh aplikasi switching-cgs (Bagian 2.5) dan memiliki </w:t>
      </w:r>
      <w:r>
        <w:rPr>
          <w:b/>
          <w:bCs/>
        </w:rPr>
        <w:t xml:space="preserve">akses langsung ke basis data Core</w:t>
      </w:r>
      <w:r>
        <w:t xml:space="preserve"> — bukan melalui lapisan aplikasi/API seperti kanal-kanal lain (host-to-host, REST API di atas). Ini merupakan konfigurasi pada level infrastruktur/database (mis. database link), bukan bagian dari kode aplikasi Core itu sendiri.</w:t>
      </w:r>
    </w:p>
    <w:p>
      <w:pPr>
        <w:spacing w:after="160" w:line="300"/>
      </w:pPr>
      <w:r>
        <w:t xml:space="preserve">&gt; </w:t>
      </w:r>
      <w:r>
        <w:rPr>
          <w:b/>
          <w:bCs/>
        </w:rPr>
        <w:t xml:space="preserve">Catatan</w:t>
      </w:r>
      <w:r>
        <w:t xml:space="preserve">: pola integrasi ini serupa dengan Feeder SAP (akses langsung ke database, bukan lewat API), namun perlu diperlakukan dengan perhatian ekstra dari sisi keamanan &amp; tata kelola data karena melewati lapisan validasi aplikasi Core — perubahan skema database di masa depan berpotensi berdampak langsung ke switching tanpa melalui kontrak API yang terversi.</w:t>
      </w:r>
    </w:p>
    <w:p>
      <w:pPr>
        <w:pStyle w:val="Heading2"/>
        <w:spacing w:after="120" w:before="260"/>
      </w:pPr>
      <w:r>
        <w:t xml:space="preserve">7.6 Sistem Sekitar Khusus PT Pos: PGC &amp; CMS</w:t>
      </w:r>
    </w:p>
    <w:p>
      <w:pPr>
        <w:spacing w:after="160" w:line="300"/>
      </w:pPr>
      <w:r>
        <w:t xml:space="preserve">Di luar sistem sekitar generik yang telah dibahas, deployment PT Pos memiliki dua interaksi tambahan yang khas dengan perannya sebagai agen penyalur dana bantuan/tunai.</w:t>
      </w:r>
    </w:p>
    <w:p>
      <w:pPr>
        <w:spacing w:after="160" w:line="300"/>
      </w:pPr>
      <w:r>
        <w:t xml:space="preserve">&gt; </w:t>
      </w:r>
      <w:r>
        <w:rPr>
          <w:b/>
          <w:bCs/>
        </w:rPr>
        <w:t xml:space="preserve">Catatan</w:t>
      </w:r>
      <w:r>
        <w:t xml:space="preserve">: bagian ini disusun berdasarkan konfirmasi bisnis langsung — modul PGC dan CMS tidak ditemukan pada eksplorasi source code `core`/`enterprise` yang tersedia untuk sesi ini, sehingga detail implementasinya belum terverifikasi ke kode.</w:t>
      </w:r>
    </w:p>
    <w:p>
      <w:pPr>
        <w:pStyle w:val="ListParagraph"/>
        <w:numPr>
          <w:ilvl w:val="0"/>
          <w:numId w:val="2"/>
        </w:numPr>
        <w:spacing w:after="80"/>
      </w:pPr>
      <w:r>
        <w:rPr>
          <w:b/>
          <w:bCs/>
        </w:rPr>
        <w:t xml:space="preserve">CMS (Cash Management System)</w:t>
      </w:r>
      <w:r>
        <w:t xml:space="preserve"> — portal digital bagi nasabah korporat/institusi (termasuk instansi pemerintah/himbara penyalur PGC) untuk mengirim instruksi pembayaran/penyaluran massal (bulk disbursement) serta memantau statusnya, tanpa transaksi manual satu per satu di cabang. CMS ini </w:t>
      </w:r>
      <w:r>
        <w:rPr>
          <w:b/>
          <w:bCs/>
        </w:rPr>
        <w:t xml:space="preserve">berbeda</w:t>
      </w:r>
      <w:r>
        <w:t xml:space="preserve"> dari modul internal "Kas &amp; Vault" (Bagian 6) — CMS adalah kanal digital eksternal untuk institusi, bukan pengelolaan kas fisik cabang.</w:t>
      </w:r>
    </w:p>
    <w:p>
      <w:pPr>
        <w:pStyle w:val="ListParagraph"/>
        <w:numPr>
          <w:ilvl w:val="0"/>
          <w:numId w:val="2"/>
        </w:numPr>
        <w:spacing w:after="80"/>
      </w:pPr>
      <w:r>
        <w:rPr>
          <w:b/>
          <w:bCs/>
        </w:rPr>
        <w:t xml:space="preserve">PGC (Pos Giro Cash)</w:t>
      </w:r>
      <w:r>
        <w:t xml:space="preserve"> — PT Pos bertindak sebagai agen penyalur dana bantuan/tunai (mis. bantuan sosial pemerintah) ke penerima manfaat. Instruksi penyaluran diterima dari instansi pemerintah/himbara (via CMS), lalu direalisasikan melalui salah satu kanal PT Pos: loket/counter (tunai), QRIS (non-tunai), atau kredit ke rekening tabungan penerima — tergantung metode pencairan yang ditetapkan program PGC terkait.</w:t>
      </w:r>
    </w:p>
    <w:p>
      <w:pPr>
        <w:spacing w:after="80" w:before="200"/>
        <w:jc w:val="center"/>
      </w:pPr>
      <w:r>
        <w:drawing>
          <wp:inline distT="0" distB="0" distL="0" distR="0">
            <wp:extent cx="5334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81325"/>
                    </a:xfrm>
                    <a:prstGeom prst="rect">
                      <a:avLst/>
                    </a:prstGeom>
                  </pic:spPr>
                </pic:pic>
              </a:graphicData>
            </a:graphic>
          </wp:inline>
        </w:drawing>
      </w:r>
    </w:p>
    <w:p>
      <w:pPr>
        <w:spacing w:after="240"/>
        <w:jc w:val="center"/>
      </w:pPr>
      <w:r>
        <w:rPr>
          <w:i/>
          <w:iCs/>
          <w:color w:val="6B7280"/>
          <w:sz w:val="18"/>
          <w:szCs w:val="18"/>
        </w:rPr>
        <w:t xml:space="preserve">Gambar 7.1 — Sistem Sekitar Khusus PT Pos: PGC &amp; CMS</w:t>
      </w:r>
    </w:p>
    <w:p>
      <w:pPr>
        <w:pStyle w:val="Heading2"/>
        <w:spacing w:after="120" w:before="260"/>
      </w:pPr>
      <w:r>
        <w:t xml:space="preserve">7.7 Verifikasi Identitas &amp; OTP: API KTP dan SMS API</w:t>
      </w:r>
    </w:p>
    <w:p>
      <w:pPr>
        <w:spacing w:after="160" w:line="300"/>
      </w:pPr>
      <w:r>
        <w:t xml:space="preserve">Aplikasi switching juga terhubung ke dua sistem verifikasi tambahan yang mendukung proses transaksi/layanan nasabah:</w:t>
      </w:r>
    </w:p>
    <w:p>
      <w:pPr>
        <w:pStyle w:val="ListParagraph"/>
        <w:numPr>
          <w:ilvl w:val="0"/>
          <w:numId w:val="2"/>
        </w:numPr>
        <w:spacing w:after="80"/>
      </w:pPr>
      <w:r>
        <w:rPr>
          <w:b/>
          <w:bCs/>
        </w:rPr>
        <w:t xml:space="preserve">API KTP</w:t>
      </w:r>
      <w:r>
        <w:t xml:space="preserve"> — layanan verifikasi identitas nasabah (validasi data kependudukan) yang dipanggil oleh aplikasi switching saat diperlukan, mis. pada proses yang mensyaratkan pengecekan identitas.</w:t>
      </w:r>
    </w:p>
    <w:p>
      <w:pPr>
        <w:pStyle w:val="ListParagraph"/>
        <w:numPr>
          <w:ilvl w:val="0"/>
          <w:numId w:val="2"/>
        </w:numPr>
        <w:spacing w:after="80"/>
      </w:pPr>
      <w:r>
        <w:rPr>
          <w:b/>
          <w:bCs/>
        </w:rPr>
        <w:t xml:space="preserve">SMS API</w:t>
      </w:r>
      <w:r>
        <w:t xml:space="preserve"> — layanan pengiriman SMS untuk kebutuhan One-Time Password (OTP), mendukung proses otentikasi transaksi yang memerlukan verifikasi tambahan di luar PIN.</w:t>
      </w:r>
    </w:p>
    <w:p>
      <w:pPr>
        <w:spacing w:after="160" w:line="300"/>
      </w:pPr>
      <w:r>
        <w:t xml:space="preserve">Kedua integrasi ini ditemukan pada konfigurasi aplikasi switching, melengkapi gambaran sistem sekitar yang berinteraksi dengan ekosistem IBANKCORE di PT Pos.</w:t>
      </w:r>
    </w:p>
    <w:p>
      <w:pPr>
        <w:pStyle w:val="Heading1"/>
        <w:spacing w:after="160" w:before="360"/>
      </w:pPr>
      <w:r>
        <w:t xml:space="preserve">8. Contoh Proses Bisnis</w:t>
      </w:r>
    </w:p>
    <w:p>
      <w:pPr>
        <w:pStyle w:val="Heading2"/>
        <w:spacing w:after="120" w:before="260"/>
      </w:pPr>
      <w:r>
        <w:t xml:space="preserve">8.1 Setor Tunai</w:t>
      </w:r>
    </w:p>
    <w:p>
      <w:pPr>
        <w:spacing w:after="160" w:line="300"/>
      </w:pPr>
      <w:r>
        <w:t xml:space="preserve">Proses Setor Tunai melibatkan nasabah, teller, modul core (validasi &amp; pencatatan), hingga modul Accounting/Ledger untuk pembaruan saldo. Diagram berikut menggambarkan alur lintas fungsi secara sederhana.</w:t>
      </w:r>
    </w:p>
    <w:p>
      <w:pPr>
        <w:spacing w:after="80" w:before="200"/>
        <w:jc w:val="center"/>
      </w:pPr>
      <w:r>
        <w:drawing>
          <wp:inline distT="0" distB="0" distL="0" distR="0">
            <wp:extent cx="5334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876550"/>
                    </a:xfrm>
                    <a:prstGeom prst="rect">
                      <a:avLst/>
                    </a:prstGeom>
                  </pic:spPr>
                </pic:pic>
              </a:graphicData>
            </a:graphic>
          </wp:inline>
        </w:drawing>
      </w:r>
    </w:p>
    <w:p>
      <w:pPr>
        <w:spacing w:after="240"/>
        <w:jc w:val="center"/>
      </w:pPr>
      <w:r>
        <w:rPr>
          <w:i/>
          <w:iCs/>
          <w:color w:val="6B7280"/>
          <w:sz w:val="18"/>
          <w:szCs w:val="18"/>
        </w:rPr>
        <w:t xml:space="preserve">Gambar 8.1 — Alur proses Setor Tunai (simplified swimlane)</w:t>
      </w:r>
    </w:p>
    <w:p>
      <w:pPr>
        <w:pStyle w:val="Heading2"/>
        <w:spacing w:after="120" w:before="260"/>
      </w:pPr>
      <w:r>
        <w:t xml:space="preserve">8.2 Pindah Buku</w:t>
      </w:r>
    </w:p>
    <w:p>
      <w:pPr>
        <w:spacing w:after="160" w:line="300"/>
      </w:pPr>
      <w:r>
        <w:t xml:space="preserve">Pindah Buku (transfer antar rekening dalam bank yang sama) mengikuti pola serupa dengan Setor Tunai, namun tanpa melibatkan kas fisik — mutasi DR terjadi pada rekening sumber dan mutasi CR pada rekening tujuan secara bersamaan (atomik), tanpa keterlibatan modul Kas &amp; Vault.</w:t>
      </w:r>
    </w:p>
    <w:p>
      <w:pPr>
        <w:pStyle w:val="Heading1"/>
        <w:spacing w:after="160" w:before="360"/>
      </w:pPr>
      <w:r>
        <w:t xml:space="preserve">9. Produk &amp; Layanan Tambahan</w:t>
      </w:r>
    </w:p>
    <w:p>
      <w:pPr>
        <w:spacing w:after="160" w:line="300"/>
      </w:pPr>
      <w:r>
        <w:t xml:space="preserve">Selain modul-modul inti (Bagian 3-8), IBANKCORE mendukung sejumlah produk dan layanan tambahan yang memperluas cakupan bisnis bank.</w:t>
      </w:r>
    </w:p>
    <w:p>
      <w:pPr>
        <w:pStyle w:val="Heading2"/>
        <w:spacing w:after="120" w:before="260"/>
      </w:pPr>
      <w:r>
        <w:t xml:space="preserve">9.1 Corporate Banking</w:t>
      </w:r>
    </w:p>
    <w:p>
      <w:pPr>
        <w:spacing w:after="160" w:line="300"/>
      </w:pPr>
      <w:r>
        <w:t xml:space="preserve">Layanan khusus untuk nasabah korporat — mencakup parameter dan fitur yang berbeda dari nasabah ritel, seperti otorisasi transaksi bertingkat sesuai struktur kewenangan perusahaan nasabah.</w:t>
      </w:r>
    </w:p>
    <w:p>
      <w:pPr>
        <w:pStyle w:val="Heading2"/>
        <w:spacing w:after="120" w:before="260"/>
      </w:pPr>
      <w:r>
        <w:t xml:space="preserve">9.2 Manajemen Rekening &amp; Nasabah (CIF)</w:t>
      </w:r>
    </w:p>
    <w:p>
      <w:pPr>
        <w:spacing w:after="160" w:line="300"/>
      </w:pPr>
      <w:r>
        <w:t xml:space="preserve">Modul ini menangani siklus hidup data nasabah dan rekening — mulai dari pembukaan Customer Information File (CIF), pembukaan rekening, pemeliharaan data, hingga penutupan rekening — dan menjadi rujukan identitas/profil yang divalidasi oleh modul Funding saat transaksi terjadi.</w:t>
      </w:r>
    </w:p>
    <w:p>
      <w:pPr>
        <w:pStyle w:val="Heading2"/>
        <w:spacing w:after="120" w:before="260"/>
      </w:pPr>
      <w:r>
        <w:t xml:space="preserve">9.3 Biller</w:t>
      </w:r>
    </w:p>
    <w:p>
      <w:pPr>
        <w:spacing w:after="160" w:line="300"/>
      </w:pPr>
      <w:r>
        <w:t xml:space="preserve">Integrasi pembayaran tagihan pihak ketiga (listrik, telekomunikasi, dan sejenisnya) melalui antarmuka biller tersendiri.</w:t>
      </w:r>
    </w:p>
    <w:p>
      <w:pPr>
        <w:pStyle w:val="Heading1"/>
        <w:spacing w:after="160" w:before="360"/>
      </w:pPr>
      <w:r>
        <w:t xml:space="preserve">10. Operasional Batch &amp; Kontinuitas Layanan</w:t>
      </w:r>
    </w:p>
    <w:p>
      <w:pPr>
        <w:pStyle w:val="Heading2"/>
        <w:spacing w:after="120" w:before="260"/>
      </w:pPr>
      <w:r>
        <w:t xml:space="preserve">10.1 Batch Process &amp; EOD/BOD</w:t>
      </w:r>
    </w:p>
    <w:p>
      <w:pPr>
        <w:spacing w:after="160" w:line="300"/>
      </w:pPr>
      <w:r>
        <w:t xml:space="preserve">Operasional cabang mengikuti siklus harian yang dikelola melalui proses batch:</w:t>
      </w:r>
    </w:p>
    <w:p>
      <w:pPr>
        <w:pStyle w:val="ListParagraph"/>
        <w:numPr>
          <w:ilvl w:val="0"/>
          <w:numId w:val="2"/>
        </w:numPr>
        <w:spacing w:after="80"/>
      </w:pPr>
      <w:r>
        <w:rPr>
          <w:b/>
          <w:bCs/>
        </w:rPr>
        <w:t xml:space="preserve">End-of-Day (EOD)</w:t>
      </w:r>
      <w:r>
        <w:t xml:space="preserve"> — rangkaian proses tutup hari yang memastikan seluruh transaksi hari tersebut telah tercatat, saldo direkonsiliasi, dan cabang dapat ditutup secara sistem.</w:t>
      </w:r>
    </w:p>
    <w:p>
      <w:pPr>
        <w:pStyle w:val="ListParagraph"/>
        <w:numPr>
          <w:ilvl w:val="0"/>
          <w:numId w:val="2"/>
        </w:numPr>
        <w:spacing w:after="80"/>
      </w:pPr>
      <w:r>
        <w:rPr>
          <w:b/>
          <w:bCs/>
        </w:rPr>
        <w:t xml:space="preserve">Begin-of-Day (BOD)</w:t>
      </w:r>
      <w:r>
        <w:t xml:space="preserve"> — proses pembukaan hari kerja baru, termasuk persiapan cabang (branch open) sebelum transaksi hari itu dapat dimulai.</w:t>
      </w:r>
    </w:p>
    <w:p>
      <w:pPr>
        <w:pStyle w:val="ListParagraph"/>
        <w:numPr>
          <w:ilvl w:val="0"/>
          <w:numId w:val="2"/>
        </w:numPr>
        <w:spacing w:after="80"/>
      </w:pPr>
      <w:r>
        <w:t xml:space="preserve">Proses ini memastikan konsistensi data antar hari operasional dan menjadi prasyarat sebelum laporan harian maupun pelaporan regulator dapat disusun.</w:t>
      </w:r>
    </w:p>
    <w:p>
      <w:pPr>
        <w:pStyle w:val="Heading2"/>
        <w:spacing w:after="120" w:before="260"/>
      </w:pPr>
      <w:r>
        <w:t xml:space="preserve">10.2 Backup &amp; Disaster Recovery</w:t>
      </w:r>
    </w:p>
    <w:p>
      <w:pPr>
        <w:spacing w:after="160" w:line="300"/>
      </w:pPr>
      <w:r>
        <w:t xml:space="preserve">Untuk menjaga kontinuitas layanan, IBANKCORE mendukung mekanisme backup database secara berjenjang (mis. backup penuh maupun incremental) serta prosedur disaster recovery, sebagai bagian dari kepatuhan terhadap kebutuhan ketahanan operasional (business continuity) perbankan.</w:t>
      </w:r>
    </w:p>
    <w:p>
      <w:pPr>
        <w:pStyle w:val="Heading1"/>
        <w:spacing w:after="160" w:before="360"/>
      </w:pPr>
      <w:r>
        <w:t xml:space="preserve">11. Keamanan, Otorisasi &amp; Audit Lanjutan</w:t>
      </w:r>
    </w:p>
    <w:p>
      <w:pPr>
        <w:spacing w:after="160" w:line="300"/>
      </w:pPr>
      <w:r>
        <w:t xml:space="preserve">Selain hak akses dasar dan audit trail yang telah dibahas pada Bagian 3, IBANKCORE menerapkan beberapa mekanisme keamanan dan kontrol tambahan yang penting untuk dipahami.</w:t>
      </w:r>
    </w:p>
    <w:p>
      <w:pPr>
        <w:pStyle w:val="Heading2"/>
        <w:spacing w:after="120" w:before="260"/>
      </w:pPr>
      <w:r>
        <w:t xml:space="preserve">11.1 Maker-Checker / Otorisasi</w:t>
      </w:r>
    </w:p>
    <w:p>
      <w:pPr>
        <w:spacing w:after="160" w:line="300"/>
      </w:pPr>
      <w:r>
        <w:t xml:space="preserve">Prinsip maker-checker (dual control) diimplementasikan melalui mekanisme otorisasi entri (OtorEntri) — transaksi atau perubahan data tertentu dicatat dalam status "menunggu otorisasi" dan baru berlaku efektif setelah disetujui oleh user lain dengan kewenangan yang sesuai. Riwayat otorisasi (termasuk siapa yang mengajukan dan siapa yang menyetujui/menolak) tersimpan sebagai jejak audit tersendiri, terpisah dari data transaksi utama.</w:t>
      </w:r>
    </w:p>
    <w:p>
      <w:pPr>
        <w:pStyle w:val="Heading2"/>
        <w:spacing w:after="120" w:before="260"/>
      </w:pPr>
      <w:r>
        <w:t xml:space="preserve">11.2 User Security &amp; Access Control</w:t>
      </w:r>
    </w:p>
    <w:p>
      <w:pPr>
        <w:spacing w:after="160" w:line="300"/>
      </w:pPr>
      <w:r>
        <w:t xml:space="preserve">Selain Role-Based Access Control dasar (lihat 3.3), sistem menyediakan validasi keamanan data user, pencatatan aktivitas user (activity log), serta laporan hak akses (daftar menu/hak akses per user maupun per grup) yang mendukung kebutuhan audit periodik terhadap kesesuaian hak akses dengan peran pekerjaan.</w:t>
      </w:r>
    </w:p>
    <w:p>
      <w:pPr>
        <w:pStyle w:val="Heading2"/>
        <w:spacing w:after="120" w:before="260"/>
      </w:pPr>
      <w:r>
        <w:t xml:space="preserve">11.3 Session &amp; Block Management</w:t>
      </w:r>
    </w:p>
    <w:p>
      <w:pPr>
        <w:spacing w:after="160" w:line="300"/>
      </w:pPr>
      <w:r>
        <w:t xml:space="preserve">Sistem memantau dan mengelola sesi login user, termasuk kedaluwarsa sesi (session expiry) dan pemblokiran otomatis user setelah kondisi tertentu (mis. percobaan login gagal berulang), sebagai kontrol keamanan tambahan terhadap akses tidak sah.</w:t>
      </w:r>
    </w:p>
    <w:p>
      <w:pPr>
        <w:pStyle w:val="Heading2"/>
        <w:spacing w:after="120" w:before="260"/>
      </w:pPr>
      <w:r>
        <w:t xml:space="preserve">11.4 Verifikasi Biometrik</w:t>
      </w:r>
    </w:p>
    <w:p>
      <w:pPr>
        <w:spacing w:after="160" w:line="300"/>
      </w:pPr>
      <w:r>
        <w:t xml:space="preserve">Untuk transaksi atau proses yang memerlukan tingkat keyakinan identitas lebih tinggi, IBANKCORE mendukung verifikasi biometrik nasabah sebagai lapisan otentikasi tambahan di luar PIN/password konvensional.</w:t>
      </w:r>
    </w:p>
    <w:p>
      <w:pPr>
        <w:pStyle w:val="Heading1"/>
        <w:spacing w:after="160" w:before="360"/>
      </w:pPr>
      <w:r>
        <w:t xml:space="preserve">12. Ringkasan</w:t>
      </w:r>
    </w:p>
    <w:p>
      <w:pPr>
        <w:pStyle w:val="ListParagraph"/>
        <w:numPr>
          <w:ilvl w:val="0"/>
          <w:numId w:val="2"/>
        </w:numPr>
        <w:spacing w:after="80"/>
      </w:pPr>
      <w:r>
        <w:t xml:space="preserve">IBANKCORE adalah sistem core banking multi-modul yang berbagi lapisan data dan pola integrasi yang konsisten, terdiri dari dua aplikasi utama: enterprise (platform, keamanan, operasional) dan core (mesin transaksi/produk).</w:t>
      </w:r>
    </w:p>
    <w:p>
      <w:pPr>
        <w:pStyle w:val="ListParagraph"/>
        <w:numPr>
          <w:ilvl w:val="0"/>
          <w:numId w:val="2"/>
        </w:numPr>
        <w:spacing w:after="80"/>
      </w:pPr>
      <w:r>
        <w:t xml:space="preserve">Modul Enterprise menjadi fondasi struktur organisasi, user, dan hak akses yang melekat pada hampir seluruh transaksi dan aktivitas sistem.</w:t>
      </w:r>
    </w:p>
    <w:p>
      <w:pPr>
        <w:pStyle w:val="ListParagraph"/>
        <w:numPr>
          <w:ilvl w:val="0"/>
          <w:numId w:val="2"/>
        </w:numPr>
        <w:spacing w:after="80"/>
      </w:pPr>
      <w:r>
        <w:t xml:space="preserve">Modul Accounting menjadi pusat pencatatan double-entry yang menopang seluruh modul lain.</w:t>
      </w:r>
    </w:p>
    <w:p>
      <w:pPr>
        <w:pStyle w:val="ListParagraph"/>
        <w:numPr>
          <w:ilvl w:val="0"/>
          <w:numId w:val="2"/>
        </w:numPr>
        <w:spacing w:after="80"/>
      </w:pPr>
      <w:r>
        <w:t xml:space="preserve">Modul Funding dan Kas &amp; Vault/Treasury saling terkait erat dalam setiap transaksi yang melibatkan dana maupun kas fisik, termasuk produk khusus seperti Deposito.</w:t>
      </w:r>
    </w:p>
    <w:p>
      <w:pPr>
        <w:pStyle w:val="ListParagraph"/>
        <w:numPr>
          <w:ilvl w:val="0"/>
          <w:numId w:val="2"/>
        </w:numPr>
        <w:spacing w:after="80"/>
      </w:pPr>
      <w:r>
        <w:t xml:space="preserve">Interaksi dengan sistem sekitar (Feeder SAP, QRIS, host-to-host/REST API, regulator) menjadi bagian penting dari arsitektur end-to-end.</w:t>
      </w:r>
    </w:p>
    <w:p>
      <w:pPr>
        <w:pStyle w:val="ListParagraph"/>
        <w:numPr>
          <w:ilvl w:val="0"/>
          <w:numId w:val="2"/>
        </w:numPr>
        <w:spacing w:after="80"/>
      </w:pPr>
      <w:r>
        <w:t xml:space="preserve">Produk &amp; layanan tambahan (Corporate Banking, Biller, dsb.) memperluas cakupan bisnis di luar produk simpanan dasar.</w:t>
      </w:r>
    </w:p>
    <w:p>
      <w:pPr>
        <w:pStyle w:val="ListParagraph"/>
        <w:numPr>
          <w:ilvl w:val="0"/>
          <w:numId w:val="2"/>
        </w:numPr>
        <w:spacing w:after="80"/>
      </w:pPr>
      <w:r>
        <w:t xml:space="preserve">Operasional batch (EOD/BOD) dan backup/disaster recovery menjaga konsistensi data dan kontinuitas layanan dari hari ke hari.</w:t>
      </w:r>
    </w:p>
    <w:p>
      <w:pPr>
        <w:pStyle w:val="ListParagraph"/>
        <w:numPr>
          <w:ilvl w:val="0"/>
          <w:numId w:val="2"/>
        </w:numPr>
        <w:spacing w:after="80"/>
      </w:pPr>
      <w:r>
        <w:t xml:space="preserve">Mekanisme maker-checker (otorisasi), user security, session/block management, dan verifikasi biometrik menjadi lapisan kontrol keamanan yang penting dipahami baik oleh audiens teknis maupun bisnis/audit.</w:t>
      </w:r>
    </w:p>
    <w:p>
      <w:pPr>
        <w:pStyle w:val="ListParagraph"/>
        <w:numPr>
          <w:ilvl w:val="0"/>
          <w:numId w:val="2"/>
        </w:numPr>
        <w:spacing w:after="80"/>
      </w:pPr>
      <w:r>
        <w:t xml:space="preserve">Diskusi lanjutan dapat difokuskan ke salah satu area untuk pendalaman lebih lanjut, misalnya detail data model, pola integrasi, atau studi kasus incident/rekonsiliasi.</w:t>
      </w:r>
    </w:p>
    <w:p>
      <w:pPr>
        <w:pStyle w:val="Heading2"/>
        <w:spacing w:after="120" w:before="260"/>
      </w:pPr>
      <w:r>
        <w:t xml:space="preserve">Bahan Diskusi</w:t>
      </w:r>
    </w:p>
    <w:p>
      <w:pPr>
        <w:pStyle w:val="ListParagraph"/>
        <w:numPr>
          <w:ilvl w:val="0"/>
          <w:numId w:val="2"/>
        </w:numPr>
        <w:spacing w:after="80"/>
      </w:pPr>
      <w:r>
        <w:t xml:space="preserve">Modul mana yang paling relevan untuk didalami lebih lanjut oleh masing-masing peserta?</w:t>
      </w:r>
    </w:p>
    <w:p>
      <w:pPr>
        <w:pStyle w:val="ListParagraph"/>
        <w:numPr>
          <w:ilvl w:val="0"/>
          <w:numId w:val="2"/>
        </w:numPr>
        <w:spacing w:after="80"/>
      </w:pPr>
      <w:r>
        <w:t xml:space="preserve">Apakah ada isu integrasi atau kepatuhan yang ingin dibahas lebih jauh?</w:t>
      </w:r>
    </w:p>
    <w:p>
      <w:pPr>
        <w:pStyle w:val="ListParagraph"/>
        <w:numPr>
          <w:ilvl w:val="0"/>
          <w:numId w:val="2"/>
        </w:numPr>
        <w:spacing w:after="80"/>
      </w:pPr>
      <w:r>
        <w:t xml:space="preserve">Bagaimana pengelolaan hak akses/limit otorisasi saat ini dijalankan di masing-masing cabang/departemen?</w:t>
      </w:r>
    </w:p>
    <w:p>
      <w:pPr>
        <w:pStyle w:val="ListParagraph"/>
        <w:numPr>
          <w:ilvl w:val="0"/>
          <w:numId w:val="2"/>
        </w:numPr>
        <w:spacing w:after="80"/>
      </w:pPr>
      <w:r>
        <w:t xml:space="preserve">Bagaimana mekanisme maker-checker (otorisasi) saat ini diterapkan untuk transaksi bernilai besar atau berisiko tinggi?</w:t>
      </w:r>
    </w:p>
    <w:p>
      <w:pPr>
        <w:pStyle w:val="ListParagraph"/>
        <w:numPr>
          <w:ilvl w:val="0"/>
          <w:numId w:val="2"/>
        </w:numPr>
        <w:spacing w:after="80"/>
      </w:pPr>
      <w:r>
        <w:t xml:space="preserve">Seberapa sering proses EOD/BOD dan backup/disaster recovery diuji atau mengalami kendala di lapangan?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Halaman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IBANKCORE — Materi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9d695060350818428094445c1773b0fa484474.png"/><Relationship Id="rId10" Type="http://schemas.openxmlformats.org/officeDocument/2006/relationships/image" Target="media/8a0430ed939f7f88641b533aa0f5c5c3f86d3708.png"/><Relationship Id="rId11" Type="http://schemas.openxmlformats.org/officeDocument/2006/relationships/image" Target="media/3cff5fe215cc5b5f81ce0ce04dc3c540fb87a357.png"/><Relationship Id="rId12" Type="http://schemas.openxmlformats.org/officeDocument/2006/relationships/image" Target="media/fac32c5795cf1da3ca4580deaafec9f9996612e4.png"/><Relationship Id="rId13" Type="http://schemas.openxmlformats.org/officeDocument/2006/relationships/image" Target="media/1ba46a1bd755e4d91a0d8877976bf01ec6e7699c.png"/><Relationship Id="rId14" Type="http://schemas.openxmlformats.org/officeDocument/2006/relationships/image" Target="media/df296c2080715dc7cd1824fb644cf1c084fd299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2026-08-25T20:35:21.772Z</dcterms:created>
  <dcterms:modified xsi:type="dcterms:W3CDTF">2026-08-25T20:35:21.774Z</dcterms:modified>
</cp:coreProperties>
</file>

<file path=docProps/custom.xml><?xml version="1.0" encoding="utf-8"?>
<Properties xmlns="http://schemas.openxmlformats.org/officeDocument/2006/custom-properties" xmlns:vt="http://schemas.openxmlformats.org/officeDocument/2006/docPropsVTypes"/>
</file>