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1A" w:rsidRDefault="008862BD" w:rsidP="008862BD">
      <w:pPr>
        <w:pStyle w:val="ListParagraph"/>
        <w:numPr>
          <w:ilvl w:val="0"/>
          <w:numId w:val="1"/>
        </w:numPr>
      </w:pPr>
      <w:r>
        <w:t>Seorang bapak berusia 60 tahun mengalami gangguan mata jarak jauh yang mampu dilihat sejauh 100 cm sementara sejauh yang</w:t>
      </w:r>
      <w:r w:rsidR="00D34E30">
        <w:t xml:space="preserve"> tak</w:t>
      </w:r>
      <w:r>
        <w:t xml:space="preserve"> mampu di lihat berjarak 10 meter hitung kuat lensa yang di butuhkan bapak tersebut.</w:t>
      </w:r>
    </w:p>
    <w:p w:rsidR="008862BD" w:rsidRDefault="008862BD" w:rsidP="008862BD">
      <w:pPr>
        <w:pStyle w:val="ListParagraph"/>
      </w:pPr>
    </w:p>
    <w:p w:rsidR="00162310" w:rsidRDefault="008862BD" w:rsidP="00162310">
      <w:pPr>
        <w:pStyle w:val="ListParagraph"/>
      </w:pPr>
      <w:r>
        <w:t>Diket:</w:t>
      </w:r>
      <w:r w:rsidR="00162310">
        <w:t>pr1 = 100cm</w:t>
      </w:r>
      <w:r w:rsidR="009C18DA">
        <w:t xml:space="preserve"> </w:t>
      </w:r>
    </w:p>
    <w:p w:rsidR="009C18DA" w:rsidRDefault="009C18DA" w:rsidP="00162310">
      <w:pPr>
        <w:pStyle w:val="ListParagraph"/>
      </w:pPr>
      <w:r>
        <w:t xml:space="preserve">           Pr2 = 10m</w:t>
      </w:r>
    </w:p>
    <w:p w:rsidR="008862BD" w:rsidRDefault="008862BD" w:rsidP="008862BD">
      <w:pPr>
        <w:pStyle w:val="ListParagraph"/>
      </w:pPr>
      <w:r>
        <w:t>Dita :</w:t>
      </w:r>
      <w:r w:rsidR="009C18DA">
        <w:t>p=..?</w:t>
      </w:r>
    </w:p>
    <w:p w:rsidR="00D34E30" w:rsidRDefault="00D34E30" w:rsidP="008862BD">
      <w:pPr>
        <w:pStyle w:val="ListParagraph"/>
      </w:pPr>
    </w:p>
    <w:p w:rsidR="008862BD" w:rsidRDefault="008862BD" w:rsidP="008862BD">
      <w:pPr>
        <w:pStyle w:val="ListParagraph"/>
        <w:rPr>
          <w:rFonts w:eastAsiaTheme="minorEastAsia"/>
        </w:rPr>
      </w:pPr>
      <w:r>
        <w:t>Jawab:</w:t>
      </w:r>
      <w:r w:rsidR="00D34E30">
        <w:t xml:space="preserve"> p=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pr</m:t>
            </m:r>
          </m:den>
        </m:f>
      </m:oMath>
    </w:p>
    <w:p w:rsidR="00D34E30" w:rsidRDefault="00D34E30" w:rsidP="008862BD">
      <w:pPr>
        <w:pStyle w:val="ListParagraph"/>
        <w:rPr>
          <w:rFonts w:eastAsiaTheme="minorEastAsia"/>
        </w:rPr>
      </w:pPr>
    </w:p>
    <w:p w:rsidR="00D34E30" w:rsidRDefault="00D34E30" w:rsidP="008862BD">
      <w:pPr>
        <w:pStyle w:val="ListParagraph"/>
        <w:rPr>
          <w:rFonts w:eastAsiaTheme="minorEastAsia"/>
        </w:rPr>
      </w:pPr>
      <w:r>
        <w:rPr>
          <w:rFonts w:eastAsiaTheme="minorEastAsia"/>
        </w:rPr>
        <w:t>Pr1= p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-1 dioptri</w:t>
      </w:r>
    </w:p>
    <w:p w:rsidR="009C18DA" w:rsidRPr="00C764D7" w:rsidRDefault="00D34E30" w:rsidP="00C764D7">
      <w:pPr>
        <w:ind w:firstLine="720"/>
        <w:rPr>
          <w:rFonts w:eastAsiaTheme="minorEastAsia"/>
        </w:rPr>
      </w:pPr>
      <w:r w:rsidRPr="00D34E30">
        <w:rPr>
          <w:rFonts w:eastAsiaTheme="minorEastAsia"/>
        </w:rPr>
        <w:t xml:space="preserve">Pr2= 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D34E30">
        <w:rPr>
          <w:rFonts w:eastAsiaTheme="minorEastAsia"/>
        </w:rPr>
        <w:t>= -0,01 dioptri</w:t>
      </w:r>
    </w:p>
    <w:p w:rsidR="008862BD" w:rsidRDefault="008862BD" w:rsidP="008862BD">
      <w:pPr>
        <w:pStyle w:val="ListParagraph"/>
      </w:pPr>
    </w:p>
    <w:p w:rsidR="009C18DA" w:rsidRDefault="008862BD" w:rsidP="008862BD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8pt;margin-top:110.45pt;width:0;height:18pt;flip:y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234pt;margin-top:74.45pt;width:0;height:108pt;z-index:251660288" o:connectortype="straight">
            <v:stroke startarrow="block" endarrow="block"/>
          </v:shape>
        </w:pict>
      </w:r>
      <w:r>
        <w:rPr>
          <w:noProof/>
        </w:rPr>
        <w:pict>
          <v:shape id="_x0000_s1026" type="#_x0000_t32" style="position:absolute;left:0;text-align:left;margin-left:73.3pt;margin-top:128.45pt;width:259.7pt;height:0;z-index:251658240" o:connectortype="straight"/>
        </w:pict>
      </w:r>
      <w:r>
        <w:t>Siswa bermata normal mengmati preparat menggunakan mikroskop. Proses pembentukan bayangan preparat di tampilkan sebagai berikut.</w:t>
      </w:r>
    </w:p>
    <w:p w:rsidR="009C18DA" w:rsidRPr="009C18DA" w:rsidRDefault="009C18DA" w:rsidP="009C18DA"/>
    <w:p w:rsidR="009C18DA" w:rsidRPr="009C18DA" w:rsidRDefault="00C764D7" w:rsidP="009C18DA">
      <w:r>
        <w:rPr>
          <w:noProof/>
        </w:rPr>
        <w:pict>
          <v:shape id="_x0000_s1027" type="#_x0000_t32" style="position:absolute;margin-left:2in;margin-top:8.1pt;width:0;height:108pt;z-index:251659264" o:connectortype="straight">
            <v:stroke startarrow="block" endarrow="block"/>
          </v:shape>
        </w:pict>
      </w:r>
      <w:r w:rsidR="009C18DA">
        <w:rPr>
          <w:noProof/>
        </w:rPr>
        <w:pict>
          <v:shape id="_x0000_s1036" type="#_x0000_t32" style="position:absolute;margin-left:189pt;margin-top:24.8pt;width:108pt;height:63pt;flip:y;z-index:251665408" o:connectortype="straight">
            <v:stroke endarrow="block"/>
          </v:shape>
        </w:pict>
      </w:r>
    </w:p>
    <w:p w:rsidR="009C18DA" w:rsidRPr="009C18DA" w:rsidRDefault="00C764D7" w:rsidP="009C18DA">
      <w:r>
        <w:rPr>
          <w:noProof/>
        </w:rPr>
        <w:pict>
          <v:shape id="_x0000_s1045" type="#_x0000_t32" style="position:absolute;margin-left:2in;margin-top:18.65pt;width:54pt;height:56.55pt;z-index:251673600" o:connectortype="straight"/>
        </w:pict>
      </w:r>
      <w:r>
        <w:rPr>
          <w:noProof/>
        </w:rPr>
        <w:pict>
          <v:shape id="_x0000_s1044" type="#_x0000_t32" style="position:absolute;margin-left:126pt;margin-top:18.7pt;width:18pt;height:0;z-index:251672576" o:connectortype="straight"/>
        </w:pict>
      </w:r>
      <w:r>
        <w:rPr>
          <w:noProof/>
        </w:rPr>
        <w:pict>
          <v:shape id="_x0000_s1043" type="#_x0000_t32" style="position:absolute;margin-left:108pt;margin-top:18.7pt;width:18pt;height:0;z-index:25167155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08pt;margin-top:18.7pt;width:90pt;height:47.5pt;z-index:251670528" o:connectortype="straight"/>
        </w:pict>
      </w:r>
      <w:r w:rsidR="009C18DA">
        <w:rPr>
          <w:noProof/>
        </w:rPr>
        <w:pict>
          <v:shape id="_x0000_s1039" type="#_x0000_t32" style="position:absolute;margin-left:234pt;margin-top:18.65pt;width:117pt;height:45pt;flip:y;z-index:251668480" o:connectortype="straight">
            <v:stroke endarrow="block"/>
          </v:shape>
        </w:pict>
      </w:r>
    </w:p>
    <w:p w:rsidR="009C18DA" w:rsidRPr="009C18DA" w:rsidRDefault="00C764D7" w:rsidP="009C18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79pt;margin-top:13.75pt;width:54pt;height:27pt;z-index:251676672" filled="f" stroked="f">
            <v:textbox>
              <w:txbxContent>
                <w:p w:rsidR="00C764D7" w:rsidRPr="00C764D7" w:rsidRDefault="00C764D7">
                  <w:r>
                    <w:t>F</w:t>
                  </w:r>
                  <w:r>
                    <w:rPr>
                      <w:vertAlign w:val="subscript"/>
                    </w:rPr>
                    <w:t>ok</w:t>
                  </w:r>
                  <w:r>
                    <w:t>=5cm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53pt;margin-top:11.25pt;width:1in;height:54pt;z-index:251675648" filled="f" stroked="f">
            <v:textbox>
              <w:txbxContent>
                <w:p w:rsidR="00C764D7" w:rsidRPr="00C764D7" w:rsidRDefault="00C764D7" w:rsidP="00C764D7">
                  <w:pPr>
                    <w:rPr>
                      <w:vertAlign w:val="subscript"/>
                    </w:rPr>
                  </w:pPr>
                  <w:r>
                    <w:t>f</w:t>
                  </w:r>
                  <w:r>
                    <w:rPr>
                      <w:vertAlign w:val="subscript"/>
                    </w:rPr>
                    <w:t>ob</w:t>
                  </w:r>
                </w:p>
                <w:p w:rsidR="00C764D7" w:rsidRDefault="00C764D7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17pt;margin-top:13.75pt;width:45pt;height:27pt;z-index:251674624" filled="f" stroked="f">
            <v:textbox>
              <w:txbxContent>
                <w:p w:rsidR="00C764D7" w:rsidRPr="00C764D7" w:rsidRDefault="00C764D7">
                  <w:pPr>
                    <w:rPr>
                      <w:vertAlign w:val="subscript"/>
                    </w:rPr>
                  </w:pPr>
                  <w:r>
                    <w:t>f</w:t>
                  </w:r>
                  <w:r>
                    <w:rPr>
                      <w:vertAlign w:val="subscript"/>
                    </w:rPr>
                    <w:t>ob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26pt;margin-top:11.25pt;width:0;height:2.5pt;z-index:251669504" o:connectortype="straight"/>
        </w:pict>
      </w:r>
      <w:r w:rsidR="009C18DA">
        <w:rPr>
          <w:noProof/>
        </w:rPr>
        <w:pict>
          <v:shape id="_x0000_s1030" type="#_x0000_t32" style="position:absolute;margin-left:189pt;margin-top:11.25pt;width:0;height:25.7pt;z-index:251662336" o:connectortype="straight">
            <v:stroke endarrow="block"/>
          </v:shape>
        </w:pict>
      </w:r>
      <w:r w:rsidR="009C18DA">
        <w:rPr>
          <w:noProof/>
        </w:rPr>
        <w:pict>
          <v:shape id="_x0000_s1034" type="#_x0000_t32" style="position:absolute;margin-left:90pt;margin-top:11.25pt;width:0;height:79.7pt;z-index:251663360" o:connectortype="straight">
            <v:stroke endarrow="block"/>
          </v:shape>
        </w:pict>
      </w:r>
    </w:p>
    <w:p w:rsidR="009C18DA" w:rsidRDefault="009C18DA" w:rsidP="009C18DA">
      <w:r>
        <w:rPr>
          <w:noProof/>
        </w:rPr>
        <w:pict>
          <v:shape id="_x0000_s1038" type="#_x0000_t32" style="position:absolute;margin-left:90pt;margin-top:12.8pt;width:2in;height:52.7pt;flip:y;z-index:251667456" o:connectortype="straight">
            <v:stroke dashstyle="dash"/>
          </v:shape>
        </w:pict>
      </w:r>
      <w:r>
        <w:rPr>
          <w:noProof/>
        </w:rPr>
        <w:pict>
          <v:shape id="_x0000_s1037" type="#_x0000_t32" style="position:absolute;margin-left:189pt;margin-top:12.8pt;width:45pt;height:0;z-index:251666432" o:connectortype="straight"/>
        </w:pict>
      </w:r>
      <w:r>
        <w:rPr>
          <w:noProof/>
        </w:rPr>
        <w:pict>
          <v:shape id="_x0000_s1035" type="#_x0000_t32" style="position:absolute;margin-left:90pt;margin-top:12.8pt;width:99pt;height:52.7pt;flip:y;z-index:251664384" o:connectortype="straight">
            <v:stroke dashstyle="dash"/>
          </v:shape>
        </w:pict>
      </w:r>
    </w:p>
    <w:p w:rsidR="00C764D7" w:rsidRDefault="009C18DA" w:rsidP="009C18DA">
      <w:pPr>
        <w:tabs>
          <w:tab w:val="left" w:pos="1816"/>
        </w:tabs>
      </w:pPr>
      <w:r>
        <w:tab/>
      </w:r>
    </w:p>
    <w:p w:rsidR="00C764D7" w:rsidRDefault="00C764D7" w:rsidP="00C764D7">
      <w:pPr>
        <w:tabs>
          <w:tab w:val="left" w:pos="7991"/>
        </w:tabs>
      </w:pPr>
    </w:p>
    <w:p w:rsidR="00C764D7" w:rsidRPr="00CD09D4" w:rsidRDefault="00C764D7" w:rsidP="00C764D7">
      <w:pPr>
        <w:tabs>
          <w:tab w:val="left" w:pos="7991"/>
        </w:tabs>
        <w:spacing w:after="0" w:line="240" w:lineRule="auto"/>
        <w:rPr>
          <w:b/>
        </w:rPr>
      </w:pPr>
      <w:r w:rsidRPr="00CD09D4">
        <w:rPr>
          <w:b/>
        </w:rPr>
        <w:t>Keterangan</w:t>
      </w:r>
    </w:p>
    <w:p w:rsidR="00C764D7" w:rsidRDefault="00C764D7" w:rsidP="00C764D7">
      <w:pPr>
        <w:tabs>
          <w:tab w:val="left" w:pos="7991"/>
        </w:tabs>
        <w:spacing w:after="0" w:line="240" w:lineRule="auto"/>
      </w:pPr>
      <w:r>
        <w:t>F</w:t>
      </w:r>
      <w:r>
        <w:rPr>
          <w:vertAlign w:val="subscript"/>
        </w:rPr>
        <w:t>ob</w:t>
      </w:r>
      <w:r>
        <w:t xml:space="preserve"> =2cm</w:t>
      </w:r>
    </w:p>
    <w:p w:rsidR="00CD09D4" w:rsidRDefault="00C764D7" w:rsidP="00C764D7">
      <w:pPr>
        <w:tabs>
          <w:tab w:val="left" w:pos="7991"/>
        </w:tabs>
        <w:spacing w:after="0" w:line="240" w:lineRule="auto"/>
      </w:pPr>
      <w:r>
        <w:t>S</w:t>
      </w:r>
      <w:r>
        <w:rPr>
          <w:vertAlign w:val="subscript"/>
        </w:rPr>
        <w:t xml:space="preserve">ob </w:t>
      </w:r>
      <w:r>
        <w:t>=2,5cm</w:t>
      </w: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  <w:sectPr w:rsidR="00CD09D4" w:rsidSect="007D2B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09D4" w:rsidRDefault="00CD09D4" w:rsidP="00C764D7">
      <w:pPr>
        <w:tabs>
          <w:tab w:val="left" w:pos="7991"/>
        </w:tabs>
        <w:spacing w:after="0" w:line="240" w:lineRule="auto"/>
      </w:pPr>
      <w:r>
        <w:lastRenderedPageBreak/>
        <w:t>Jawab</w:t>
      </w:r>
    </w:p>
    <w:p w:rsidR="00CD09D4" w:rsidRDefault="00CD09D4" w:rsidP="00C764D7">
      <w:pPr>
        <w:tabs>
          <w:tab w:val="left" w:pos="7991"/>
        </w:tabs>
        <w:spacing w:after="0" w:line="240" w:lineRule="auto"/>
      </w:pPr>
      <w:r>
        <w:t>Diket: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r>
        <w:t>F</w:t>
      </w:r>
      <w:r>
        <w:rPr>
          <w:vertAlign w:val="subscript"/>
        </w:rPr>
        <w:t>ob</w:t>
      </w:r>
      <w:r>
        <w:t xml:space="preserve"> =2cm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r>
        <w:t>S</w:t>
      </w:r>
      <w:r>
        <w:rPr>
          <w:vertAlign w:val="subscript"/>
        </w:rPr>
        <w:t xml:space="preserve">ob </w:t>
      </w:r>
      <w:r>
        <w:t>=2,5cm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r>
        <w:t>F</w:t>
      </w:r>
      <w:r>
        <w:rPr>
          <w:vertAlign w:val="subscript"/>
        </w:rPr>
        <w:t>ok</w:t>
      </w:r>
      <w:r>
        <w:t xml:space="preserve"> =25cm</w:t>
      </w:r>
    </w:p>
    <w:p w:rsidR="00CD09D4" w:rsidRPr="00CD09D4" w:rsidRDefault="00CD09D4" w:rsidP="00CD09D4">
      <w:pPr>
        <w:tabs>
          <w:tab w:val="left" w:pos="7991"/>
        </w:tabs>
        <w:spacing w:after="0" w:line="240" w:lineRule="auto"/>
      </w:pPr>
      <w:r>
        <w:t>Dita: m</w:t>
      </w:r>
      <w:r>
        <w:rPr>
          <w:vertAlign w:val="subscript"/>
        </w:rPr>
        <w:t>tot</w:t>
      </w:r>
      <w:r>
        <w:t>..?</w:t>
      </w:r>
    </w:p>
    <w:p w:rsidR="00CD09D4" w:rsidRDefault="00CD09D4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t>Jawab: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 w:rsidR="004F51F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 w:rsidR="004F51FC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S`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2,5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S`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</w:p>
    <w:p w:rsidR="004F51FC" w:rsidRP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             s`</w:t>
      </w:r>
      <w:r>
        <w:rPr>
          <w:rFonts w:eastAsiaTheme="minorEastAsia"/>
          <w:vertAlign w:val="subscript"/>
        </w:rPr>
        <w:t>ob = 10 cm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s`ob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2,5</m:t>
            </m:r>
          </m:den>
        </m:f>
      </m:oMath>
      <w:r>
        <w:rPr>
          <w:rFonts w:eastAsiaTheme="minorEastAsia"/>
        </w:rPr>
        <w:t xml:space="preserve"> = 4 kali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ok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Fok</m:t>
            </m:r>
          </m:den>
        </m:f>
      </m:oMath>
      <w:r>
        <w:rPr>
          <w:rFonts w:eastAsiaTheme="minorEastAsia"/>
        </w:rPr>
        <w:t xml:space="preserve"> + 1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+ 1 = 2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Pr="004F51FC" w:rsidRDefault="004F51FC" w:rsidP="00C764D7">
      <w:pPr>
        <w:tabs>
          <w:tab w:val="left" w:pos="7991"/>
        </w:tabs>
        <w:spacing w:after="0" w:line="240" w:lineRule="auto"/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 xml:space="preserve">tot= </w:t>
      </w:r>
      <w:r>
        <w:t>m</w:t>
      </w:r>
      <w:r>
        <w:rPr>
          <w:vertAlign w:val="subscript"/>
        </w:rPr>
        <w:t xml:space="preserve">ob x </w:t>
      </w: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 xml:space="preserve">ok </w:t>
      </w:r>
      <w:r>
        <w:rPr>
          <w:rFonts w:eastAsiaTheme="minorEastAsia"/>
        </w:rPr>
        <w:t xml:space="preserve"> = 4 x 2 = 8 kali</w:t>
      </w: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  <w:sectPr w:rsidR="00CD09D4" w:rsidSect="00CD09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62BD" w:rsidRPr="00C764D7" w:rsidRDefault="00C764D7" w:rsidP="00C764D7">
      <w:pPr>
        <w:tabs>
          <w:tab w:val="left" w:pos="7991"/>
        </w:tabs>
        <w:spacing w:after="0" w:line="240" w:lineRule="auto"/>
      </w:pPr>
      <w:r>
        <w:lastRenderedPageBreak/>
        <w:tab/>
      </w:r>
    </w:p>
    <w:sectPr w:rsidR="008862BD" w:rsidRPr="00C764D7" w:rsidSect="00CD09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7E9A"/>
    <w:multiLevelType w:val="hybridMultilevel"/>
    <w:tmpl w:val="D50C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862BD"/>
    <w:rsid w:val="00095E07"/>
    <w:rsid w:val="00162310"/>
    <w:rsid w:val="004F51FC"/>
    <w:rsid w:val="00700F2F"/>
    <w:rsid w:val="007D2B1A"/>
    <w:rsid w:val="008862BD"/>
    <w:rsid w:val="009C18DA"/>
    <w:rsid w:val="00C764D7"/>
    <w:rsid w:val="00CD09D4"/>
    <w:rsid w:val="00D3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  <o:r id="V:Rule26" type="connector" idref="#_x0000_s1040"/>
        <o:r id="V:Rule28" type="connector" idref="#_x0000_s1041"/>
        <o:r id="V:Rule32" type="connector" idref="#_x0000_s1043"/>
        <o:r id="V:Rule34" type="connector" idref="#_x0000_s1044"/>
        <o:r id="V:Rule3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7FAB3-C379-422B-8455-C887CEF8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2020-03-24T01:08:00Z</dcterms:created>
  <dcterms:modified xsi:type="dcterms:W3CDTF">2020-03-24T02:24:00Z</dcterms:modified>
</cp:coreProperties>
</file>