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-587998</wp:posOffset>
                </wp:positionH>
                <wp:positionV relativeFrom="margin">
                  <wp:posOffset>8515351</wp:posOffset>
                </wp:positionV>
                <wp:extent cx="7639050" cy="1928394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0260" y="2803680"/>
                          <a:ext cx="7791480" cy="195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rna Medium" w:cs="Borna Medium" w:eastAsia="Borna Medium" w:hAnsi="Borna Medium"/>
                                <w:b w:val="0"/>
                                <w:i w:val="0"/>
                                <w:smallCaps w:val="0"/>
                                <w:strike w:val="0"/>
                                <w:color w:val="2c3d4f"/>
                                <w:sz w:val="44"/>
                                <w:vertAlign w:val="baseline"/>
                              </w:rPr>
                              <w:t xml:space="preserve">Configuración Kubernetes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-587998</wp:posOffset>
                </wp:positionH>
                <wp:positionV relativeFrom="margin">
                  <wp:posOffset>8515351</wp:posOffset>
                </wp:positionV>
                <wp:extent cx="7639050" cy="1928394"/>
                <wp:effectExtent b="0" l="0" r="0" t="0"/>
                <wp:wrapNone/>
                <wp:docPr id="9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050" cy="19283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1339215</wp:posOffset>
            </wp:positionH>
            <wp:positionV relativeFrom="paragraph">
              <wp:posOffset>713105</wp:posOffset>
            </wp:positionV>
            <wp:extent cx="4161790" cy="544830"/>
            <wp:effectExtent b="0" l="0" r="0" t="0"/>
            <wp:wrapNone/>
            <wp:docPr id="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54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-2709537</wp:posOffset>
            </wp:positionH>
            <wp:positionV relativeFrom="paragraph">
              <wp:posOffset>1724660</wp:posOffset>
            </wp:positionV>
            <wp:extent cx="7720330" cy="6403975"/>
            <wp:effectExtent b="0" l="0" r="0" t="0"/>
            <wp:wrapNone/>
            <wp:docPr id="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0330" cy="640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REALIZADA POR</w:t>
      </w:r>
      <w:r w:rsidDel="00000000" w:rsidR="00000000" w:rsidRPr="00000000">
        <w:rPr>
          <w:rFonts w:ascii="Arial" w:cs="Arial" w:eastAsia="Arial" w:hAnsi="Arial"/>
          <w:rtl w:val="0"/>
        </w:rPr>
        <w:t xml:space="preserve">: Manuel Guerrero Macías</w:t>
      </w:r>
    </w:p>
    <w:p w:rsidR="00000000" w:rsidDel="00000000" w:rsidP="00000000" w:rsidRDefault="00000000" w:rsidRPr="00000000" w14:paraId="00000003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INICIO</w:t>
      </w:r>
      <w:r w:rsidDel="00000000" w:rsidR="00000000" w:rsidRPr="00000000">
        <w:rPr>
          <w:rFonts w:ascii="Arial" w:cs="Arial" w:eastAsia="Arial" w:hAnsi="Arial"/>
          <w:rtl w:val="0"/>
        </w:rPr>
        <w:t xml:space="preserve">: 13/01/2026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FIN</w:t>
      </w:r>
      <w:r w:rsidDel="00000000" w:rsidR="00000000" w:rsidRPr="00000000">
        <w:rPr>
          <w:rFonts w:ascii="Arial" w:cs="Arial" w:eastAsia="Arial" w:hAnsi="Arial"/>
          <w:rtl w:val="0"/>
        </w:rPr>
        <w:t xml:space="preserve">: 13/01/2026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Sumario</w:t>
      </w:r>
    </w:p>
    <w:sdt>
      <w:sdtPr>
        <w:id w:val="-1045970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heading=h.8o44zzl92b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6b4dlzox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Configuración del Runtime de NVIDIA y Acceso al Registro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wth45qxm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Habilitación, División y Asignación de la GPU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6thxs7ad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Conexión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ib836ij1lz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d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left"/>
        <w:rPr>
          <w:b w:val="0"/>
          <w:bCs w:val="0"/>
          <w:sz w:val="24"/>
          <w:szCs w:val="24"/>
        </w:rPr>
      </w:pPr>
      <w:bookmarkStart w:colFirst="0" w:colLast="0" w:name="_heading=h.nlxerfkpl8x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80" w:before="180" w:lineRule="auto"/>
        <w:rPr>
          <w:vertAlign w:val="baseline"/>
        </w:rPr>
      </w:pPr>
      <w:bookmarkStart w:colFirst="0" w:colLast="0" w:name="_heading=h.8o44zzl92bcc" w:id="1"/>
      <w:bookmarkEnd w:id="1"/>
      <w:r w:rsidDel="00000000" w:rsidR="00000000" w:rsidRPr="00000000">
        <w:rPr>
          <w:vertAlign w:val="baseline"/>
          <w:rtl w:val="0"/>
        </w:rPr>
        <w:t xml:space="preserve">1. Introducción y Objetivo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El objetivo principal de esta guía es proporcionar un manual de instrucciones detallado y documentación del proceso de configuración de un clúster de Kubernetes en una máquina. Esta máquina configurada actuará como un nodo Worker, lo que permitirá orquestar y gestionar el despliegue de contenedores de forma remota desde otra máquina de control (cliente).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Previos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Con el fin de realizar una correcta </w:t>
      </w:r>
      <w:r w:rsidDel="00000000" w:rsidR="00000000" w:rsidRPr="00000000">
        <w:rPr>
          <w:rtl w:val="0"/>
        </w:rPr>
        <w:t xml:space="preserve">instalación y configuración inicial de Minikube, es imprescindible consultar el siguiente documento de referencia: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20260108 Documento Instalación Minikube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llevar a cabo el proceso especificado en este documento, se requieren los siguientes elementos, haciendo especial hincapié en el acceso al servidor: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Conexión SSH: Es crucial tener una conexión SSH activa al servidor donde se realizará el proceso de configuración, que en este caso es el equipo que aloja la tarjeta gráfica NVIDIA RTX 4090.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Sistema operativo Ubuntu 24.04.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Una GPU NVIDIA funcional instalada en el equipo anfitrión.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Docker instalado y operativo.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Acceso con permisos de administrador (sudo/root).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vertAlign w:val="baseline"/>
        </w:rPr>
      </w:pPr>
      <w:bookmarkStart w:colFirst="0" w:colLast="0" w:name="_heading=h.496b4dlzox55" w:id="2"/>
      <w:bookmarkEnd w:id="2"/>
      <w:r w:rsidDel="00000000" w:rsidR="00000000" w:rsidRPr="00000000">
        <w:rPr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Configuración del Runtime de NVIDIA y Acceso al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esta fase se asegura que el motor de contenedores del host reconozca la aceleración por hardware y posea los permisos necesarios para obtener las imágenes desde el registro privado.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fj5vmhkxyq29" w:id="3"/>
      <w:bookmarkEnd w:id="3"/>
      <w:r w:rsidDel="00000000" w:rsidR="00000000" w:rsidRPr="00000000">
        <w:rPr>
          <w:vertAlign w:val="baseline"/>
          <w:rtl w:val="0"/>
        </w:rPr>
        <w:t xml:space="preserve">2.1. </w:t>
      </w:r>
      <w:r w:rsidDel="00000000" w:rsidR="00000000" w:rsidRPr="00000000">
        <w:rPr>
          <w:rtl w:val="0"/>
        </w:rPr>
        <w:t xml:space="preserve">Modificación del archivo de configuración del demonio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debe editar el archivo /etc/docker/daemon.json para establecer a NVIDIA como el motor de ejecución predeterminado y permitir la conexión con el registro privado.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 ejecuta el comando de edición:</w:t>
      </w:r>
      <w:r w:rsidDel="00000000" w:rsidR="00000000" w:rsidRPr="00000000">
        <w:rPr>
          <w:rtl w:val="0"/>
        </w:rPr>
      </w:r>
    </w:p>
    <w:sdt>
      <w:sdtPr>
        <w:lock w:val="contentLocked"/>
        <w:id w:val="-1611036343"/>
        <w:tag w:val="goog_rdk_0"/>
      </w:sdtPr>
      <w:sdtContent>
        <w:tbl>
          <w:tblPr>
            <w:tblStyle w:val="Table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sudo nano /etc/docker/daemon.json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 debe asegurar el siguiente contenido en el archivo:</w:t>
      </w:r>
      <w:r w:rsidDel="00000000" w:rsidR="00000000" w:rsidRPr="00000000">
        <w:rPr>
          <w:rtl w:val="0"/>
        </w:rPr>
      </w:r>
    </w:p>
    <w:sdt>
      <w:sdtPr>
        <w:lock w:val="contentLocked"/>
        <w:id w:val="1441014216"/>
        <w:tag w:val="goog_rdk_1"/>
      </w:sdtPr>
      <w:sdtContent>
        <w:tbl>
          <w:tblPr>
            <w:tblStyle w:val="Table2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{ "default-runtime": "nvidia", "runtimes": { "nvidia": { "path": "nvidia-container-runtime", "runtimeArgs": [] } }, "insecure-registries": ["192.168.20.50:40232"] }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Reinicio del servicio y aplicación de cambios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Una vez guardada la configuración, se procede a recargar el demonio de Docker para que los cambios surtan efecto en el sistema.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Se ejecutan los siguientes comandos: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0474844"/>
        <w:tag w:val="goog_rdk_2"/>
      </w:sdtPr>
      <w:sdtContent>
        <w:tbl>
          <w:tblPr>
            <w:tblStyle w:val="Table3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sudo systemctl daemon-reload</w:t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sudo systemctl restart docker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aw5uthoct5zk" w:id="4"/>
      <w:bookmarkEnd w:id="4"/>
      <w:r w:rsidDel="00000000" w:rsidR="00000000" w:rsidRPr="00000000">
        <w:rPr>
          <w:rtl w:val="0"/>
        </w:rPr>
        <w:t xml:space="preserve">2.2. Sincronización del entorno Docker con Minikube</w:t>
      </w:r>
    </w:p>
    <w:p w:rsidR="00000000" w:rsidDel="00000000" w:rsidP="00000000" w:rsidRDefault="00000000" w:rsidRPr="00000000" w14:paraId="0000006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garantizar la disponibilidad de las imágenes necesarias para el despliegue de los servicios, es crucial realizar un pull explícito de las mismas.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Este enfoque proporciona un mayor control sobre el proceso.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Si se omite el pull explícito, el proceso de despliegue podría experimentar demoras, dificultando la monitorización del estado y la etapa en la que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48311364"/>
        <w:tag w:val="goog_rdk_3"/>
      </w:sdtPr>
      <w:sdtContent>
        <w:tbl>
          <w:tblPr>
            <w:tblStyle w:val="Table4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rHeight w:val="517.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eval $(minikube docker-env)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0015429"/>
        <w:tag w:val="goog_rdk_4"/>
      </w:sdtPr>
      <w:sdtContent>
        <w:tbl>
          <w:tblPr>
            <w:tblStyle w:val="Table5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 login 192.168.20.50:40232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En el caso que ha ocupado al último despliegue puesto a prueba, se realizó el siguiente comando: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32542338"/>
        <w:tag w:val="goog_rdk_5"/>
      </w:sdtPr>
      <w:sdtContent>
        <w:tbl>
          <w:tblPr>
            <w:tblStyle w:val="Table6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 pull 192.168.20.50:40232/arepo/perfil_extractor:v1.3.0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A continuación se hace la desconexión del entorno:</w:t>
        <w:br w:type="textWrapping"/>
        <w:br w:type="textWrapping"/>
      </w:r>
    </w:p>
    <w:sdt>
      <w:sdtPr>
        <w:lock w:val="contentLocked"/>
        <w:id w:val="1220316455"/>
        <w:tag w:val="goog_rdk_6"/>
      </w:sdtPr>
      <w:sdtContent>
        <w:tbl>
          <w:tblPr>
            <w:tblStyle w:val="Table7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eval $(minikube docker-env -u)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heading=h.1yham0w7cpl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6xwth45qxme9" w:id="6"/>
      <w:bookmarkEnd w:id="6"/>
      <w:r w:rsidDel="00000000" w:rsidR="00000000" w:rsidRPr="00000000">
        <w:rPr>
          <w:rtl w:val="0"/>
        </w:rPr>
        <w:t xml:space="preserve">3. Habilitación, División y Asignación de la GPU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0"/>
        <w:spacing w:after="240" w:before="240" w:line="276" w:lineRule="auto"/>
        <w:rPr/>
      </w:pPr>
      <w:bookmarkStart w:colFirst="0" w:colLast="0" w:name="_heading=h.dhlefcliv5u5" w:id="7"/>
      <w:bookmarkEnd w:id="7"/>
      <w:r w:rsidDel="00000000" w:rsidR="00000000" w:rsidRPr="00000000">
        <w:rPr>
          <w:rtl w:val="0"/>
        </w:rPr>
        <w:t xml:space="preserve">3.1. Iniciar Minikube en el Servidor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 ejecuta este comando para iniciar Minikube en el servidor de la 4090: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28180922"/>
        <w:tag w:val="goog_rdk_7"/>
      </w:sdtPr>
      <w:sdtContent>
        <w:tbl>
          <w:tblPr>
            <w:tblStyle w:val="Table8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start \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--driver=docker \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--container-runtime=docker \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--gpus all \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--cpus=16 \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--memory=32768 \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--apiserver-ips=192.168.1.44 \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--listen-address=0.0.0.0 \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--insecure-registry="192.168.20.50:40232" \</w:t>
                </w:r>
              </w:p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   --addons=nvidia-device-plugin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widowControl w:val="0"/>
        <w:spacing w:after="240" w:before="240" w:line="276" w:lineRule="auto"/>
        <w:rPr/>
      </w:pPr>
      <w:bookmarkStart w:colFirst="0" w:colLast="0" w:name="_heading=h.bvuwjtun2roh" w:id="8"/>
      <w:bookmarkEnd w:id="8"/>
      <w:r w:rsidDel="00000000" w:rsidR="00000000" w:rsidRPr="00000000">
        <w:rPr>
          <w:rtl w:val="0"/>
        </w:rPr>
        <w:t xml:space="preserve">3.2. Configurar el Time-Slicing</w:t>
      </w:r>
    </w:p>
    <w:p w:rsidR="00000000" w:rsidDel="00000000" w:rsidP="00000000" w:rsidRDefault="00000000" w:rsidRPr="00000000" w14:paraId="0000008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Una vez iniciado Minikube, se debe apicar  el siguiente comando para conseguir dividir virtualmente la GPU y que así, varios pods de Kubernertes puedan hacer uso de los recursos en GPU.</w:t>
      </w:r>
    </w:p>
    <w:sdt>
      <w:sdtPr>
        <w:lock w:val="contentLocked"/>
        <w:id w:val="-1020299094"/>
        <w:tag w:val="goog_rdk_8"/>
      </w:sdtPr>
      <w:sdtContent>
        <w:tbl>
          <w:tblPr>
            <w:tblStyle w:val="Table9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# Crear ConfigMap de segmentación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kubectl -- apply -f - &lt;&lt;EOF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apiVersion: v1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kind: ConfigMap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metadata: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name: nvidia-device-plugin-config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namespace: kube-system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data: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config.yaml: |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version: v1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sharing: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timeSlicing: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resources: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- name: nvidia.com/gpu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replicas: 4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EOF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# Parchear el plugin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kubectl -- patch daemonset nvidia-device-plugin-daemonset -n kube-system --type='strategic' -p '{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"spec": {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"template": {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"spec": {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"containers": [{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"name": "nvidia-device-plugin-ctr",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"args": ["--config-file=/etc/kubernetes/mps-config/config.yaml"],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"volumeMounts": [{"name": "mps-config", "mountPath": "/etc/kubernetes/mps-config"}]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}],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"volumes": [{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"name": "mps-config",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"configMap": {"name": "nvidia-device-plugin-config"}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}]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}'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br w:type="textWrapping"/>
        <w:t xml:space="preserve">Se puede verificar la capacidad del cluster con el siguiente comando, el cual debe devolver un 4:</w:t>
      </w:r>
    </w:p>
    <w:sdt>
      <w:sdtPr>
        <w:lock w:val="contentLocked"/>
        <w:id w:val="-498206884"/>
        <w:tag w:val="goog_rdk_9"/>
      </w:sdtPr>
      <w:sdtContent>
        <w:tbl>
          <w:tblPr>
            <w:tblStyle w:val="Table10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minikube kubectl -- get node minikube -o jsonpath='{.status.allocatable.nvidia\.com/gpu}'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widowControl w:val="0"/>
        <w:spacing w:after="240" w:before="240" w:line="276" w:lineRule="auto"/>
        <w:rPr/>
      </w:pPr>
      <w:bookmarkStart w:colFirst="0" w:colLast="0" w:name="_heading=h.266thxs7adqs" w:id="9"/>
      <w:bookmarkEnd w:id="9"/>
      <w:r w:rsidDel="00000000" w:rsidR="00000000" w:rsidRPr="00000000">
        <w:rPr>
          <w:rtl w:val="0"/>
        </w:rPr>
        <w:t xml:space="preserve">4. Conexión</w:t>
      </w:r>
    </w:p>
    <w:p w:rsidR="00000000" w:rsidDel="00000000" w:rsidP="00000000" w:rsidRDefault="00000000" w:rsidRPr="00000000" w14:paraId="000000B8">
      <w:pPr>
        <w:pStyle w:val="Heading2"/>
        <w:widowControl w:val="0"/>
        <w:spacing w:after="240" w:before="240" w:line="276" w:lineRule="auto"/>
        <w:rPr/>
      </w:pPr>
      <w:bookmarkStart w:colFirst="0" w:colLast="0" w:name="_heading=h.za7hto9cq2q7" w:id="10"/>
      <w:bookmarkEnd w:id="10"/>
      <w:r w:rsidDel="00000000" w:rsidR="00000000" w:rsidRPr="00000000">
        <w:rPr>
          <w:rtl w:val="0"/>
        </w:rPr>
        <w:t xml:space="preserve">4.1. Transferencia de Credenciales</w:t>
      </w:r>
    </w:p>
    <w:sdt>
      <w:sdtPr>
        <w:lock w:val="contentLocked"/>
        <w:id w:val="1580345684"/>
        <w:tag w:val="goog_rdk_10"/>
      </w:sdtPr>
      <w:sdtContent>
        <w:tbl>
          <w:tblPr>
            <w:tblStyle w:val="Table1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 ~/.minikube/ca.crt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se guarda en el PC local como ca.crt</w:t>
      </w:r>
    </w:p>
    <w:sdt>
      <w:sdtPr>
        <w:lock w:val="contentLocked"/>
        <w:id w:val="-416711599"/>
        <w:tag w:val="goog_rdk_11"/>
      </w:sdtPr>
      <w:sdtContent>
        <w:tbl>
          <w:tblPr>
            <w:tblStyle w:val="Table12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cat ~/.minikube/profiles/minikube/client.crt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widowControl w:val="0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se guarda como client.crt</w:t>
      </w:r>
    </w:p>
    <w:sdt>
      <w:sdtPr>
        <w:lock w:val="contentLocked"/>
        <w:id w:val="-976795279"/>
        <w:tag w:val="goog_rdk_12"/>
      </w:sdtPr>
      <w:sdtContent>
        <w:tbl>
          <w:tblPr>
            <w:tblStyle w:val="Table13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cat ~/.minikube/profiles/minikube/client.crt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widowControl w:val="0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se guarda en el pc como client.key</w:t>
      </w:r>
    </w:p>
    <w:p w:rsidR="00000000" w:rsidDel="00000000" w:rsidP="00000000" w:rsidRDefault="00000000" w:rsidRPr="00000000" w14:paraId="000000BF">
      <w:pPr>
        <w:pStyle w:val="Heading2"/>
        <w:widowControl w:val="0"/>
        <w:spacing w:after="240" w:before="240" w:line="276" w:lineRule="auto"/>
        <w:rPr/>
      </w:pPr>
      <w:bookmarkStart w:colFirst="0" w:colLast="0" w:name="_heading=h.wtft3cpu5h0f" w:id="11"/>
      <w:bookmarkEnd w:id="11"/>
      <w:r w:rsidDel="00000000" w:rsidR="00000000" w:rsidRPr="00000000">
        <w:rPr>
          <w:rtl w:val="0"/>
        </w:rPr>
        <w:t xml:space="preserve">4.2. Configuración del Contexto Remoto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Una vez se tengan los anteriores 3 archivos en el PC local, se abre una terminal en la carpeta en la que se hayan guardado y se ejecutan los siguientes comandos para poder configurar Kubectl, que debe estar instalado: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89296181"/>
        <w:tag w:val="goog_rdk_13"/>
      </w:sdtPr>
      <w:sdtContent>
        <w:tbl>
          <w:tblPr>
            <w:tblStyle w:val="Table14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# 1. Descargar el binario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curl -LO "https://dl.k8s.io/release/$(curl -L -s https://dl.k8s.io/release/stable.txt)/bin/linux/amd64/kubectl"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# 2. Instalarlo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sudo install -o root -g root -m 0755 kubectl /usr/local/bin/kubectl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# 3. Verificar instalación</w:t>
                </w:r>
              </w:p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kubectl version --client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59303463"/>
        <w:tag w:val="goog_rdk_14"/>
      </w:sdtPr>
      <w:sdtContent>
        <w:tbl>
          <w:tblPr>
            <w:tblStyle w:val="Table15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# 1. Actualizar el cluster con la IP externa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kubectl config set-cluster worker-4090 \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--server=https://192.168.1.44:32771 \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--certificate-authority=ca.crt \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--embed-certs=true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# 2. Actualizar credenciales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kubectl config set-credentials admin-4090 \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--client-certificate=client.crt \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--client-key=client.key \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--embed-certs=true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# 3. Usar el contexto</w:t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kubectl config use-context 4090-context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ejecuta “kubectl get nodes”, si responde con el  nodo minikube, ya se tiene el “mando a distancia” funcionando sin túneles ssh.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widowControl w:val="0"/>
        <w:spacing w:after="240" w:before="240" w:line="276" w:lineRule="auto"/>
        <w:rPr/>
      </w:pPr>
      <w:bookmarkStart w:colFirst="0" w:colLast="0" w:name="_heading=h.zib836ij1lzf" w:id="12"/>
      <w:bookmarkEnd w:id="12"/>
      <w:r w:rsidDel="00000000" w:rsidR="00000000" w:rsidRPr="00000000">
        <w:rPr>
          <w:rtl w:val="0"/>
        </w:rPr>
        <w:t xml:space="preserve">5. Conclusiones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 guía ha cubierto con éxito la configuración de un nodo Worker de Kubernetes con capacidad de aceleración por GPU, logrando los siguientes puntos clave: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Objetivo Principal Cumplido: Se ha configurado una máquina con una tarjeta gráfica NVIDIA RTX 4090 para actuar como un nodo Worker dentro de un clúster de Kubernetes, lo que permite la orquestación y gestión de despliegues de contenedores con aceleración por hardware.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Configuración del Runtime y Registro: Se estableció con éxito el runtime de NVIDIA como motor de ejecución predeterminado en Docker, y se configuró el acceso al registro privado (192.168.20.50:40232) como inseguro, un paso crucial para la disponibilidad de imágenes de contenedores en el entorno.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Habilitación de GPU y Time-Slicing: Minikube se inició con soporte completo para todas las GPUs y el addon nvidia-device-plugin. Además, se implementó el Time-Slicing de la GPU mediante un ConfigMap, permitiendo la división virtual de los recursos de la GPU en 4 réplicas (replicas: 4), lo que habilita que múltiples pods puedan consumir recursos de la GPU de manera compartida.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Conexión Remota Establecida: Se ha finalizado la configuración para el control remoto del clúster. Esto se consiguió mediante la transferencia de credenciales (ca.crt, client.crt, client.key) del servidor al PC local y la subsiguiente configuración de un contexto remoto de kubectl (4090-context), lo que permite gestionar el clúster sin necesidad de túneles SSH.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ind w:left="0" w:firstLine="0"/>
        <w:rPr>
          <w:rFonts w:ascii="Borna" w:cs="Borna" w:eastAsia="Borna" w:hAnsi="Bor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-1962140</wp:posOffset>
            </wp:positionH>
            <wp:positionV relativeFrom="paragraph">
              <wp:posOffset>228600</wp:posOffset>
            </wp:positionV>
            <wp:extent cx="12605400" cy="8627760"/>
            <wp:effectExtent b="0" l="0" r="0" t="0"/>
            <wp:wrapNone/>
            <wp:docPr id="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605400" cy="862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1159827</wp:posOffset>
            </wp:positionH>
            <wp:positionV relativeFrom="paragraph">
              <wp:posOffset>7960995</wp:posOffset>
            </wp:positionV>
            <wp:extent cx="4161155" cy="544830"/>
            <wp:effectExtent b="0" l="0" r="0" t="0"/>
            <wp:wrapNone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54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418" w:top="624" w:left="851" w:right="849" w:header="567" w:footer="55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rna Medium"/>
  <w:font w:name="Liberation Sans"/>
  <w:font w:name="Liberation Serif"/>
  <w:font w:name="Bor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459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c3d4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Borna Medium" w:cs="Borna Medium" w:eastAsia="Borna Medium" w:hAnsi="Borna Medium"/>
        <w:b w:val="0"/>
        <w:bCs w:val="0"/>
        <w:i w:val="0"/>
        <w:iCs w:val="0"/>
        <w:smallCaps w:val="0"/>
        <w:strike w:val="0"/>
        <w:color w:val="2c3d4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90805" cy="90805"/>
              <wp:effectExtent b="0" l="0" r="0" t="0"/>
              <wp:wrapNone/>
              <wp:docPr id="9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8620" y="3772620"/>
                        <a:ext cx="14760" cy="14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6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-33325</wp:posOffset>
              </wp:positionH>
              <wp:positionV relativeFrom="paragraph">
                <wp:posOffset>-33325</wp:posOffset>
              </wp:positionV>
              <wp:extent cx="90805" cy="90805"/>
              <wp:effectExtent b="0" l="0" r="0" t="0"/>
              <wp:wrapNone/>
              <wp:docPr id="9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05" cy="90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tabs>
        <w:tab w:val="left" w:leader="none" w:pos="4657"/>
      </w:tabs>
      <w:ind w:right="-284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Borna Medium" w:cs="Borna Medium" w:eastAsia="Borna Medium" w:hAnsi="Borna Medium"/>
        <w:color w:val="2c3d4f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tabs>
        <w:tab w:val="left" w:leader="none" w:pos="4657"/>
      </w:tabs>
      <w:ind w:right="-284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ind w:right="57" w:firstLine="0"/>
      <w:rPr>
        <w:rFonts w:ascii="Borna Medium" w:cs="Borna Medium" w:eastAsia="Borna Medium" w:hAnsi="Borna Medium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-3067042</wp:posOffset>
          </wp:positionH>
          <wp:positionV relativeFrom="paragraph">
            <wp:posOffset>-360034</wp:posOffset>
          </wp:positionV>
          <wp:extent cx="12601575" cy="10084752"/>
          <wp:effectExtent b="0" l="0" r="0" t="0"/>
          <wp:wrapNone/>
          <wp:docPr id="9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5400000">
                    <a:off x="0" y="0"/>
                    <a:ext cx="12601575" cy="100847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720" w:hanging="36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EncabezadoCar" w:customStyle="1">
    <w:name w:val="Encabezado Car"/>
    <w:uiPriority w:val="99"/>
    <w:qFormat w:val="1"/>
    <w:rsid w:val="00AF65B6"/>
    <w:rPr>
      <w:rFonts w:eastAsia="Times New Roman"/>
    </w:rPr>
  </w:style>
  <w:style w:type="character" w:styleId="PiedepginaCar" w:customStyle="1">
    <w:name w:val="Pie de página Car"/>
    <w:uiPriority w:val="99"/>
    <w:qFormat w:val="1"/>
    <w:rsid w:val="00AF65B6"/>
    <w:rPr>
      <w:rFonts w:eastAsia="Times New Roman"/>
    </w:rPr>
  </w:style>
  <w:style w:type="character" w:styleId="Emphasis">
    <w:name w:val="Emphasis"/>
    <w:uiPriority w:val="20"/>
    <w:qFormat w:val="1"/>
    <w:rsid w:val="00AF65B6"/>
    <w:rPr>
      <w:i w:val="1"/>
      <w:iCs w:val="1"/>
    </w:rPr>
  </w:style>
  <w:style w:type="character" w:styleId="DestacadoCar" w:customStyle="1">
    <w:name w:val="Destacado Car"/>
    <w:link w:val="Destacado"/>
    <w:qFormat w:val="1"/>
    <w:rsid w:val="00592BEF"/>
    <w:rPr>
      <w:rFonts w:ascii="Borna SemiBold" w:eastAsia="Times New Roman" w:hAnsi="Borna SemiBold"/>
      <w:b w:val="1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34BEB"/>
    <w:rPr/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character" w:styleId="InternetLink">
    <w:name w:val="Hyperlink"/>
    <w:rPr>
      <w:color w:val="000080"/>
      <w:u w:val="single"/>
    </w:rPr>
  </w:style>
  <w:style w:type="character" w:styleId="Enlacedelndice">
    <w:name w:val="Enlace del índice"/>
    <w:qFormat w:val="1"/>
    <w:rPr/>
  </w:style>
  <w:style w:type="character" w:styleId="Smbolosdenumeracin">
    <w:name w:val="Símbolos de numeración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olos">
    <w:name w:val="Bolos"/>
    <w:qFormat w:val="1"/>
    <w:rPr>
      <w:rFonts w:ascii="OpenSymbol" w:cs="OpenSymbol" w:eastAsia="OpenSymbol" w:hAnsi="OpenSymbol"/>
    </w:rPr>
  </w:style>
  <w:style w:type="character" w:styleId="IndexLink">
    <w:name w:val="Index Link"/>
    <w:qFormat w:val="1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tulo">
    <w:name w:val="Título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Cabeceraypie">
    <w:name w:val="Cabecera y pie"/>
    <w:basedOn w:val="Normal"/>
    <w:qFormat w:val="1"/>
    <w:pPr/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EncabezadoCar"/>
    <w:uiPriority w:val="99"/>
    <w:unhideWhenUsed w:val="1"/>
    <w:rsid w:val="00AF65B6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PiedepginaCar"/>
    <w:uiPriority w:val="99"/>
    <w:unhideWhenUsed w:val="1"/>
    <w:rsid w:val="00AF65B6"/>
    <w:pPr>
      <w:tabs>
        <w:tab w:val="clear" w:pos="708"/>
        <w:tab w:val="center" w:leader="none" w:pos="4252"/>
        <w:tab w:val="right" w:leader="none" w:pos="8504"/>
      </w:tabs>
    </w:pPr>
    <w:rPr/>
  </w:style>
  <w:style w:type="paragraph" w:styleId="Encabezadoecapture" w:customStyle="1">
    <w:name w:val="Encabezado ecapture"/>
    <w:qFormat w:val="1"/>
    <w:rsid w:val="005F4E68"/>
    <w:pPr>
      <w:widowControl w:val="1"/>
      <w:suppressAutoHyphens w:val="1"/>
      <w:bidi w:val="0"/>
      <w:spacing w:after="0" w:before="0"/>
      <w:ind w:right="-284" w:hanging="0"/>
      <w:jc w:val="left"/>
    </w:pPr>
    <w:rPr>
      <w:rFonts w:ascii="Borna Medium" w:cs="Times New Roman" w:eastAsia="Times New Roman" w:hAnsi="Borna Medium"/>
      <w:b w:val="1"/>
      <w:bCs w:val="1"/>
      <w:color w:val="auto"/>
      <w:kern w:val="2"/>
      <w:sz w:val="24"/>
      <w:szCs w:val="24"/>
      <w:lang w:bidi="ar-SA" w:eastAsia="en-US" w:val="es-ES"/>
    </w:rPr>
  </w:style>
  <w:style w:type="paragraph" w:styleId="Nombreycargo" w:customStyle="1">
    <w:name w:val="Nombre y cargo"/>
    <w:basedOn w:val="Normal"/>
    <w:qFormat w:val="1"/>
    <w:rsid w:val="00934BEB"/>
    <w:pPr/>
    <w:rPr>
      <w:rFonts w:ascii="Borna Medium" w:hAnsi="Borna Medium"/>
      <w:color w:val="2c3d4f"/>
      <w:sz w:val="28"/>
    </w:rPr>
  </w:style>
  <w:style w:type="paragraph" w:styleId="Ttulodeldocumento" w:customStyle="1">
    <w:name w:val="Título del documento"/>
    <w:basedOn w:val="Normal"/>
    <w:qFormat w:val="1"/>
    <w:rsid w:val="00AF65B6"/>
    <w:pPr/>
    <w:rPr>
      <w:rFonts w:ascii="Borna" w:hAnsi="Borna"/>
    </w:rPr>
  </w:style>
  <w:style w:type="paragraph" w:styleId="Prrafoecapture" w:customStyle="1">
    <w:name w:val="Párrafo ecapture"/>
    <w:basedOn w:val="Normal"/>
    <w:qFormat w:val="1"/>
    <w:rsid w:val="00AF65B6"/>
    <w:pPr/>
    <w:rPr>
      <w:rFonts w:ascii="Borna" w:hAnsi="Borna"/>
    </w:rPr>
  </w:style>
  <w:style w:type="paragraph" w:styleId="Destacado" w:customStyle="1">
    <w:name w:val="Destacado"/>
    <w:link w:val="DestacadoCar"/>
    <w:qFormat w:val="1"/>
    <w:rsid w:val="00592BEF"/>
    <w:pPr>
      <w:widowControl w:val="1"/>
      <w:suppressAutoHyphens w:val="1"/>
      <w:bidi w:val="0"/>
      <w:spacing w:after="0" w:before="0"/>
      <w:jc w:val="left"/>
    </w:pPr>
    <w:rPr>
      <w:rFonts w:ascii="Borna SemiBold" w:cs="Times New Roman" w:eastAsia="Times New Roman" w:hAnsi="Borna SemiBold"/>
      <w:b w:val="1"/>
      <w:color w:val="auto"/>
      <w:kern w:val="2"/>
      <w:sz w:val="24"/>
      <w:szCs w:val="24"/>
      <w:lang w:bidi="ar-SA" w:eastAsia="en-US" w:val="es-ES"/>
    </w:rPr>
  </w:style>
  <w:style w:type="paragraph" w:styleId="Piedepginaecapture" w:customStyle="1">
    <w:name w:val="Pie de página ecapture"/>
    <w:basedOn w:val="Footer"/>
    <w:qFormat w:val="1"/>
    <w:rsid w:val="00AF65B6"/>
    <w:pPr>
      <w:jc w:val="right"/>
    </w:pPr>
    <w:rPr>
      <w:rFonts w:ascii="Borna Medium" w:hAnsi="Borna Medium"/>
      <w:sz w:val="20"/>
    </w:rPr>
  </w:style>
  <w:style w:type="paragraph" w:styleId="Textoecapture" w:customStyle="1">
    <w:name w:val="Texto ecapture"/>
    <w:qFormat w:val="1"/>
    <w:rsid w:val="00592BEF"/>
    <w:pPr>
      <w:widowControl w:val="1"/>
      <w:suppressAutoHyphens w:val="1"/>
      <w:bidi w:val="0"/>
      <w:spacing w:after="0" w:before="0"/>
      <w:jc w:val="left"/>
    </w:pPr>
    <w:rPr>
      <w:rFonts w:ascii="Borna" w:cs="Times New Roman" w:eastAsia="Times New Roman" w:hAnsi="Borna"/>
      <w:color w:val="auto"/>
      <w:kern w:val="2"/>
      <w:sz w:val="24"/>
      <w:szCs w:val="24"/>
      <w:lang w:bidi="ar-SA" w:eastAsia="en-US" w:val="es-ES"/>
    </w:rPr>
  </w:style>
  <w:style w:type="paragraph" w:styleId="TTULOS" w:customStyle="1">
    <w:name w:val="TÍTULOS"/>
    <w:basedOn w:val="Normal"/>
    <w:qFormat w:val="1"/>
    <w:rsid w:val="00934BEB"/>
    <w:pPr>
      <w:jc w:val="center"/>
    </w:pPr>
    <w:rPr>
      <w:rFonts w:ascii="Borna Medium" w:hAnsi="Borna Medium"/>
      <w:color w:val="2c3d4f"/>
      <w:sz w:val="44"/>
      <w:szCs w:val="44"/>
    </w:rPr>
  </w:style>
  <w:style w:type="paragraph" w:styleId="Contenidodelmarco">
    <w:name w:val="Contenido del marco"/>
    <w:basedOn w:val="Normal"/>
    <w:qFormat w:val="1"/>
    <w:pPr/>
    <w:rPr/>
  </w:style>
  <w:style w:type="paragraph" w:styleId="Indexheading">
    <w:name w:val="index heading"/>
    <w:basedOn w:val="Ttulo"/>
    <w:qFormat w:val="1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qFormat w:val="1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Contents1">
    <w:name w:val="TOC 1"/>
    <w:basedOn w:val="Ndice"/>
    <w:pPr>
      <w:tabs>
        <w:tab w:val="clear" w:pos="708"/>
        <w:tab w:val="right" w:leader="dot" w:pos="10206"/>
      </w:tabs>
      <w:ind w:left="0" w:hanging="0"/>
    </w:pPr>
    <w:rPr/>
  </w:style>
  <w:style w:type="paragraph" w:styleId="Contents2">
    <w:name w:val="TOC 2"/>
    <w:basedOn w:val="Ndice"/>
    <w:pPr/>
    <w:rPr/>
  </w:style>
  <w:style w:type="paragraph" w:styleId="Contents3">
    <w:name w:val="TOC 3"/>
    <w:basedOn w:val="Ndice"/>
    <w:pPr/>
    <w:rPr/>
  </w:style>
  <w:style w:type="paragraph" w:styleId="Contents4">
    <w:name w:val="TOC 4"/>
    <w:basedOn w:val="Ndice"/>
    <w:pPr/>
    <w:rPr/>
  </w:style>
  <w:style w:type="paragraph" w:styleId="Contents5">
    <w:name w:val="TOC 5"/>
    <w:basedOn w:val="Ndice"/>
    <w:pPr/>
    <w:rPr/>
  </w:style>
  <w:style w:type="paragraph" w:styleId="Contents6">
    <w:name w:val="TOC 6"/>
    <w:basedOn w:val="Ndice"/>
    <w:pPr/>
    <w:rPr/>
  </w:style>
  <w:style w:type="paragraph" w:styleId="Contents7">
    <w:name w:val="TOC 7"/>
    <w:basedOn w:val="Ndice"/>
    <w:pPr/>
    <w:rPr/>
  </w:style>
  <w:style w:type="paragraph" w:styleId="Contents8">
    <w:name w:val="TOC 8"/>
    <w:basedOn w:val="Ndice"/>
    <w:pPr/>
    <w:rPr/>
  </w:style>
  <w:style w:type="paragraph" w:styleId="Contents9">
    <w:name w:val="TOC 9"/>
    <w:basedOn w:val="Ndice"/>
    <w:pPr/>
    <w:rPr/>
  </w:style>
  <w:style w:type="paragraph" w:styleId="FrameContents">
    <w:name w:val="Frame Contents"/>
    <w:basedOn w:val="Normal"/>
    <w:qFormat w:val="1"/>
    <w:pPr/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gofile.me/7fXb9/8DgQjoh7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GVyr0m5aA7uwAj3rukXRu3+Pw==">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2023-10-27T09:31:00Z</dcterms:created>
  <dc:creator>Dario Dominguez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