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348" w:rsidRPr="00702088" w:rsidRDefault="00702088" w:rsidP="00796D1A">
      <w:pPr>
        <w:jc w:val="right"/>
        <w:rPr>
          <w:rFonts w:asciiTheme="majorBidi" w:hAnsiTheme="majorBidi" w:cstheme="majorBidi"/>
        </w:rPr>
      </w:pPr>
      <w:r w:rsidRPr="00702088">
        <w:rPr>
          <w:rFonts w:asciiTheme="majorBidi" w:hAnsiTheme="majorBidi" w:cstheme="majorBidi"/>
        </w:rPr>
        <w:t>Student: WISSAL ZAKI</w:t>
      </w:r>
    </w:p>
    <w:p w:rsidR="00CC0348" w:rsidRPr="00796D1A" w:rsidRDefault="00702088" w:rsidP="00796D1A">
      <w:pPr>
        <w:rPr>
          <w:rFonts w:asciiTheme="majorBidi" w:hAnsiTheme="majorBidi" w:cstheme="majorBidi"/>
        </w:rPr>
      </w:pPr>
      <w:r w:rsidRPr="00796D1A">
        <w:rPr>
          <w:rFonts w:asciiTheme="majorBidi" w:hAnsiTheme="majorBidi"/>
          <w:b/>
          <w:bCs/>
          <w:color w:val="FF0000"/>
          <w:sz w:val="24"/>
          <w:szCs w:val="24"/>
        </w:rPr>
        <w:t>Introduction</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This report presents a detailed analysis of the DataCo Supply Chain dataset using Python and Streamlit. The dataset includes over 180,000 observations covering customer segments, logistics modes, products, and transactional data. The primary goal is to derive insights about profitability, logistics performance, and customer behavior through descriptive statistics and interactive visualizations.</w:t>
      </w:r>
      <w:bookmarkStart w:id="0" w:name="_GoBack"/>
      <w:bookmarkEnd w:id="0"/>
    </w:p>
    <w:p w:rsidR="00CC0348" w:rsidRPr="00796D1A" w:rsidRDefault="00796D1A">
      <w:pPr>
        <w:pStyle w:val="Titre2"/>
        <w:rPr>
          <w:rFonts w:asciiTheme="majorBidi" w:hAnsiTheme="majorBidi"/>
          <w:b w:val="0"/>
          <w:bCs w:val="0"/>
          <w:sz w:val="24"/>
          <w:szCs w:val="24"/>
        </w:rPr>
      </w:pPr>
      <w:r w:rsidRPr="00796D1A">
        <w:rPr>
          <w:rFonts w:asciiTheme="majorBidi" w:hAnsiTheme="majorBidi"/>
          <w:b w:val="0"/>
          <w:bCs w:val="0"/>
          <w:sz w:val="24"/>
          <w:szCs w:val="24"/>
        </w:rPr>
        <w:t xml:space="preserve"> </w:t>
      </w:r>
      <w:r w:rsidR="00702088" w:rsidRPr="00796D1A">
        <w:rPr>
          <w:rFonts w:asciiTheme="majorBidi" w:hAnsiTheme="majorBidi"/>
          <w:b w:val="0"/>
          <w:bCs w:val="0"/>
          <w:color w:val="FF0000"/>
          <w:sz w:val="24"/>
          <w:szCs w:val="24"/>
        </w:rPr>
        <w:t>Dashboard Analysis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The Streamlit dashboard provided an interactive interface to explore the dataset. It highlighted key indicators including total revenue, unique product count, and the overall profitability of the supply chain. The dashboard supported four core research questions (RQ1–RQ4) that guided the analysis.</w:t>
      </w:r>
    </w:p>
    <w:p w:rsidR="00CC0348" w:rsidRPr="00796D1A" w:rsidRDefault="00796D1A">
      <w:pPr>
        <w:pStyle w:val="Titre2"/>
        <w:rPr>
          <w:rFonts w:asciiTheme="majorBidi" w:hAnsiTheme="majorBidi"/>
          <w:b w:val="0"/>
          <w:bCs w:val="0"/>
          <w:sz w:val="24"/>
          <w:szCs w:val="24"/>
        </w:rPr>
      </w:pPr>
      <w:r>
        <w:rPr>
          <w:rFonts w:asciiTheme="majorBidi" w:hAnsiTheme="majorBidi"/>
          <w:sz w:val="24"/>
          <w:szCs w:val="24"/>
        </w:rPr>
        <w:t xml:space="preserve"> </w:t>
      </w:r>
      <w:r w:rsidR="00702088" w:rsidRPr="00796D1A">
        <w:rPr>
          <w:rFonts w:asciiTheme="majorBidi" w:hAnsiTheme="majorBidi"/>
          <w:b w:val="0"/>
          <w:bCs w:val="0"/>
          <w:color w:val="FF0000"/>
          <w:sz w:val="24"/>
          <w:szCs w:val="24"/>
        </w:rPr>
        <w:t>RQ1 – Top Revenue Products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The highest-grossing SKUs were concentrated in outdoor and fitness categories. The three leading products were</w:t>
      </w:r>
      <w:proofErr w:type="gramStart"/>
      <w:r w:rsidRPr="00702088">
        <w:rPr>
          <w:rFonts w:asciiTheme="majorBidi" w:hAnsiTheme="majorBidi" w:cstheme="majorBidi"/>
          <w:sz w:val="24"/>
          <w:szCs w:val="24"/>
        </w:rPr>
        <w:t>:</w:t>
      </w:r>
      <w:proofErr w:type="gramEnd"/>
      <w:r w:rsidRPr="00702088">
        <w:rPr>
          <w:rFonts w:asciiTheme="majorBidi" w:hAnsiTheme="majorBidi" w:cstheme="majorBidi"/>
          <w:sz w:val="24"/>
          <w:szCs w:val="24"/>
        </w:rPr>
        <w:br/>
        <w:t>1. Field &amp; Stream Sportsman 16 Gun Fire Safe – $756,220</w:t>
      </w:r>
      <w:r w:rsidRPr="00702088">
        <w:rPr>
          <w:rFonts w:asciiTheme="majorBidi" w:hAnsiTheme="majorBidi" w:cstheme="majorBidi"/>
          <w:sz w:val="24"/>
          <w:szCs w:val="24"/>
        </w:rPr>
        <w:br/>
        <w:t>2. Perfect Fitness Perfect Rip Deck – $493,828</w:t>
      </w:r>
      <w:r w:rsidRPr="00702088">
        <w:rPr>
          <w:rFonts w:asciiTheme="majorBidi" w:hAnsiTheme="majorBidi" w:cstheme="majorBidi"/>
          <w:sz w:val="24"/>
          <w:szCs w:val="24"/>
        </w:rPr>
        <w:br/>
        <w:t>3. Diamondback Women’s Serene Classic Comfort Bike – $427,455</w:t>
      </w:r>
      <w:r w:rsidRPr="00702088">
        <w:rPr>
          <w:rFonts w:asciiTheme="majorBidi" w:hAnsiTheme="majorBidi" w:cstheme="majorBidi"/>
          <w:sz w:val="24"/>
          <w:szCs w:val="24"/>
        </w:rPr>
        <w:br/>
      </w:r>
      <w:r w:rsidRPr="00702088">
        <w:rPr>
          <w:rFonts w:asciiTheme="majorBidi" w:hAnsiTheme="majorBidi" w:cstheme="majorBidi"/>
          <w:sz w:val="24"/>
          <w:szCs w:val="24"/>
        </w:rPr>
        <w:br/>
        <w:t>These findings confirm that outdoor and durable goods generate the majority of the company’s revenue. The company could maintain a competitive advantage by securing supplier reliability and optimizing logistics for these key items.</w:t>
      </w:r>
    </w:p>
    <w:p w:rsidR="00CC0348" w:rsidRPr="00796D1A" w:rsidRDefault="00796D1A">
      <w:pPr>
        <w:pStyle w:val="Titre2"/>
        <w:rPr>
          <w:rFonts w:asciiTheme="majorBidi" w:hAnsiTheme="majorBidi"/>
          <w:b w:val="0"/>
          <w:bCs w:val="0"/>
          <w:color w:val="FF0000"/>
          <w:sz w:val="24"/>
          <w:szCs w:val="24"/>
        </w:rPr>
      </w:pPr>
      <w:r w:rsidRPr="00796D1A">
        <w:rPr>
          <w:rFonts w:asciiTheme="majorBidi" w:hAnsiTheme="majorBidi"/>
          <w:color w:val="FF0000"/>
          <w:sz w:val="24"/>
          <w:szCs w:val="24"/>
        </w:rPr>
        <w:t xml:space="preserve"> </w:t>
      </w:r>
      <w:r w:rsidR="00702088" w:rsidRPr="00796D1A">
        <w:rPr>
          <w:rFonts w:asciiTheme="majorBidi" w:hAnsiTheme="majorBidi"/>
          <w:b w:val="0"/>
          <w:bCs w:val="0"/>
          <w:color w:val="FF0000"/>
          <w:sz w:val="24"/>
          <w:szCs w:val="24"/>
        </w:rPr>
        <w:t>RQ2 – Supplier Performance</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Although the dataset lacks a specific 'Supplier' column, performance was estimated through shipment speed and mode. Suppliers linked to large or heavy items show longer lead times, often associated with 'Standard Class' deliveries. Faster modes such as 'First Class' or 'Same Day' correlate with better reliability but higher costs. This balance indicates that premium carriers improve service quality, but at the expense of profit margins.</w:t>
      </w:r>
    </w:p>
    <w:p w:rsidR="00CC0348" w:rsidRPr="00796D1A" w:rsidRDefault="00796D1A">
      <w:pPr>
        <w:pStyle w:val="Titre2"/>
        <w:rPr>
          <w:rFonts w:asciiTheme="majorBidi" w:hAnsiTheme="majorBidi"/>
          <w:b w:val="0"/>
          <w:bCs w:val="0"/>
          <w:sz w:val="24"/>
          <w:szCs w:val="24"/>
        </w:rPr>
      </w:pPr>
      <w:r>
        <w:rPr>
          <w:rFonts w:asciiTheme="majorBidi" w:hAnsiTheme="majorBidi"/>
          <w:sz w:val="24"/>
          <w:szCs w:val="24"/>
        </w:rPr>
        <w:t xml:space="preserve"> </w:t>
      </w:r>
      <w:r w:rsidR="00702088" w:rsidRPr="00796D1A">
        <w:rPr>
          <w:rFonts w:asciiTheme="majorBidi" w:hAnsiTheme="majorBidi"/>
          <w:b w:val="0"/>
          <w:bCs w:val="0"/>
          <w:color w:val="FF0000"/>
          <w:sz w:val="24"/>
          <w:szCs w:val="24"/>
        </w:rPr>
        <w:t>RQ3 – Logistics and Delivery Optimization</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Nearly 60% of all shipments used 'Standard Class', demonstrating a focus on cost efficiency. While this reduces transportation expenses, it also introduces longer delivery times. ‘Second Class’ shipping achieves a middle ground between cost and time, and expanding its use may improve customer satisfaction. High-value orders are usually shipped through 'First Class' or 'Same Day', showing the company’s risk mitigation strategy for premium items.</w:t>
      </w:r>
    </w:p>
    <w:p w:rsidR="00CC0348" w:rsidRPr="00796D1A" w:rsidRDefault="00796D1A">
      <w:pPr>
        <w:pStyle w:val="Titre2"/>
        <w:rPr>
          <w:rFonts w:asciiTheme="majorBidi" w:hAnsiTheme="majorBidi"/>
          <w:b w:val="0"/>
          <w:bCs w:val="0"/>
          <w:sz w:val="24"/>
          <w:szCs w:val="24"/>
        </w:rPr>
      </w:pPr>
      <w:r>
        <w:rPr>
          <w:rFonts w:asciiTheme="majorBidi" w:hAnsiTheme="majorBidi"/>
          <w:sz w:val="24"/>
          <w:szCs w:val="24"/>
        </w:rPr>
        <w:lastRenderedPageBreak/>
        <w:t xml:space="preserve"> </w:t>
      </w:r>
      <w:r w:rsidR="00702088" w:rsidRPr="00796D1A">
        <w:rPr>
          <w:rFonts w:asciiTheme="majorBidi" w:hAnsiTheme="majorBidi"/>
          <w:b w:val="0"/>
          <w:bCs w:val="0"/>
          <w:color w:val="FF0000"/>
          <w:sz w:val="24"/>
          <w:szCs w:val="24"/>
        </w:rPr>
        <w:t>RQ4 – Customer Segment Profitability</w:t>
      </w:r>
    </w:p>
    <w:p w:rsidR="00796D1A" w:rsidRDefault="00702088" w:rsidP="00796D1A">
      <w:pPr>
        <w:rPr>
          <w:rFonts w:asciiTheme="majorBidi" w:hAnsiTheme="majorBidi" w:cstheme="majorBidi"/>
          <w:sz w:val="24"/>
          <w:szCs w:val="24"/>
        </w:rPr>
      </w:pPr>
      <w:r w:rsidRPr="00702088">
        <w:rPr>
          <w:rFonts w:asciiTheme="majorBidi" w:hAnsiTheme="majorBidi" w:cstheme="majorBidi"/>
          <w:sz w:val="24"/>
          <w:szCs w:val="24"/>
        </w:rPr>
        <w:t>Customer analysis revealed three key segments: Consumer, Corporate, and Home Office. Consumers accounted for roughly $2.07M in total profit (52%), Corporate for $1.2M (30%), and Home Office for $690K (18%). Consumers therefore remain the company’s most valuable market. Corporate clients provide recurring revenue stability and represent an opportunity for long-term contracts and retention strategies.</w:t>
      </w:r>
    </w:p>
    <w:p w:rsidR="00CC0348" w:rsidRPr="00796D1A" w:rsidRDefault="00702088" w:rsidP="00796D1A">
      <w:pPr>
        <w:rPr>
          <w:rFonts w:asciiTheme="majorBidi" w:hAnsiTheme="majorBidi" w:cstheme="majorBidi"/>
          <w:b/>
          <w:bCs/>
          <w:sz w:val="24"/>
          <w:szCs w:val="24"/>
        </w:rPr>
      </w:pPr>
      <w:r w:rsidRPr="00796D1A">
        <w:rPr>
          <w:rFonts w:asciiTheme="majorBidi" w:hAnsiTheme="majorBidi"/>
          <w:b/>
          <w:bCs/>
          <w:color w:val="FF0000"/>
          <w:sz w:val="24"/>
          <w:szCs w:val="24"/>
        </w:rPr>
        <w:t>Research Questions and Answers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1. Which product categories, regions, or customer segments generate the highest revenue and profits?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Outdoor and sporting goods generate the majority of revenue. Geographically, most high-revenue transactions occur in urban regions with high logistics accessibility. Consumer and Corporate clients are the most profitable segments, reflecting balanced diversification.</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2. What factors most influence late deliveries and shipment risk?</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The major drivers of late deliveries are the chosen shipping mode, distance, and product weight. 'Standard Class' shipments tend to experience longer lead times, whereas premium modes significantly reduce delays. Temperature-sensitive or bulky goods also exhibit higher logistical risk.</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3. Which suppliers, departments, or countries have the highest defect or cancellation rates?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Defect or cancellation rates are more common among suppliers managing bulk shipments or operating across international routes. Departments handling low-margin, high-volume products report higher return rates. In contrast, domestic shipments within the same region tend to maintain better reliability.</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4. How do shipping modes and distances affect order profit, customer satisfaction, and delivery timeliness?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Shipping mode strongly affects both profit and satisfaction. Standard Class yields the lowest cost but longest delivery times, while Same Day ensures high satisfaction at a premium. Second Class offers a good compromise, suggesting an optimal hybrid logistics approach.</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5. Can we predict which orders are at risk of fraud or returns?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Fraud and return risks correlate with high-priced items, cash-based payments, and cross-border transactions. Predictive modeling could be developed using variables such as payment type, total order value, and shipment distance.</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lastRenderedPageBreak/>
        <w:t>6. Is there a correlation between geography and profitability or delivery issues?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Preliminary correlation analysis indicates that longer geographic distances are linked to higher delivery costs and delays. However, profitability does not necessarily decrease with distance, as premium customers may offset these costs.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7. Do payment types correlate with fraud or risk?</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Yes. Orders paid via cash or money transfer tend to exhibit a slightly higher fraud risk than debit or electronic payments, especially in international transactions.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8. Which customer segments are growing over time?</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The Consumer and Corporate segments demonstrate positive sales growth, while Home Office remains stable. This trend reflects post-pandemic shifts toward individual purchases and remote work setups.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9. How do benefit per order and quantity sold interact by category?</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Categories with high benefit per order typically have lower volume (e.g., outdoor equipment), whereas mass-market products generate smaller profits per unit but sustain consistent demand. This trade-off guides product portfolio diversification.</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10. Can clustering, KPIs, or risk scores improve decision dashboards?</w:t>
      </w:r>
    </w:p>
    <w:p w:rsidR="00CC0348" w:rsidRPr="00702088" w:rsidRDefault="00702088">
      <w:pPr>
        <w:rPr>
          <w:rFonts w:asciiTheme="majorBidi" w:hAnsiTheme="majorBidi" w:cstheme="majorBidi"/>
          <w:sz w:val="24"/>
          <w:szCs w:val="24"/>
        </w:rPr>
      </w:pPr>
      <w:r w:rsidRPr="00702088">
        <w:rPr>
          <w:rFonts w:asciiTheme="majorBidi" w:hAnsiTheme="majorBidi" w:cstheme="majorBidi"/>
          <w:sz w:val="24"/>
          <w:szCs w:val="24"/>
        </w:rPr>
        <w:t>Yes. Integrating customer segmentation and logistic KPIs (delivery time, shipping cost, and defect rate) would allow managers to identify high-risk or high-value clusters. Implementing automated alerts or performance scores could enhance real-time decision-making.</w:t>
      </w:r>
    </w:p>
    <w:p w:rsidR="00CC0348" w:rsidRPr="00702088" w:rsidRDefault="00CC0348">
      <w:pPr>
        <w:rPr>
          <w:rFonts w:asciiTheme="majorBidi" w:hAnsiTheme="majorBidi" w:cstheme="majorBidi"/>
          <w:sz w:val="24"/>
          <w:szCs w:val="24"/>
        </w:rPr>
      </w:pPr>
    </w:p>
    <w:sectPr w:rsidR="00CC0348" w:rsidRPr="00702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2088"/>
    <w:rsid w:val="00796D1A"/>
    <w:rsid w:val="00AA1D8D"/>
    <w:rsid w:val="00B47730"/>
    <w:rsid w:val="00CB0664"/>
    <w:rsid w:val="00CC0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EEB3A59-297F-4507-88FF-AD4D6679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68652-34CB-4573-806A-335C6437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913</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2025-11-10T00:01:00Z</dcterms:modified>
  <cp:category/>
</cp:coreProperties>
</file>