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EDB85" w14:textId="77777777" w:rsidR="006D73B6" w:rsidRPr="00E85BBF" w:rsidRDefault="006D73B6" w:rsidP="006D73B6">
      <w:pPr>
        <w:numPr>
          <w:ilvl w:val="0"/>
          <w:numId w:val="1"/>
        </w:numPr>
        <w:ind w:left="371"/>
        <w:jc w:val="left"/>
        <w:rPr>
          <w:lang w:eastAsia="en-US"/>
        </w:rPr>
      </w:pPr>
      <w:r w:rsidRPr="00E85BBF">
        <w:t xml:space="preserve">Ghazal, I., Hokayem, H., &amp; Boujaoude, S. (2024, April). Impact of explicit engagement in argumentation skills on Lebanese grade 8 argument levels and achievement [Roundtable presentation]. American Educational Research Association (AERA), Philadelphia, PA, United States. </w:t>
      </w:r>
      <w:hyperlink r:id="rId5" w:tgtFrame="_new" w:history="1">
        <w:r w:rsidRPr="00E85BBF">
          <w:rPr>
            <w:rStyle w:val="Hyperlink"/>
            <w:rFonts w:eastAsiaTheme="majorEastAsia"/>
          </w:rPr>
          <w:t>https://doi.org/10.3102/2105471</w:t>
        </w:r>
      </w:hyperlink>
    </w:p>
    <w:p w14:paraId="7B184432" w14:textId="77777777" w:rsidR="006D73B6" w:rsidRPr="00E85BBF" w:rsidRDefault="006D73B6" w:rsidP="006D73B6">
      <w:pPr>
        <w:numPr>
          <w:ilvl w:val="0"/>
          <w:numId w:val="1"/>
        </w:numPr>
        <w:ind w:left="371"/>
        <w:jc w:val="left"/>
      </w:pPr>
      <w:r w:rsidRPr="00E85BBF">
        <w:t>Khuri, F. &amp; BouJaoude, S. (2019). How can universities prepare students for life and work? Proceedings of the Conference on Impact of Frontier Technologies on Education and Youth (pp. 77-93). Organized Rafic Hariri Foundation; and the Economic and Social Commission for Western Asia (ESCWA), Beirut, November 30, 2018.</w:t>
      </w:r>
    </w:p>
    <w:p w14:paraId="6CFD2BEC" w14:textId="77777777" w:rsidR="006D73B6" w:rsidRPr="00E85BBF" w:rsidRDefault="006D73B6" w:rsidP="006D73B6">
      <w:pPr>
        <w:numPr>
          <w:ilvl w:val="0"/>
          <w:numId w:val="1"/>
        </w:numPr>
        <w:ind w:left="371"/>
        <w:jc w:val="left"/>
      </w:pPr>
      <w:r w:rsidRPr="00E85BBF">
        <w:t>Salloum, S. &amp;, BouJaoude, S. (2018). Contradictions and congruence in multi-lingual science classrooms: an activity system perspective. In Finlayson, O.E., McLoughlin, E., Erduran, S., &amp; Childs, P. (Eds.), Electronic Proceedings of the ESERA 2017 Conference. Research, Practice and Collaboration in Science Education, 1212 (co-ed. [Henriette Tolstrup Holmegaard &amp; Margareta Enghag), (pp.1592-1603. Dublin, Ireland: Dublin City University. ISBN 978-1-873769-84-3</w:t>
      </w:r>
    </w:p>
    <w:p w14:paraId="478ADD04" w14:textId="77777777" w:rsidR="006D73B6" w:rsidRPr="00E85BBF" w:rsidRDefault="006D73B6" w:rsidP="006D73B6">
      <w:pPr>
        <w:numPr>
          <w:ilvl w:val="0"/>
          <w:numId w:val="1"/>
        </w:numPr>
        <w:ind w:left="371"/>
        <w:jc w:val="left"/>
      </w:pPr>
      <w:r w:rsidRPr="00E85BBF">
        <w:t>Hamdan, H., Osman, E., &amp; BouJaoude, S. (2016). Identifying misconceptions and difficulties to design a learning progression in genetics. In J. Lavonen, K. Juuti, J. Lampiselkä, A. Uitto &amp; K. Hahl (Eds.), Electronic Proceedings of the ESERA 2015 Conference. Science education research: Engaging learners for a sustainable future, Part 1, Strand 1 (Odilla Finlayson &amp; Roser Pinto, co-ed.), (pp. 86-94). Helsinki, Finland: University of Helsinki. ISBN 978-951-51-1541-6.</w:t>
      </w:r>
    </w:p>
    <w:p w14:paraId="354DCC07" w14:textId="77777777" w:rsidR="006D73B6" w:rsidRPr="00E85BBF" w:rsidRDefault="006D73B6" w:rsidP="006D73B6">
      <w:pPr>
        <w:numPr>
          <w:ilvl w:val="0"/>
          <w:numId w:val="1"/>
        </w:numPr>
        <w:ind w:left="371"/>
        <w:jc w:val="left"/>
      </w:pPr>
      <w:r w:rsidRPr="00E85BBF">
        <w:t>Osman, E. &amp; BouJaoude, S. (2016). Learning progressions to enhance students’ understanding of genetics. In J. Lavonen, K. Juuti, J. Lampiselkä, A. Uitto &amp; K. Hahl (Eds.), Electronic Proceedings of the ESERA 2015 Conference. Science education research: Engaging learners for a sustainable future, Part 1, Strand 1 (Odilla Finlayson &amp; Roser Pinto, co-ed.), (pp. 3-10). Helsinki, Finland: University of Helsinki. ISBN 978-951-51-1541-6.</w:t>
      </w:r>
    </w:p>
    <w:p w14:paraId="0498FFC3" w14:textId="77777777" w:rsidR="006D73B6" w:rsidRPr="00E85BBF" w:rsidRDefault="006D73B6" w:rsidP="006D73B6">
      <w:pPr>
        <w:numPr>
          <w:ilvl w:val="0"/>
          <w:numId w:val="1"/>
        </w:numPr>
        <w:ind w:left="371"/>
        <w:jc w:val="left"/>
      </w:pPr>
      <w:r w:rsidRPr="00E85BBF">
        <w:t>Jurdak M., BouJaoude S. &amp; Ghumrawi N. (2007</w:t>
      </w:r>
      <w:proofErr w:type="gramStart"/>
      <w:r w:rsidRPr="00E85BBF">
        <w:t>).Comparison</w:t>
      </w:r>
      <w:proofErr w:type="gramEnd"/>
      <w:r w:rsidRPr="00E85BBF">
        <w:t xml:space="preserve"> of mathematization in microcomputer-based laboratory (MBL) and verification – Type laboratory (VTL) in physics. In Pitta-Pantazi, P. &amp; Philippou, G. (Editors), Proceedings of the Fifth Congress of the European Society for Research in Mathematics Education, pp. 2110-2119. Larnaka, Cyprus: European Society for Research in Mathematics Education and Department of Education, University of Cyprus.</w:t>
      </w:r>
    </w:p>
    <w:p w14:paraId="7C989FCC" w14:textId="77777777" w:rsidR="006D73B6" w:rsidRPr="00E85BBF" w:rsidRDefault="006D73B6" w:rsidP="006D73B6">
      <w:pPr>
        <w:numPr>
          <w:ilvl w:val="0"/>
          <w:numId w:val="1"/>
        </w:numPr>
        <w:ind w:left="371"/>
        <w:jc w:val="left"/>
      </w:pPr>
      <w:r w:rsidRPr="00E85BBF">
        <w:t>BouJaoude, S. (2005). Improving Science Teaching Methodology at the University Level: Synchronizing the Teaching Approaches at the Secondary and University Levels. In UNESCO National Committee (Ed.), Proceedings of the international conference on teaching science at the University level (112-130). Beirut, Lebanon: UNESCO National Committee.</w:t>
      </w:r>
    </w:p>
    <w:p w14:paraId="06374BA6" w14:textId="77777777" w:rsidR="006D73B6" w:rsidRPr="00E85BBF" w:rsidRDefault="006D73B6" w:rsidP="006D73B6">
      <w:pPr>
        <w:numPr>
          <w:ilvl w:val="0"/>
          <w:numId w:val="1"/>
        </w:numPr>
        <w:ind w:left="371"/>
        <w:jc w:val="left"/>
      </w:pPr>
      <w:r w:rsidRPr="00E85BBF">
        <w:t xml:space="preserve">BouJaoude, S. (2003). Scientific Literacy in the Lebanese </w:t>
      </w:r>
      <w:proofErr w:type="gramStart"/>
      <w:r w:rsidRPr="00E85BBF">
        <w:t>curriculum .</w:t>
      </w:r>
      <w:proofErr w:type="gramEnd"/>
      <w:r w:rsidRPr="00E85BBF">
        <w:t xml:space="preserve"> Proceedings of the conference </w:t>
      </w:r>
      <w:proofErr w:type="gramStart"/>
      <w:r w:rsidRPr="00E85BBF">
        <w:t>“ 3</w:t>
      </w:r>
      <w:proofErr w:type="gramEnd"/>
      <w:r w:rsidRPr="00E85BBF">
        <w:t>e Millenaire: Quelle education pour quelle jeunesse (Third millennium: What education for what youth?). Kaslik, Lebanon: University of Holy Spirit, Kaslik. (A version of this paper appeared in the International Journal of Science Education, 24, 139-156.)</w:t>
      </w:r>
    </w:p>
    <w:p w14:paraId="125DE06C" w14:textId="77777777" w:rsidR="006D73B6" w:rsidRPr="00E85BBF" w:rsidRDefault="006D73B6" w:rsidP="006D73B6">
      <w:pPr>
        <w:numPr>
          <w:ilvl w:val="0"/>
          <w:numId w:val="1"/>
        </w:numPr>
        <w:ind w:left="371"/>
        <w:jc w:val="left"/>
      </w:pPr>
      <w:r w:rsidRPr="00E85BBF">
        <w:t>BouJaoude, S. (2001). Developing science curricula to meet the challenges of the future. In El-Komos et al. (Eds.) Proceedings of the symposium on new curriculum for a changing world (pp. 98-118). Manama: University of Bahrain, College of Education.</w:t>
      </w:r>
    </w:p>
    <w:p w14:paraId="36773CCB" w14:textId="77777777" w:rsidR="006D73B6" w:rsidRPr="00E85BBF" w:rsidRDefault="006D73B6" w:rsidP="006D73B6">
      <w:pPr>
        <w:numPr>
          <w:ilvl w:val="0"/>
          <w:numId w:val="1"/>
        </w:numPr>
        <w:ind w:left="371"/>
        <w:jc w:val="left"/>
      </w:pPr>
      <w:r w:rsidRPr="00E85BBF">
        <w:t xml:space="preserve">BouJaoude, S. (2000). Trends in science teacher preparation. In the Proceedings of the conference on Science Teaching: Content, Pedagogy, and Evaluation (L'enseignemnet des sciences: Contenu, didactique et evaluation) organized by the Center for Educational </w:t>
      </w:r>
      <w:r w:rsidRPr="00E85BBF">
        <w:lastRenderedPageBreak/>
        <w:t>Research and Development and L'Institu Libanais d'Educateurs de l'Universite Saint Joseph (pp. 24-31). April 17-18, 2000.</w:t>
      </w:r>
    </w:p>
    <w:p w14:paraId="1763FC02" w14:textId="77777777" w:rsidR="006D73B6" w:rsidRPr="00E85BBF" w:rsidRDefault="006D73B6" w:rsidP="006D73B6">
      <w:pPr>
        <w:numPr>
          <w:ilvl w:val="0"/>
          <w:numId w:val="1"/>
        </w:numPr>
        <w:ind w:left="371"/>
        <w:jc w:val="left"/>
      </w:pPr>
      <w:r w:rsidRPr="00E85BBF">
        <w:t>BouJaoude, S. (1999). Scientific literacy in the context of a new science curriculum in Lebanon. In the New Educational Curricula in Lebanon: An Evaluative Perspective (pp. 137-167). Proceedings of the Third Seminar organized by the Lebanese Association for Educational Sciences, May 7-8, 1999. Beirut: Lebanese Association for Educational Sciences. (in Arabic).</w:t>
      </w:r>
    </w:p>
    <w:p w14:paraId="71C79E68" w14:textId="77777777" w:rsidR="006D73B6" w:rsidRPr="00E85BBF" w:rsidRDefault="006D73B6" w:rsidP="006D73B6">
      <w:pPr>
        <w:numPr>
          <w:ilvl w:val="0"/>
          <w:numId w:val="1"/>
        </w:numPr>
        <w:ind w:left="371"/>
        <w:jc w:val="left"/>
      </w:pPr>
      <w:r w:rsidRPr="00E85BBF">
        <w:t xml:space="preserve">BouJaoude, S. (1999). Lebanese teachers and students' perceptions of the nature of science. In Debs, M. (ED.). Proceedings of the Second Scientific Conference on the Future of Science and Mathematics teaching and the needs of the Arab society, Tunisia, Tunis, 19-22 </w:t>
      </w:r>
      <w:proofErr w:type="gramStart"/>
      <w:r w:rsidRPr="00E85BBF">
        <w:t>December,</w:t>
      </w:r>
      <w:proofErr w:type="gramEnd"/>
      <w:r w:rsidRPr="00E85BBF">
        <w:t xml:space="preserve"> 1996 (pp. 283-293). Beirut, Lebanon: Arab development Institute.</w:t>
      </w:r>
    </w:p>
    <w:p w14:paraId="1214F924" w14:textId="77777777" w:rsidR="006D73B6" w:rsidRPr="00E85BBF" w:rsidRDefault="006D73B6" w:rsidP="006D73B6">
      <w:pPr>
        <w:numPr>
          <w:ilvl w:val="0"/>
          <w:numId w:val="1"/>
        </w:numPr>
        <w:ind w:left="371"/>
        <w:jc w:val="left"/>
      </w:pPr>
      <w:r w:rsidRPr="00E85BBF">
        <w:t>Abd-El-Khalick F, &amp; BouJaoude, S. (1997). An exploratory study of the disciplinary knowledge of science teachers. I. P. Rubba, P. Keig, &amp; J. Reys (Eds.), Proceedings of the 1997 Annual International Conference of the Association for the Education of Science Teachers (pp. 89-133). Pensacola, FL: Association for the Education of Teachers in Science (ERIC Document Reproduction Service N0. ED 405 220).</w:t>
      </w:r>
    </w:p>
    <w:p w14:paraId="49A68935" w14:textId="77777777" w:rsidR="006D73B6" w:rsidRPr="00E85BBF" w:rsidRDefault="006D73B6" w:rsidP="006D73B6">
      <w:pPr>
        <w:numPr>
          <w:ilvl w:val="0"/>
          <w:numId w:val="1"/>
        </w:numPr>
        <w:ind w:left="371"/>
        <w:jc w:val="left"/>
      </w:pPr>
      <w:r w:rsidRPr="00E85BBF">
        <w:t>Abd-El-Khalick, F. &amp; BouJaoude, S. (1996). An exploratory study of the pedagogical content knowledge of science teachers. Proceedings of the Oregon Academy of Science, 32, 57-58.</w:t>
      </w:r>
    </w:p>
    <w:p w14:paraId="14EA99C3" w14:textId="77777777" w:rsidR="006D73B6" w:rsidRPr="00E85BBF" w:rsidRDefault="006D73B6" w:rsidP="006D73B6">
      <w:pPr>
        <w:numPr>
          <w:ilvl w:val="0"/>
          <w:numId w:val="1"/>
        </w:numPr>
        <w:ind w:left="371"/>
        <w:jc w:val="left"/>
      </w:pPr>
      <w:r w:rsidRPr="00E85BBF">
        <w:t>BouJaoude, S. (1996). Why an issue on science education? (Editorial). SciQuest, 6 (1), 4-5.</w:t>
      </w:r>
    </w:p>
    <w:p w14:paraId="071989B6" w14:textId="77777777" w:rsidR="006D73B6" w:rsidRPr="00E85BBF" w:rsidRDefault="006D73B6" w:rsidP="006D73B6">
      <w:pPr>
        <w:numPr>
          <w:ilvl w:val="0"/>
          <w:numId w:val="1"/>
        </w:numPr>
        <w:ind w:left="371"/>
        <w:jc w:val="left"/>
      </w:pPr>
      <w:r w:rsidRPr="00E85BBF">
        <w:t>BouJaoude, S. (1988). Identifying, categorizing, and correcting students' misconceptions about burning. Science Education Information Report, abstracts of presented papers at the annual conference of the National Association of Research in Science Teaching (P. 75). Columbus, OH: The ERIC Science, Mathematics, and Environmental Education Clearinghouse.</w:t>
      </w:r>
    </w:p>
    <w:p w14:paraId="79C4C39C" w14:textId="77777777" w:rsidR="006D73B6" w:rsidRPr="00E85BBF" w:rsidRDefault="006D73B6" w:rsidP="006D73B6">
      <w:pPr>
        <w:numPr>
          <w:ilvl w:val="0"/>
          <w:numId w:val="1"/>
        </w:numPr>
        <w:ind w:left="371"/>
        <w:jc w:val="left"/>
      </w:pPr>
      <w:r w:rsidRPr="00E85BBF">
        <w:t>BouJaoude, S. (1987). Emerging trends from a decade of science education research, 1976-1986. Science Education Information Report, abstracts of presented papers at the annual conference of the National Association of Research in Science Teaching (P. 139). Columbus, OH: The ERIC Science, Mathematics, and Environmental Education Clearinghouse.</w:t>
      </w:r>
    </w:p>
    <w:p w14:paraId="0C91363B" w14:textId="77777777" w:rsidR="006D73B6" w:rsidRPr="00E85BBF" w:rsidRDefault="006D73B6" w:rsidP="006D73B6">
      <w:pPr>
        <w:numPr>
          <w:ilvl w:val="0"/>
          <w:numId w:val="1"/>
        </w:numPr>
        <w:ind w:left="371"/>
        <w:jc w:val="left"/>
      </w:pPr>
      <w:r w:rsidRPr="00E85BBF">
        <w:t>Fowler, S., &amp; BouJaoude, S. (1987). Using hierarchical concept/proposition maps to plan instruction that addresses existing and potential student misunderstandings in science. In Novak, J. (Ed.). Proceedings of the Second International Seminar on Misconceptions and Educational Strategies in Science and Mathematics, Volume I (pp. 182 - 186), Ithaca, NY: Cornell University, Department of Education.</w:t>
      </w:r>
    </w:p>
    <w:p w14:paraId="12DB0CE2" w14:textId="77777777" w:rsidR="00875E9F" w:rsidRDefault="00875E9F"/>
    <w:sectPr w:rsidR="00875E9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1E3D85"/>
    <w:multiLevelType w:val="hybridMultilevel"/>
    <w:tmpl w:val="A314E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9440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B6"/>
    <w:rsid w:val="00076A6E"/>
    <w:rsid w:val="00086244"/>
    <w:rsid w:val="00630CEE"/>
    <w:rsid w:val="006D73B6"/>
    <w:rsid w:val="00765A75"/>
    <w:rsid w:val="00875E9F"/>
    <w:rsid w:val="00B45107"/>
    <w:rsid w:val="00D15DF7"/>
  </w:rsids>
  <m:mathPr>
    <m:mathFont m:val="Cambria Math"/>
    <m:brkBin m:val="before"/>
    <m:brkBinSub m:val="--"/>
    <m:smallFrac m:val="0"/>
    <m:dispDef/>
    <m:lMargin m:val="0"/>
    <m:rMargin m:val="0"/>
    <m:defJc m:val="centerGroup"/>
    <m:wrapIndent m:val="1440"/>
    <m:intLim m:val="subSup"/>
    <m:naryLim m:val="undOvr"/>
  </m:mathPr>
  <w:themeFontLang w:val="en-LB"/>
  <w:clrSchemeMapping w:bg1="light1" w:t1="dark1" w:bg2="light2" w:t2="dark2" w:accent1="accent1" w:accent2="accent2" w:accent3="accent3" w:accent4="accent4" w:accent5="accent5" w:accent6="accent6" w:hyperlink="hyperlink" w:followedHyperlink="followedHyperlink"/>
  <w:decimalSymbol w:val="."/>
  <w:listSeparator w:val=","/>
  <w14:docId w14:val="38783EC1"/>
  <w15:chartTrackingRefBased/>
  <w15:docId w15:val="{9B93C741-0C51-8049-B0D1-B7EE80E51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73B6"/>
    <w:pPr>
      <w:spacing w:after="0" w:line="240" w:lineRule="auto"/>
      <w:jc w:val="right"/>
    </w:pPr>
    <w:rPr>
      <w:rFonts w:ascii="Times New Roman" w:eastAsia="Times New Roman" w:hAnsi="Times New Roman" w:cs="Times New Roman"/>
      <w:kern w:val="0"/>
      <w:lang w:val="en-US" w:eastAsia="ar-SA"/>
      <w14:ligatures w14:val="none"/>
    </w:rPr>
  </w:style>
  <w:style w:type="paragraph" w:styleId="Heading1">
    <w:name w:val="heading 1"/>
    <w:basedOn w:val="Normal"/>
    <w:next w:val="Normal"/>
    <w:link w:val="Heading1Char"/>
    <w:uiPriority w:val="9"/>
    <w:qFormat/>
    <w:rsid w:val="006D73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3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3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3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3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3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3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3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3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3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3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3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3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3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3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3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3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3B6"/>
    <w:rPr>
      <w:rFonts w:eastAsiaTheme="majorEastAsia" w:cstheme="majorBidi"/>
      <w:color w:val="272727" w:themeColor="text1" w:themeTint="D8"/>
    </w:rPr>
  </w:style>
  <w:style w:type="paragraph" w:styleId="Title">
    <w:name w:val="Title"/>
    <w:basedOn w:val="Normal"/>
    <w:next w:val="Normal"/>
    <w:link w:val="TitleChar"/>
    <w:uiPriority w:val="10"/>
    <w:qFormat/>
    <w:rsid w:val="006D73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3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3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3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3B6"/>
    <w:pPr>
      <w:spacing w:before="160"/>
      <w:jc w:val="center"/>
    </w:pPr>
    <w:rPr>
      <w:i/>
      <w:iCs/>
      <w:color w:val="404040" w:themeColor="text1" w:themeTint="BF"/>
    </w:rPr>
  </w:style>
  <w:style w:type="character" w:customStyle="1" w:styleId="QuoteChar">
    <w:name w:val="Quote Char"/>
    <w:basedOn w:val="DefaultParagraphFont"/>
    <w:link w:val="Quote"/>
    <w:uiPriority w:val="29"/>
    <w:rsid w:val="006D73B6"/>
    <w:rPr>
      <w:i/>
      <w:iCs/>
      <w:color w:val="404040" w:themeColor="text1" w:themeTint="BF"/>
    </w:rPr>
  </w:style>
  <w:style w:type="paragraph" w:styleId="ListParagraph">
    <w:name w:val="List Paragraph"/>
    <w:basedOn w:val="Normal"/>
    <w:uiPriority w:val="34"/>
    <w:qFormat/>
    <w:rsid w:val="006D73B6"/>
    <w:pPr>
      <w:ind w:left="720"/>
      <w:contextualSpacing/>
    </w:pPr>
  </w:style>
  <w:style w:type="character" w:styleId="IntenseEmphasis">
    <w:name w:val="Intense Emphasis"/>
    <w:basedOn w:val="DefaultParagraphFont"/>
    <w:uiPriority w:val="21"/>
    <w:qFormat/>
    <w:rsid w:val="006D73B6"/>
    <w:rPr>
      <w:i/>
      <w:iCs/>
      <w:color w:val="0F4761" w:themeColor="accent1" w:themeShade="BF"/>
    </w:rPr>
  </w:style>
  <w:style w:type="paragraph" w:styleId="IntenseQuote">
    <w:name w:val="Intense Quote"/>
    <w:basedOn w:val="Normal"/>
    <w:next w:val="Normal"/>
    <w:link w:val="IntenseQuoteChar"/>
    <w:uiPriority w:val="30"/>
    <w:qFormat/>
    <w:rsid w:val="006D73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3B6"/>
    <w:rPr>
      <w:i/>
      <w:iCs/>
      <w:color w:val="0F4761" w:themeColor="accent1" w:themeShade="BF"/>
    </w:rPr>
  </w:style>
  <w:style w:type="character" w:styleId="IntenseReference">
    <w:name w:val="Intense Reference"/>
    <w:basedOn w:val="DefaultParagraphFont"/>
    <w:uiPriority w:val="32"/>
    <w:qFormat/>
    <w:rsid w:val="006D73B6"/>
    <w:rPr>
      <w:b/>
      <w:bCs/>
      <w:smallCaps/>
      <w:color w:val="0F4761" w:themeColor="accent1" w:themeShade="BF"/>
      <w:spacing w:val="5"/>
    </w:rPr>
  </w:style>
  <w:style w:type="character" w:styleId="Hyperlink">
    <w:name w:val="Hyperlink"/>
    <w:uiPriority w:val="99"/>
    <w:rsid w:val="006D73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3102/210547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941</Words>
  <Characters>5364</Characters>
  <Application>Microsoft Office Word</Application>
  <DocSecurity>0</DocSecurity>
  <Lines>44</Lines>
  <Paragraphs>12</Paragraphs>
  <ScaleCrop>false</ScaleCrop>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Wissam Raji</dc:creator>
  <cp:keywords/>
  <dc:description/>
  <cp:lastModifiedBy>Wissam Raji</cp:lastModifiedBy>
  <cp:revision>1</cp:revision>
  <dcterms:created xsi:type="dcterms:W3CDTF">2026-02-05T07:40:00Z</dcterms:created>
  <dcterms:modified xsi:type="dcterms:W3CDTF">2026-02-05T07:41:00Z</dcterms:modified>
</cp:coreProperties>
</file>