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5933F" w14:textId="77777777" w:rsidR="005C1DFD" w:rsidRPr="00E85BBF" w:rsidRDefault="005C1DFD" w:rsidP="005C1DFD">
      <w:pPr>
        <w:numPr>
          <w:ilvl w:val="0"/>
          <w:numId w:val="1"/>
        </w:numPr>
        <w:ind w:left="360"/>
        <w:jc w:val="left"/>
        <w:rPr>
          <w:lang w:eastAsia="en-US"/>
        </w:rPr>
      </w:pPr>
      <w:r w:rsidRPr="00E85BBF">
        <w:t xml:space="preserve">Naffi, N. &amp; Others (including Saouma BouJaoude) (2023). Elevating higher education: A cutting-edge roadmap for quality, equity, and inclusion with a focus on student and instructor mental health in multimodal learning environments. </w:t>
      </w:r>
      <w:hyperlink r:id="rId5" w:tgtFrame="_new" w:history="1">
        <w:r w:rsidRPr="00E85BBF">
          <w:rPr>
            <w:rStyle w:val="Hyperlink"/>
            <w:rFonts w:eastAsiaTheme="majorEastAsia"/>
          </w:rPr>
          <w:t>https://observatoire-ia.ulaval.ca/en/elevating-higher-education-a-cutting-edge-roadmap-for-quality-equity-and-inclusion-with-a-focus-on-student-and-instructor-mental-health-in-multimodal-learning-environments/</w:t>
        </w:r>
      </w:hyperlink>
      <w:r w:rsidRPr="00E85BBF">
        <w:t xml:space="preserve"> This white paper presents a comprehensive synthesis of definitions, practices, and recommendations to help instructors, course designers, and developers from a variety of disciplines, as well as policymakers, create and support high-quality, equitable, and inclusive learning and assessment experiences in hybrid, flexible or 100% online modalities that are sensitive to the well-being and mental health of their students in the post-pandemic era.</w:t>
      </w:r>
    </w:p>
    <w:p w14:paraId="795EA7D5" w14:textId="77777777" w:rsidR="005C1DFD" w:rsidRPr="00E85BBF" w:rsidRDefault="005C1DFD" w:rsidP="005C1DFD">
      <w:pPr>
        <w:numPr>
          <w:ilvl w:val="0"/>
          <w:numId w:val="1"/>
        </w:numPr>
        <w:ind w:left="360"/>
        <w:jc w:val="left"/>
      </w:pPr>
      <w:r w:rsidRPr="00E85BBF">
        <w:t>El Amine, A., BouJaoude, S., AbuChedid, K., Karami</w:t>
      </w:r>
      <w:proofErr w:type="gramStart"/>
      <w:r w:rsidRPr="00E85BBF">
        <w:t>, ,</w:t>
      </w:r>
      <w:proofErr w:type="gramEnd"/>
      <w:r w:rsidRPr="00E85BBF">
        <w:t xml:space="preserve"> R., Maalouf, R., Ashour, A., &amp; Abdallah, K. (2019). Rules of Publication in the Arab Educational Journals. Retrieved from </w:t>
      </w:r>
      <w:hyperlink r:id="rId6" w:tgtFrame="_new" w:history="1">
        <w:r w:rsidRPr="00E85BBF">
          <w:rPr>
            <w:rStyle w:val="Hyperlink"/>
            <w:rFonts w:eastAsiaTheme="majorEastAsia"/>
          </w:rPr>
          <w:t>http://www.shamaa.org/uploads/ShamaaPublicationRules-2019Ar.pdf</w:t>
        </w:r>
      </w:hyperlink>
      <w:r w:rsidRPr="00E85BBF">
        <w:t xml:space="preserve"> (Arabic) and </w:t>
      </w:r>
      <w:hyperlink r:id="rId7" w:tgtFrame="_new" w:history="1">
        <w:r w:rsidRPr="00E85BBF">
          <w:rPr>
            <w:rStyle w:val="Hyperlink"/>
            <w:rFonts w:eastAsiaTheme="majorEastAsia"/>
          </w:rPr>
          <w:t>http://www.shamaa.org/uploads/ShamaaPublicationRules-2019En.pdf</w:t>
        </w:r>
      </w:hyperlink>
      <w:r w:rsidRPr="00E85BBF">
        <w:t xml:space="preserve"> (English).</w:t>
      </w:r>
    </w:p>
    <w:p w14:paraId="3F598F50" w14:textId="77777777" w:rsidR="005C1DFD" w:rsidRPr="00E85BBF" w:rsidRDefault="005C1DFD" w:rsidP="005C1DFD">
      <w:pPr>
        <w:numPr>
          <w:ilvl w:val="0"/>
          <w:numId w:val="1"/>
        </w:numPr>
        <w:ind w:left="360"/>
        <w:jc w:val="left"/>
      </w:pPr>
      <w:r w:rsidRPr="00E85BBF">
        <w:t>Adams, J., Avraamidou, L., Bayram-Jacobs, D., BouJaoude, S., Bryan, L., Christodoulou, A., … Zembal-Saul, C. (2018). The Role of Science Education in a Changing World. Leiden, the Netherlands: Leiden University, Lorentz Center,</w:t>
      </w:r>
    </w:p>
    <w:p w14:paraId="69DBD058" w14:textId="77777777" w:rsidR="005C1DFD" w:rsidRPr="00E85BBF" w:rsidRDefault="005C1DFD" w:rsidP="005C1DFD">
      <w:pPr>
        <w:numPr>
          <w:ilvl w:val="0"/>
          <w:numId w:val="1"/>
        </w:numPr>
        <w:ind w:left="360"/>
        <w:jc w:val="left"/>
      </w:pPr>
      <w:r w:rsidRPr="00E85BBF">
        <w:t>BouJaoude, S. (2015). K-12 STEM Education: History, significance and effective teaching approaches. Keynote address presented at the “First Excellence Conference in Science and Mathematics Education: STEM-2015”, Riyadh, Saudi Arabia, May 5-7.</w:t>
      </w:r>
    </w:p>
    <w:p w14:paraId="30D4A978" w14:textId="77777777" w:rsidR="005C1DFD" w:rsidRPr="00E85BBF" w:rsidRDefault="005C1DFD" w:rsidP="005C1DFD">
      <w:pPr>
        <w:numPr>
          <w:ilvl w:val="0"/>
          <w:numId w:val="1"/>
        </w:numPr>
        <w:ind w:left="360"/>
        <w:jc w:val="left"/>
      </w:pPr>
      <w:r w:rsidRPr="00E85BBF">
        <w:t xml:space="preserve">Others and BouJaoude (2013). Science education for diversity: Work Package 3 synthesis report (led by the Netherlands Team). Available at </w:t>
      </w:r>
      <w:hyperlink r:id="rId8" w:tgtFrame="_new" w:history="1">
        <w:r w:rsidRPr="00E85BBF">
          <w:rPr>
            <w:rStyle w:val="Hyperlink"/>
            <w:rFonts w:eastAsiaTheme="majorEastAsia"/>
          </w:rPr>
          <w:t>https://www.researchgate.net/publication/322197128_SCIENCE_EDUCATION_FOR_DIVERSITY_WP3_Synthesis_Report_draft_version_101_The_Nether</w:t>
        </w:r>
      </w:hyperlink>
      <w:r w:rsidRPr="00E85BBF">
        <w:t xml:space="preserve"> lands_Lead_Participant-WP3</w:t>
      </w:r>
    </w:p>
    <w:p w14:paraId="697630D7" w14:textId="77777777" w:rsidR="005C1DFD" w:rsidRPr="00E85BBF" w:rsidRDefault="005C1DFD" w:rsidP="005C1DFD">
      <w:pPr>
        <w:numPr>
          <w:ilvl w:val="0"/>
          <w:numId w:val="1"/>
        </w:numPr>
        <w:ind w:left="360"/>
        <w:jc w:val="left"/>
      </w:pPr>
      <w:r w:rsidRPr="00E85BBF">
        <w:t>BouJaoude, S. &amp; BouZeineddine, A. (2012). Improving teacher education in Arab countries: What can we learn from international experiences? Research paper prepared for the Arab League Educational, Cultural, and Scientific Organization (ALECSO). The report was presented at the 8th meeting of the Ministers of Education of Arab States (in Arabic).</w:t>
      </w:r>
    </w:p>
    <w:p w14:paraId="763C968C" w14:textId="77777777" w:rsidR="005C1DFD" w:rsidRPr="00E85BBF" w:rsidRDefault="005C1DFD" w:rsidP="005C1DFD">
      <w:pPr>
        <w:numPr>
          <w:ilvl w:val="0"/>
          <w:numId w:val="1"/>
        </w:numPr>
        <w:ind w:left="360"/>
        <w:jc w:val="left"/>
      </w:pPr>
      <w:r w:rsidRPr="00E85BBF">
        <w:t>BouJaoude, S. (2011). Rationale for Using English as Language of Instruction at Qatar University. Report prepared for the administration of Qatar University, Doha, Qatar</w:t>
      </w:r>
    </w:p>
    <w:p w14:paraId="0D686F06" w14:textId="77777777" w:rsidR="005C1DFD" w:rsidRPr="00E85BBF" w:rsidRDefault="005C1DFD" w:rsidP="005C1DFD">
      <w:pPr>
        <w:numPr>
          <w:ilvl w:val="0"/>
          <w:numId w:val="1"/>
        </w:numPr>
        <w:ind w:left="360"/>
        <w:jc w:val="left"/>
      </w:pPr>
      <w:r w:rsidRPr="00E85BBF">
        <w:t>Jurdak, M. &amp; BouJaoude, S. (2011). Impact of collaborative action research on inquiry skills, habits of mind, and orientations toward action research and collaboration: The case of a school-based project in an Arab context. Technical Report 1; TAMAM Project (</w:t>
      </w:r>
      <w:hyperlink r:id="rId9" w:tgtFrame="_new" w:history="1">
        <w:r w:rsidRPr="00E85BBF">
          <w:rPr>
            <w:rStyle w:val="Hyperlink"/>
            <w:rFonts w:eastAsiaTheme="majorEastAsia"/>
          </w:rPr>
          <w:t>http://www.tamamproject.org/documentation/publications/TAMAM_technical_report_1.pdf</w:t>
        </w:r>
      </w:hyperlink>
      <w:r w:rsidRPr="00E85BBF">
        <w:t>).</w:t>
      </w:r>
    </w:p>
    <w:p w14:paraId="7A77FDE3" w14:textId="77777777" w:rsidR="005C1DFD" w:rsidRPr="00E85BBF" w:rsidRDefault="005C1DFD" w:rsidP="005C1DFD">
      <w:pPr>
        <w:numPr>
          <w:ilvl w:val="0"/>
          <w:numId w:val="1"/>
        </w:numPr>
        <w:ind w:left="360"/>
        <w:jc w:val="left"/>
      </w:pPr>
      <w:r w:rsidRPr="00E85BBF">
        <w:t>BouJaoude, S. (2011). Policy options for teaching science and math in the State of Qatar. Policy research paper presented to the executive Committee of the Supreme Education Council of Qatar. June 2011.</w:t>
      </w:r>
    </w:p>
    <w:p w14:paraId="6853DCF5" w14:textId="77777777" w:rsidR="005C1DFD" w:rsidRPr="00E85BBF" w:rsidRDefault="005C1DFD" w:rsidP="005C1DFD">
      <w:pPr>
        <w:numPr>
          <w:ilvl w:val="0"/>
          <w:numId w:val="1"/>
        </w:numPr>
        <w:ind w:left="360"/>
        <w:jc w:val="left"/>
      </w:pPr>
      <w:r w:rsidRPr="00E85BBF">
        <w:t>BouJaoude, S. (2011). Interactions of science, technology, society and environment. A teaching unit prepared as part of a project the Education for Sustainable Development project. Beirut, Lebanon: UNESCO Regional Bureau for Education in the Arab States.</w:t>
      </w:r>
    </w:p>
    <w:p w14:paraId="745087A1" w14:textId="77777777" w:rsidR="005C1DFD" w:rsidRPr="00E85BBF" w:rsidRDefault="005C1DFD" w:rsidP="005C1DFD">
      <w:pPr>
        <w:numPr>
          <w:ilvl w:val="0"/>
          <w:numId w:val="1"/>
        </w:numPr>
        <w:ind w:left="360"/>
        <w:jc w:val="left"/>
      </w:pPr>
      <w:r w:rsidRPr="00E85BBF">
        <w:t>BouJaoude, S. (2010, February). Competencies and educational structures needed to prepare secondary students for the 21st century. Paper presented at a symposium on secondary education organized by the Ministry of Education in the United Arab Emirates in cooperation with the Arab Bureau of Education for the Gulf States. Dubai, United Arab Emirates.</w:t>
      </w:r>
    </w:p>
    <w:p w14:paraId="50702984" w14:textId="77777777" w:rsidR="005C1DFD" w:rsidRPr="00E85BBF" w:rsidRDefault="005C1DFD" w:rsidP="005C1DFD">
      <w:pPr>
        <w:numPr>
          <w:ilvl w:val="0"/>
          <w:numId w:val="1"/>
        </w:numPr>
        <w:ind w:left="360"/>
        <w:jc w:val="left"/>
      </w:pPr>
      <w:r w:rsidRPr="00E85BBF">
        <w:lastRenderedPageBreak/>
        <w:t>BouJaoude, S. (2009). Policy paper on improving quality of science education in the Arab Region. Paper funded by UNESCO Cairo Office and The Arab League Educational, Cultural and Scientific Organization.</w:t>
      </w:r>
    </w:p>
    <w:p w14:paraId="79F59AB8" w14:textId="77777777" w:rsidR="005C1DFD" w:rsidRPr="00E85BBF" w:rsidRDefault="005C1DFD" w:rsidP="005C1DFD">
      <w:pPr>
        <w:numPr>
          <w:ilvl w:val="0"/>
          <w:numId w:val="1"/>
        </w:numPr>
        <w:ind w:left="360"/>
        <w:jc w:val="left"/>
      </w:pPr>
      <w:r w:rsidRPr="00E85BBF">
        <w:t xml:space="preserve">BouJaoude, S. (2007). Improving science education in the Arab States: lessons learned from education practices in four developed countries. Report presented at the Expert Group Meeting organized and sponsored by the UNESCO Office, Cairo, Egypt on December 15, </w:t>
      </w:r>
      <w:proofErr w:type="gramStart"/>
      <w:r w:rsidRPr="00E85BBF">
        <w:t>2007</w:t>
      </w:r>
      <w:proofErr w:type="gramEnd"/>
      <w:r w:rsidRPr="00E85BBF">
        <w:t xml:space="preserve"> in Amman Jordan (With contributions from Dr. Zalpha Ayoubi, Lebanese University). Published in English and Arabic by UNESCO Cairo Office.</w:t>
      </w:r>
    </w:p>
    <w:p w14:paraId="5E3D8904" w14:textId="77777777" w:rsidR="005C1DFD" w:rsidRPr="00E85BBF" w:rsidRDefault="005C1DFD" w:rsidP="005C1DFD">
      <w:pPr>
        <w:numPr>
          <w:ilvl w:val="0"/>
          <w:numId w:val="1"/>
        </w:numPr>
        <w:ind w:left="360"/>
        <w:jc w:val="left"/>
      </w:pPr>
      <w:r w:rsidRPr="00E85BBF">
        <w:t>BouJaoude, S (2006). Bridging the gap between scientists and science educators in the Arab Region. Report presented at the Expert Group Meeting on “Bridging the Gap between Scientists and Science Educators”, organized and sponsored by the UNESCO Office, Cairo, Egypt, from January 29 – February 1, 2006. (An executive summary of this article appeared in a UNESCO Cairo Office document with the same title).</w:t>
      </w:r>
    </w:p>
    <w:p w14:paraId="79BE482C" w14:textId="77777777" w:rsidR="005C1DFD" w:rsidRPr="00E85BBF" w:rsidRDefault="005C1DFD" w:rsidP="005C1DFD">
      <w:pPr>
        <w:numPr>
          <w:ilvl w:val="0"/>
          <w:numId w:val="1"/>
        </w:numPr>
        <w:ind w:left="360"/>
        <w:jc w:val="left"/>
      </w:pPr>
      <w:r w:rsidRPr="00E85BBF">
        <w:t xml:space="preserve">BouJaoude, S. (2004). Science education in the Arab States: </w:t>
      </w:r>
      <w:proofErr w:type="gramStart"/>
      <w:r w:rsidRPr="00E85BBF">
        <w:t>Current status</w:t>
      </w:r>
      <w:proofErr w:type="gramEnd"/>
      <w:r w:rsidRPr="00E85BBF">
        <w:t xml:space="preserve"> and future directions. Paper presented in the Symposium on International Science Education: Applications and Opportunities for Research, Scholarship, and Service during the annual conference of the National Association for Research in Science Teaching (NARST) (Vancouver, Canada, March 31-April 3, 2004)</w:t>
      </w:r>
    </w:p>
    <w:p w14:paraId="13E3CB81" w14:textId="77777777" w:rsidR="005C1DFD" w:rsidRPr="00E85BBF" w:rsidRDefault="005C1DFD" w:rsidP="005C1DFD">
      <w:pPr>
        <w:numPr>
          <w:ilvl w:val="0"/>
          <w:numId w:val="1"/>
        </w:numPr>
        <w:ind w:left="360"/>
        <w:jc w:val="left"/>
      </w:pPr>
      <w:r w:rsidRPr="00E85BBF">
        <w:t>BouJaoude, S. (2003). Status of science teaching in the Syrian Arab Republic. Research funded by UNESCO Cairo Office. (in Arabic)</w:t>
      </w:r>
    </w:p>
    <w:p w14:paraId="2502CF95" w14:textId="77777777" w:rsidR="005C1DFD" w:rsidRPr="00E85BBF" w:rsidRDefault="005C1DFD" w:rsidP="005C1DFD">
      <w:pPr>
        <w:numPr>
          <w:ilvl w:val="0"/>
          <w:numId w:val="1"/>
        </w:numPr>
        <w:ind w:left="360"/>
        <w:jc w:val="left"/>
      </w:pPr>
      <w:r w:rsidRPr="00E85BBF">
        <w:t>BouJaoude, S. (2003). Achievement levels of new school project students in grades 1 to 5 in Arabic, math, and science. The project was funded by the Education Development Center Inc., Newton, MA, USA.</w:t>
      </w:r>
    </w:p>
    <w:p w14:paraId="77E2580C" w14:textId="77777777" w:rsidR="005C1DFD" w:rsidRPr="00E85BBF" w:rsidRDefault="005C1DFD" w:rsidP="005C1DFD">
      <w:pPr>
        <w:numPr>
          <w:ilvl w:val="0"/>
          <w:numId w:val="1"/>
        </w:numPr>
        <w:ind w:left="360"/>
        <w:jc w:val="left"/>
      </w:pPr>
      <w:r w:rsidRPr="00E85BBF">
        <w:rPr>
          <w:lang w:val="fr-FR"/>
        </w:rPr>
        <w:t xml:space="preserve">Billeh, V., BouJaoude, S., &amp; Sulieman, S. (2002). </w:t>
      </w:r>
      <w:r w:rsidRPr="00E85BBF">
        <w:t>Regional synthesis on development of secondary education in the Arab States. Report prepared for the International Conference on Secondary education for a better future: trends, challenges, and priorities. Muscat, Sultanate of Oman, December 21-23, 2002. Organized By UNESCO and the Ministry of Education, Sultanate of Oman.</w:t>
      </w:r>
    </w:p>
    <w:p w14:paraId="3299BC9A" w14:textId="77777777" w:rsidR="00875E9F" w:rsidRDefault="00875E9F"/>
    <w:sectPr w:rsidR="00875E9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6A1DC6"/>
    <w:multiLevelType w:val="hybridMultilevel"/>
    <w:tmpl w:val="C77C84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4318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DFD"/>
    <w:rsid w:val="00076A6E"/>
    <w:rsid w:val="00086244"/>
    <w:rsid w:val="005C1DFD"/>
    <w:rsid w:val="00630CEE"/>
    <w:rsid w:val="00765A75"/>
    <w:rsid w:val="00875E9F"/>
    <w:rsid w:val="00B45107"/>
    <w:rsid w:val="00D15DF7"/>
  </w:rsids>
  <m:mathPr>
    <m:mathFont m:val="Cambria Math"/>
    <m:brkBin m:val="before"/>
    <m:brkBinSub m:val="--"/>
    <m:smallFrac m:val="0"/>
    <m:dispDef/>
    <m:lMargin m:val="0"/>
    <m:rMargin m:val="0"/>
    <m:defJc m:val="centerGroup"/>
    <m:wrapIndent m:val="1440"/>
    <m:intLim m:val="subSup"/>
    <m:naryLim m:val="undOvr"/>
  </m:mathPr>
  <w:themeFontLang w:val="en-LB"/>
  <w:clrSchemeMapping w:bg1="light1" w:t1="dark1" w:bg2="light2" w:t2="dark2" w:accent1="accent1" w:accent2="accent2" w:accent3="accent3" w:accent4="accent4" w:accent5="accent5" w:accent6="accent6" w:hyperlink="hyperlink" w:followedHyperlink="followedHyperlink"/>
  <w:decimalSymbol w:val="."/>
  <w:listSeparator w:val=","/>
  <w14:docId w14:val="6272EBBB"/>
  <w15:chartTrackingRefBased/>
  <w15:docId w15:val="{172C8B7E-DD88-7D4F-8C4D-D4AB0BA98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L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1DFD"/>
    <w:pPr>
      <w:spacing w:after="0" w:line="240" w:lineRule="auto"/>
      <w:jc w:val="right"/>
    </w:pPr>
    <w:rPr>
      <w:rFonts w:ascii="Times New Roman" w:eastAsia="Times New Roman" w:hAnsi="Times New Roman" w:cs="Times New Roman"/>
      <w:kern w:val="0"/>
      <w:lang w:val="en-US" w:eastAsia="ar-SA"/>
      <w14:ligatures w14:val="none"/>
    </w:rPr>
  </w:style>
  <w:style w:type="paragraph" w:styleId="Heading1">
    <w:name w:val="heading 1"/>
    <w:basedOn w:val="Normal"/>
    <w:next w:val="Normal"/>
    <w:link w:val="Heading1Char"/>
    <w:uiPriority w:val="9"/>
    <w:qFormat/>
    <w:rsid w:val="005C1D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1D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1D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1D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1D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1DF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1DF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1DF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1DF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1D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1D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1D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1D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1D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1D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1D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1D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1DFD"/>
    <w:rPr>
      <w:rFonts w:eastAsiaTheme="majorEastAsia" w:cstheme="majorBidi"/>
      <w:color w:val="272727" w:themeColor="text1" w:themeTint="D8"/>
    </w:rPr>
  </w:style>
  <w:style w:type="paragraph" w:styleId="Title">
    <w:name w:val="Title"/>
    <w:basedOn w:val="Normal"/>
    <w:next w:val="Normal"/>
    <w:link w:val="TitleChar"/>
    <w:uiPriority w:val="10"/>
    <w:qFormat/>
    <w:rsid w:val="005C1DF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1D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1D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1D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1DFD"/>
    <w:pPr>
      <w:spacing w:before="160"/>
      <w:jc w:val="center"/>
    </w:pPr>
    <w:rPr>
      <w:i/>
      <w:iCs/>
      <w:color w:val="404040" w:themeColor="text1" w:themeTint="BF"/>
    </w:rPr>
  </w:style>
  <w:style w:type="character" w:customStyle="1" w:styleId="QuoteChar">
    <w:name w:val="Quote Char"/>
    <w:basedOn w:val="DefaultParagraphFont"/>
    <w:link w:val="Quote"/>
    <w:uiPriority w:val="29"/>
    <w:rsid w:val="005C1DFD"/>
    <w:rPr>
      <w:i/>
      <w:iCs/>
      <w:color w:val="404040" w:themeColor="text1" w:themeTint="BF"/>
    </w:rPr>
  </w:style>
  <w:style w:type="paragraph" w:styleId="ListParagraph">
    <w:name w:val="List Paragraph"/>
    <w:basedOn w:val="Normal"/>
    <w:uiPriority w:val="34"/>
    <w:qFormat/>
    <w:rsid w:val="005C1DFD"/>
    <w:pPr>
      <w:ind w:left="720"/>
      <w:contextualSpacing/>
    </w:pPr>
  </w:style>
  <w:style w:type="character" w:styleId="IntenseEmphasis">
    <w:name w:val="Intense Emphasis"/>
    <w:basedOn w:val="DefaultParagraphFont"/>
    <w:uiPriority w:val="21"/>
    <w:qFormat/>
    <w:rsid w:val="005C1DFD"/>
    <w:rPr>
      <w:i/>
      <w:iCs/>
      <w:color w:val="0F4761" w:themeColor="accent1" w:themeShade="BF"/>
    </w:rPr>
  </w:style>
  <w:style w:type="paragraph" w:styleId="IntenseQuote">
    <w:name w:val="Intense Quote"/>
    <w:basedOn w:val="Normal"/>
    <w:next w:val="Normal"/>
    <w:link w:val="IntenseQuoteChar"/>
    <w:uiPriority w:val="30"/>
    <w:qFormat/>
    <w:rsid w:val="005C1D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1DFD"/>
    <w:rPr>
      <w:i/>
      <w:iCs/>
      <w:color w:val="0F4761" w:themeColor="accent1" w:themeShade="BF"/>
    </w:rPr>
  </w:style>
  <w:style w:type="character" w:styleId="IntenseReference">
    <w:name w:val="Intense Reference"/>
    <w:basedOn w:val="DefaultParagraphFont"/>
    <w:uiPriority w:val="32"/>
    <w:qFormat/>
    <w:rsid w:val="005C1DFD"/>
    <w:rPr>
      <w:b/>
      <w:bCs/>
      <w:smallCaps/>
      <w:color w:val="0F4761" w:themeColor="accent1" w:themeShade="BF"/>
      <w:spacing w:val="5"/>
    </w:rPr>
  </w:style>
  <w:style w:type="character" w:styleId="Hyperlink">
    <w:name w:val="Hyperlink"/>
    <w:uiPriority w:val="99"/>
    <w:rsid w:val="005C1DF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publication/322197128_SCIENCE_EDUCATION_FOR_DIVERSITY_WP3_Synthesis_Report_draft_version_101_The_Nether" TargetMode="External"/><Relationship Id="rId3" Type="http://schemas.openxmlformats.org/officeDocument/2006/relationships/settings" Target="settings.xml"/><Relationship Id="rId7" Type="http://schemas.openxmlformats.org/officeDocument/2006/relationships/hyperlink" Target="http://www.shamaa.org/uploads/ShamaaPublicationRules-2019En.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shamaa.org/uploads/ShamaaPublicationRules-2019Ar.pdf" TargetMode="External"/><Relationship Id="rId11" Type="http://schemas.openxmlformats.org/officeDocument/2006/relationships/theme" Target="theme/theme1.xml"/><Relationship Id="rId5" Type="http://schemas.openxmlformats.org/officeDocument/2006/relationships/hyperlink" Target="https://observatoire-ia.ulaval.ca/en/elevating-higher-education-a-cutting-edge-roadmap-for-quality-equity-and-inclusion-with-a-focus-on-student-and-instructor-mental-health-in-multimodal-learning-environment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tamamproject.org/documentation/publications/TAMAM_technical_report_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961</Words>
  <Characters>5481</Characters>
  <Application>Microsoft Office Word</Application>
  <DocSecurity>0</DocSecurity>
  <Lines>45</Lines>
  <Paragraphs>12</Paragraphs>
  <ScaleCrop>false</ScaleCrop>
  <Company/>
  <LinksUpToDate>false</LinksUpToDate>
  <CharactersWithSpaces>6430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Wissam Raji</dc:creator>
  <cp:keywords/>
  <dc:description/>
  <cp:lastModifiedBy>Wissam Raji</cp:lastModifiedBy>
  <cp:revision>1</cp:revision>
  <dcterms:created xsi:type="dcterms:W3CDTF">2026-02-05T08:11:00Z</dcterms:created>
  <dcterms:modified xsi:type="dcterms:W3CDTF">2026-02-05T08:11:00Z</dcterms:modified>
</cp:coreProperties>
</file>