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Les tables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lang w:val="fr-F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en-US" w:eastAsia="zh-CN" w:bidi="ar"/>
        </w:rPr>
        <w:t>Education Level</w:t>
      </w:r>
      <w:r>
        <w:rPr>
          <w:rFonts w:hint="default" w:ascii="Segoe UI Semibold" w:hAnsi="Segoe UI Semibold" w:eastAsia="SimSun" w:cs="Segoe UI Semibold"/>
          <w:color w:val="000000"/>
          <w:kern w:val="0"/>
          <w:sz w:val="72"/>
          <w:szCs w:val="72"/>
          <w:lang w:val="en-US" w:eastAsia="zh-CN" w:bidi="ar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514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Type de données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EducationLevelID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Un identifiant unique qui se connecte à l'éducation dans DimEmployee.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EducationLevel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Fournit la signification du niveau d'éducation :Doctorate, Masters, Bachelors, High School, and No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Formal Qualifications. 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text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e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en-US" w:eastAsia="zh-CN" w:bidi="ar"/>
        </w:rPr>
        <w:t>Rating Level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lang w:val="fr-F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72"/>
          <w:szCs w:val="72"/>
          <w:lang w:val="en-US" w:eastAsia="zh-CN" w:bidi="ar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514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Type de données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RatingID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Un identifiant unique qui se connecte à l'auto-évaluation et à l'évaluation par le gestionnaire dans FactPerformanceRating.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RatingLevel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 Fournit la signification du niveau de notation :A Above and Beyond, Exceeds Expectation, Meets Expectation,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Needs Improvement, and Unacceptable. 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text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en-US" w:eastAsia="zh-CN" w:bidi="ar"/>
        </w:rPr>
        <w:t>Satisfied Level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514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Type de données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SatisfactionID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 xml:space="preserve">Un identifiant unique qui se connecte à la satisfaction de l'environnement, la satisfaction au travail, la satisfaction relationnelle et l'équilibre entre vie professionnelle et vie privée dans FactPerformanceRating. 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SatisfactionLevel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Fournit une signification au niveau de satisfaction :Very Satisfied, Satisfied, Neutral, Dissatisfied, and 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Very Dissatisfied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text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e</w:t>
            </w:r>
          </w:p>
        </w:tc>
      </w:tr>
    </w:tbl>
    <w:p>
      <w:pP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  <w:t>Employee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513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513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Type de données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EmployeeID </w:t>
            </w:r>
          </w:p>
        </w:tc>
        <w:tc>
          <w:tcPr>
            <w:tcW w:w="5136" w:type="dxa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Un identifiant unique qui identifie un employé.</w:t>
            </w:r>
          </w:p>
        </w:tc>
        <w:tc>
          <w:tcPr>
            <w:tcW w:w="1668" w:type="dxa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fr-FR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FirstName </w:t>
            </w:r>
          </w:p>
        </w:tc>
        <w:tc>
          <w:tcPr>
            <w:tcW w:w="5136" w:type="dxa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Prénom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text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LastName</w:t>
            </w:r>
          </w:p>
        </w:tc>
        <w:tc>
          <w:tcPr>
            <w:tcW w:w="5136" w:type="dxa"/>
          </w:tcPr>
          <w:p>
            <w:pP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 de famille de l'employé.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Gender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Identité de genre auto-définie de l'employé.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 xml:space="preserve"> 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Age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Âge actuel d'un 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BusinessTravel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Fréquence des déplacements professionnels - trois catégories : Voyage fréquent, Quelques déplacements et Aucun déplacement.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Department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Service dans lequel un employé travaille - trois catégories : Technologie, RH et Ventes.</w:t>
            </w:r>
          </w:p>
        </w:tc>
        <w:tc>
          <w:tcPr>
            <w:tcW w:w="16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DistanceFromHome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Distance en kilomètres entre le domicile d'un employé et son bureau.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State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État où réside l'employé.</w:t>
            </w:r>
          </w:p>
        </w:tc>
        <w:tc>
          <w:tcPr>
            <w:tcW w:w="16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Ethnicity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Ethnicité auto-définie de l'employé.</w:t>
            </w:r>
          </w:p>
        </w:tc>
        <w:tc>
          <w:tcPr>
            <w:tcW w:w="16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Education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Niveau d'éducation des employés. Se connecte à DimEducationLevel.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EducationField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Domaine d'études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Job Role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Poste actuel/dernier emploi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MaritalStatus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Statut matrimonial actuel/dernier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Salary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Salaire actuel/dernier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StockOptionLevel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Niveau de regroupement pour les options d'achat d'actions dont l'employé dispose.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Overtime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Contient "Oui et Non pour indiquer si un employé est censé travailler des heures supplémentaires dans son rôle.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HireDate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Date à laquelle l'employé a rejoint l'entreprise.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Attrition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Contient "Oui et Non pour indiquer si un employé a quitté l'organisation.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YearsAtCompany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Nombre d'années depuis que l'employé a rejoint l'organisation.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YearsInMostRecentRole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Nombre d'années pendant lesquelles l'employé a occupé son poste actuel/dernier.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YearsSinceLastPromotion 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Nombre d'années depuis la dernière promotion de l'employé.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YearsWithCurrManager</w:t>
            </w:r>
          </w:p>
        </w:tc>
        <w:tc>
          <w:tcPr>
            <w:tcW w:w="51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/>
              </w:rPr>
              <w:t>Nombre d'années pendant lesquelles l'employé a été avec son manager actuel.</w:t>
            </w:r>
          </w:p>
        </w:tc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nombre</w:t>
            </w:r>
          </w:p>
        </w:tc>
      </w:tr>
    </w:tbl>
    <w:p>
      <w:pP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  <w:t>Performance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3992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27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Type de données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PerformanceID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Un identifiant unique qui identifie une évaluation de performance individuelle.</w:t>
            </w:r>
          </w:p>
        </w:tc>
        <w:tc>
          <w:tcPr>
            <w:tcW w:w="27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EmployeeID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Un identifiant unique qui identifie un employé. Se connecte à DimEmployee.</w:t>
            </w:r>
          </w:p>
        </w:tc>
        <w:tc>
          <w:tcPr>
            <w:tcW w:w="27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Texte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ReviewDate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Date à laquelle l'évaluation de l'employé a eu lieu.</w:t>
            </w:r>
          </w:p>
        </w:tc>
        <w:tc>
          <w:tcPr>
            <w:tcW w:w="27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EnvironmentSatisfaction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satisfaction des employés vis-à-vis de leur environnement. Se connecte à DimSatisfiedLevel.</w:t>
            </w:r>
          </w:p>
        </w:tc>
        <w:tc>
          <w:tcPr>
            <w:tcW w:w="27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JobSatisfaction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satisfaction des employés vis-à-vis de leur poste de travail. Se connecte à DimSatisfiedLevel.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RelationshipSatisfaction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satisfaction des employés vis-à-vis de leurs relations au travail. Se connecte à DimSatisfiedLevel.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WorkLifeBalance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satisfaction des employés vis-à-vis de leur équilibre vie professionnelle/vie privée. Se connecte à DimSatisfiedLevel.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SelfRating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performance des employés basée sur leur propre point de vue. Se connecte à DimRatingLevel.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ManagerRating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Note pour la performance des employés basée sur le point de vue de leur manager. Se connecte à DimRatingLevel.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TrainingOpportunitiesWithinYear </w:t>
            </w:r>
          </w:p>
        </w:tc>
        <w:tc>
          <w:tcPr>
            <w:tcW w:w="3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Nombre d'opportunités de formation offertes au cours des 12 derniers mois.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TrainingOpportunitiesTaken</w:t>
            </w:r>
          </w:p>
        </w:tc>
        <w:tc>
          <w:tcPr>
            <w:tcW w:w="3992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/>
              </w:rPr>
              <w:t>Nombre d'opportunités de formation saisies</w:t>
            </w:r>
          </w:p>
        </w:tc>
        <w:tc>
          <w:tcPr>
            <w:tcW w:w="2785" w:type="dxa"/>
          </w:tcPr>
          <w:p>
            <w:pPr>
              <w:rPr>
                <w:rFonts w:hint="default" w:ascii="Segoe UI Semibold" w:hAnsi="Segoe UI Semibold" w:eastAsia="SimSun" w:cs="Segoe UI Semibold"/>
                <w:color w:val="000000"/>
                <w:kern w:val="0"/>
                <w:sz w:val="40"/>
                <w:szCs w:val="40"/>
                <w:vertAlign w:val="baseline"/>
                <w:lang w:val="fr-FR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9"/>
                <w:szCs w:val="19"/>
                <w:shd w:val="clear" w:fill="FFFFFF"/>
                <w:lang w:val="fr-FR" w:eastAsia="zh-CN" w:bidi="ar-SA"/>
              </w:rPr>
              <w:t>Nombre</w:t>
            </w:r>
          </w:p>
        </w:tc>
      </w:tr>
    </w:tbl>
    <w:p>
      <w:pP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  <w:t>Les relation entre les tables</w:t>
      </w:r>
    </w:p>
    <w:p>
      <w:pP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  <w:drawing>
          <wp:inline distT="0" distB="0" distL="114300" distR="114300">
            <wp:extent cx="5831840" cy="4389120"/>
            <wp:effectExtent l="0" t="0" r="5080" b="0"/>
            <wp:docPr id="1" name="Imag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Semibold" w:hAnsi="Segoe UI Semibold" w:eastAsia="SimSun" w:cs="Segoe UI Semibold"/>
          <w:color w:val="000000"/>
          <w:kern w:val="0"/>
          <w:sz w:val="40"/>
          <w:szCs w:val="40"/>
          <w:lang w:val="fr-FR" w:eastAsia="zh-CN" w:bidi="ar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olor w:val="0D0D0D"/>
          <w:spacing w:val="0"/>
          <w:sz w:val="19"/>
          <w:szCs w:val="19"/>
          <w:shd w:val="clear" w:fill="FFFFFF"/>
          <w:lang w:val="fr-FR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fr-FR"/>
        </w:rPr>
        <w:t xml:space="preserve">’ai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crée une table de dates nommée DimDate avec plusieurs colonnes qui fournissent des informations sur chaque date.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olor w:val="0D0D0D"/>
          <w:spacing w:val="0"/>
          <w:sz w:val="19"/>
          <w:szCs w:val="19"/>
          <w:shd w:val="clear" w:fill="FFFFFF"/>
          <w:lang w:val="fr-F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fr-FR"/>
        </w:rPr>
        <w:t>ode :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DimDate =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4"/>
          <w:szCs w:val="14"/>
          <w:shd w:val="clear" w:fill="FFFFFF"/>
          <w:lang w:val="en-US" w:eastAsia="zh-CN" w:bidi="ar"/>
        </w:rPr>
        <w:t>_minYear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DimEmployee[HireDate]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4"/>
          <w:szCs w:val="14"/>
          <w:shd w:val="clear" w:fill="FFFFFF"/>
          <w:lang w:val="en-US" w:eastAsia="zh-CN" w:bidi="ar"/>
        </w:rPr>
        <w:t>_maxYear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DimEmployee[HireDate]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ADDCOLUMNS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4"/>
          <w:szCs w:val="14"/>
          <w:shd w:val="clear" w:fill="FFFFFF"/>
          <w:lang w:val="en-US" w:eastAsia="zh-CN" w:bidi="ar"/>
        </w:rPr>
        <w:t>_minYear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4"/>
          <w:szCs w:val="14"/>
          <w:shd w:val="clear" w:fill="FFFFFF"/>
          <w:lang w:val="en-US" w:eastAsia="zh-CN" w:bidi="ar"/>
        </w:rPr>
        <w:t>_maxYear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"MonthNumber"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"DaysInMonth"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DATEDIFF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EOMONTH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DAY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"YearMonthNumber"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"YYYYMM"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"YearMonthName"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"YYYY-MMM"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"DayNumber"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"DayName"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"MonthName"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"MMMM"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"WeekNumber"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4"/>
          <w:szCs w:val="14"/>
          <w:shd w:val="clear" w:fill="FFFFFF"/>
          <w:lang w:val="en-US" w:eastAsia="zh-CN" w:bidi="ar"/>
        </w:rPr>
        <w:t>WEEKNUM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fr-FR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D23C7"/>
    <w:rsid w:val="574E1E04"/>
    <w:rsid w:val="759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2024-04-04T21:20:00Z</dcterms:created>
  <dc:creator>wissh</dc:creator>
  <cp:lastModifiedBy>wissh</cp:lastModifiedBy>
  <dcterms:modified xsi:type="dcterms:W3CDTF">2024-04-24T19:10:53Z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D51C3280F6B9452D85E9F145CCE1EEF7_12</vt:lpwstr>
  </property>
</Properties>
</file>