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Mandato para preparar el entorno</w:t>
      </w:r>
    </w:p>
    <w:p>
      <w:pPr>
        <w:pStyle w:val="Subtitle"/>
      </w:pPr>
      <w:r>
        <w:t>Instrucciones ejecutables para Codex en VS Code antes de desarrollar la aplicación</w:t>
      </w:r>
    </w:p>
    <w:p>
      <w:pPr>
        <w:pStyle w:val="Heading1"/>
      </w:pPr>
      <w:r>
        <w:t>1 Objetivo y autoridad</w:t>
      </w:r>
    </w:p>
    <w:p>
      <w:r>
        <w:t>Prepará un entorno reproducible para desarrollar una aplicación de gastos y rendiciones para Android e iOS, con funcionamiento sin internet, SQLite, comprobantes y exportación a Excel y PDF. Este mandato autoriza revisar y preparar el entorno; no autoriza implementar funciones del producto ni modificar el ERP.</w:t>
      </w:r>
    </w:p>
    <w:p>
      <w:r>
        <w:t>La beta debe admitir configuración de catálogos, responsables, cuentas, categorías y presentación de informes sin cambios de código. Prepará estructura para configuración versionada, validada y respaldada. Cambiar nombres o desactivar opciones no debe modificar saldos, documentos emitidos ni relaciones históricas. No construyas un motor genérico de reglas; las invariantes monetarias permanecen obligatorias.</w:t>
      </w:r>
    </w:p>
    <w:p>
      <w:r>
        <w:t>Leé primero los documentos 02 y 03 de este paquete y las instrucciones AGENTS.md aplicables. El ERP es una referencia de integración futura. La aplicación tendrá un repositorio y una base local independientes. No cambies el objetivo activo del ERP ni reutilices sus secretos.</w:t>
      </w:r>
    </w:p>
    <w:p>
      <w:r>
        <w:t>Entregá una preparación concreta y verificable. No declares una plataforma lista por tener instalado un editor o por compilar únicamente código compartido. La disponibilidad de Android e iOS debe informarse por separado.</w:t>
      </w:r>
    </w:p>
    <w:p>
      <w:pPr>
        <w:pStyle w:val="Heading2"/>
      </w:pPr>
      <w:r>
        <w:t>2 Inspección inicial obligatoria</w:t>
      </w:r>
    </w:p>
    <w:p>
      <w:pPr>
        <w:pStyle w:val="ListBullet"/>
      </w:pPr>
      <w:r>
        <w:t>Identificá sistema operativo, arquitectura, memoria y espacio; distinguí Ubuntu nativo, Windows y WSL si existen. No asumas el equipo a partir de conversaciones anteriores.</w:t>
      </w:r>
    </w:p>
    <w:p>
      <w:pPr>
        <w:pStyle w:val="ListBullet"/>
      </w:pPr>
      <w:r>
        <w:t>Identificá VS Code, Codex, Git y herramientas instaladas. Revisá acceso de red y límites del entorno sin mostrar tokens, claves, datos bancarios ni el contenido de archivos secretos.</w:t>
      </w:r>
    </w:p>
    <w:p>
      <w:pPr>
        <w:pStyle w:val="ListBullet"/>
      </w:pPr>
      <w:r>
        <w:t>Revisá el estado Git antes de cualquier escritura: repositorio, rama, SHA completo, cambios locales y archivos sin seguimiento. Preservá el trabajo existente; no hagas reset, clean, rebase ni cambios globales para resolver problemas rutinarios.</w:t>
      </w:r>
    </w:p>
    <w:p>
      <w:pPr>
        <w:pStyle w:val="ListBullet"/>
      </w:pPr>
      <w:r>
        <w:t>Si está disponible wis-Predator, tené presente el fallo de GPU reportado. Priorizá teléfono físico; no habilites aceleración gráfica ni cambies controladores como parte de esta preparación.</w:t>
      </w:r>
    </w:p>
    <w:p>
      <w:r>
        <w:br w:type="page"/>
      </w:r>
    </w:p>
    <w:p>
      <w:pPr>
        <w:pStyle w:val="Heading1"/>
      </w:pPr>
      <w:r>
        <w:t>3 Lectura de referencia y decisión tecnológica</w:t>
      </w:r>
    </w:p>
    <w:p>
      <w:r>
        <w:t>Revisá código vigente de organización, permisos, documentos, auditoría, aprobaciones y hechos económicos del ERP. Identificá capacidades implementadas y capacidades ausentes con rutas de archivos. Si solo hay un ZIP, registrá su nombre y huella; no lo presentes como el estado actual de GitHub.</w:t>
      </w:r>
    </w:p>
    <w:p>
      <w:r>
        <w:t>Compará Flutter y Kotlin Multiplatform con Compose Multiplatform como candidatas, sin tratarlas como decisiones aprobadas. Podés justificar otra opción si reduce el costo total para un desarrollador. Evaluá mantenimiento, interfaz, SQLite, cámara, archivos, exportación de imágenes, accesibilidad, pruebas y firma.</w:t>
      </w:r>
    </w:p>
    <w:p>
      <w:r>
        <w:t>Consultá documentación oficial vigente para versiones compatibles y dependencias. Elegí una sola ruta, justificá sus límites y fijá versiones y archivos de bloqueo. No agregues un servidor, MCP, cuentas de usuario remotas ni IA para resolver el registro local.</w:t>
      </w:r>
    </w:p>
    <w:p>
      <w:r>
        <w:t>Si una decisión requiere gasto, publicación, credenciales o compromete datos existentes, completá la preparación que no dependa de ella y escalá ese punto con alternativas concretas. No solicites aprobación repetida para pasos reversibles ya autorizados.</w:t>
      </w:r>
    </w:p>
    <w:p>
      <w:pPr>
        <w:pStyle w:val="Heading2"/>
      </w:pPr>
      <w:r>
        <w:t>4 Repositorio y entorno local</w:t>
      </w:r>
    </w:p>
    <w:p>
      <w:pPr>
        <w:pStyle w:val="ListBullet"/>
      </w:pPr>
      <w:r>
        <w:t>Usá un repositorio independiente. Si no existe acceso autorizado para crear uno remoto, prepará el proyecto local e informá el bloqueo remoto; no uses el repositorio del ERP como sustituto.</w:t>
      </w:r>
    </w:p>
    <w:p>
      <w:pPr>
        <w:pStyle w:val="ListBullet"/>
      </w:pPr>
      <w:r>
        <w:t>Prepará únicamente el esqueleto de compilación, configuración del editor, exclusiones Git, instrucciones de arranque y verificación, ejemplo de configuración sin secretos y estructura prevista para dominio, datos, interfaz, exportaciones y pruebas.</w:t>
      </w:r>
    </w:p>
    <w:p>
      <w:pPr>
        <w:pStyle w:val="ListBullet"/>
      </w:pPr>
      <w:r>
        <w:t>Configurá herramientas por proyecto cuando sea posible. Documentá instalaciones y cambios; evitá instalaciones duplicadas, privilegios innecesarios y mezcla de herramientas Windows con rutas Linux.</w:t>
      </w:r>
    </w:p>
    <w:p>
      <w:pPr>
        <w:pStyle w:val="ListBullet"/>
      </w:pPr>
      <w:r>
        <w:t>Los datos de prueba serán sintéticos. Excluí comprobantes reales, respaldos, bases locales y claves de firma del control de versiones.</w:t>
      </w:r>
    </w:p>
    <w:p>
      <w:r>
        <w:br w:type="page"/>
      </w:r>
    </w:p>
    <w:p>
      <w:pPr>
        <w:pStyle w:val="Heading1"/>
      </w:pPr>
      <w:r>
        <w:t>5 Validación por plataforma</w:t>
      </w:r>
    </w:p>
    <w:p>
      <w:r>
        <w:t>Android: verificá la cadena de compilación compatible, generá una aplicación vacía instalable y probala en dispositivo autorizado. Registrá diferencias entre APK de desarrollo y paquete de distribución firmado. Una instalación vacía prueba el entorno, no las funciones de la beta.</w:t>
      </w:r>
    </w:p>
    <w:p>
      <w:r>
        <w:t>iOS: verificá la disponibilidad de macOS y Xcode compatibles, destino de prueba y opciones reales de firma y distribución. Desde Linux o Windows no declares una compilación iOS local verificada. Si falta acceso al entorno Apple, dejá el proyecto preparado y marcá iOS como pendiente de validación.</w:t>
      </w:r>
    </w:p>
    <w:p>
      <w:r>
        <w:t>Si existe un servicio remoto autorizado, verificá su capacidad y condiciones antes de usarlo. No contrates servicios ni publiques aplicaciones. No pidas contraseñas o claves en el chat; utilizá los mecanismos seguros disponibles.</w:t>
      </w:r>
    </w:p>
    <w:p>
      <w:r>
        <w:t>La selección de herramientas no deberá impedir probar SQLite, cámara, selector de fotos, almacenamiento privado y exportaciones en ambas plataformas. Documentá estas comprobaciones como objetivos de la siguiente fase, no como resultados ya obtenidos.</w:t>
      </w:r>
    </w:p>
    <w:p>
      <w:pPr>
        <w:pStyle w:val="Heading2"/>
      </w:pPr>
      <w:r>
        <w:t>6 Calidad y seguridad del entorno</w:t>
      </w:r>
    </w:p>
    <w:p>
      <w:pPr>
        <w:pStyle w:val="ListBullet"/>
      </w:pPr>
      <w:r>
        <w:t>Configurá formato, análisis estático y una prueba de arranque significativa. Verificá que un checkout limpio pueda reproducir la compilación con las instrucciones entregadas.</w:t>
      </w:r>
    </w:p>
    <w:p>
      <w:pPr>
        <w:pStyle w:val="ListBullet"/>
      </w:pPr>
      <w:r>
        <w:t>Prepará integración continua solo donde haya acceso y autorización. Si no existe repositorio remoto, dejá configuración local revisable sin afirmar que el servicio ya se ejecutó.</w:t>
      </w:r>
    </w:p>
    <w:p>
      <w:pPr>
        <w:pStyle w:val="ListBullet"/>
      </w:pPr>
      <w:r>
        <w:t>Identificá dónde se conservarán las claves de firma y quién las controla. Ninguna clave de producción debe estar en el repositorio. El respaldo de la firma es un requisito previo a distribuir actualizaciones persistentes.</w:t>
      </w:r>
    </w:p>
    <w:p>
      <w:r>
        <w:br w:type="page"/>
      </w:r>
    </w:p>
    <w:p>
      <w:pPr>
        <w:pStyle w:val="Heading1"/>
      </w:pPr>
      <w:r>
        <w:t>7 Entrega y condición de cierre</w:t>
      </w:r>
    </w:p>
    <w:p>
      <w:r>
        <w:t>Entregá un informe único con evidencia inicial, tecnología elegida, versiones, rutas modificadas, comandos ejecutados, resultados y bloqueos. Identificá cada comprobación como verificada, fallida o no ejecutada.</w:t>
      </w:r>
    </w:p>
    <w:p>
      <w:r>
        <w:t>Incluí una matriz Android e iOS que separe compilación, instalación, dispositivo real, firma y distribución. Adjuntá rutas o enlaces verificables a los artefactos existentes. Nunca prometas un instalador que no se haya generado.</w:t>
      </w:r>
    </w:p>
    <w:p>
      <w:r>
        <w:t>La preparación se cierra cuando la ruta Android es reproducible, la ruta iOS está verificada o tiene un bloqueo explícito y el propietario puede revisar todo el cambio. Un bloqueo iOS no obliga a impedir pruebas Android, pero impide declarar terminada la validación multiplataforma.</w:t>
      </w:r>
    </w:p>
    <w:p>
      <w:r>
        <w:t>No comiences el desarrollo funcional durante este mandato. Finalizá con el siguiente trabajo concreto del roadmap y sus requisitos pendientes.</w:t>
      </w:r>
    </w:p>
    <w:p>
      <w:pPr>
        <w:pStyle w:val="Heading2"/>
      </w:pPr>
      <w:r>
        <w:t>8 Condiciones de detención y referencias</w:t>
      </w:r>
    </w:p>
    <w:p>
      <w:pPr>
        <w:pStyle w:val="ListBullet"/>
      </w:pPr>
      <w:r>
        <w:t>Detenete ante riesgo de pérdida de datos, modificación del ERP, necesidad de reescribir historia, exposición de secretos o conflicto con instrucciones aplicables. Informá el problema y preservá el estado.</w:t>
      </w:r>
    </w:p>
    <w:p>
      <w:pPr>
        <w:pStyle w:val="ListBullet"/>
      </w:pPr>
      <w:r>
        <w:t>No detengas toda la preparación por una dependencia aislada si quedan tareas independientes autorizadas. Agrupá problemas ordinarios y resolvelos dentro del alcance.</w:t>
      </w:r>
    </w:p>
    <w:p>
      <w:pPr>
        <w:pStyle w:val="ListBullet"/>
      </w:pPr>
      <w:r>
        <w:t>Documentos de referencia: 02 Plan y objetivo del proyecto; 03 Roadmap y criterios de aceptación. Este paquete define alcance y pruebas, no certifica el estado del repositorio ni la compatibilidad actual de bibliotecas.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Versión 1.0  •  Propietario Winston Gutiérrez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Gastos y rendiciones  |  Definición de la beta  |  27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