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y objetivo de la aplicación</w:t>
      </w:r>
    </w:p>
    <w:p>
      <w:pPr>
        <w:pStyle w:val="Subtitle"/>
      </w:pPr>
      <w:r>
        <w:t>Definición funcional de una beta de gastos y rendiciones para Android e iOS</w:t>
      </w:r>
    </w:p>
    <w:p>
      <w:pPr>
        <w:pStyle w:val="Heading1"/>
      </w:pPr>
      <w:r>
        <w:t>1 Idea central y resultado esperado</w:t>
      </w:r>
    </w:p>
    <w:p>
      <w:r>
        <w:t>Una persona realiza gestiones para distintas empresas o personas, utiliza fondos propios o recibidos y reúne comprobantes. La aplicación debe permitir registrar cada compra al ocurrir y entregar una rendición clara, sin perder pendientes de gestiones anteriores.</w:t>
      </w:r>
    </w:p>
    <w:p>
      <w:r>
        <w:t>El usuario inicial es Winston Gutiérrez. Agrícola Santa Isabel es un contexto de uso conocido; Osman Gutiérrez puede figurar como persona natural y titular de documentos. No existe un catálogo completo verificado de empresas: será configurable, sin inventar sociedades ni relaciones legales.</w:t>
      </w:r>
    </w:p>
    <w:p>
      <w:r>
        <w:t>La beta será una aplicación utilizable con captura manual, almacenamiento local, fotos, control de fondos y exportación a Excel y PDF. No implica ausencia garantizada de errores: su aceptación depende de pruebas reproducibles y uso real controlado.</w:t>
      </w:r>
    </w:p>
    <w:p>
      <w:pPr>
        <w:pStyle w:val="Heading2"/>
      </w:pPr>
      <w:r>
        <w:t>2 Alcance aprobado y exclusiones</w:t>
      </w:r>
    </w:p>
    <w:p>
      <w:pPr>
        <w:pStyle w:val="ListBullet"/>
      </w:pPr>
      <w:r>
        <w:t>Incluye múltiples gestiones, empresas o personas responsables, ámbito personal, córdobas y dólares, compras a crédito, pagos parciales, anticipos, reembolsos, devoluciones, comprobantes y respaldo.</w:t>
      </w:r>
    </w:p>
    <w:p>
      <w:pPr>
        <w:pStyle w:val="ListBullet"/>
      </w:pPr>
      <w:r>
        <w:t>Incluye configuración editable de empresas y personas, nombres comerciales, destinos, categorías, formas de pago, cuentas de efectivo o banco, encabezados e identidad de informes y preferencias visuales. Permitir desactivar opciones sin borrar su historia. Los campos adicionales serán descriptivos y no cambiarán cálculos financieros. No se incluye un constructor arbitrario de reglas o pantallas. La separación por moneda, asignaciones exactas y prevención de duplicados son invariantes obligatorias. Las configuraciones utilizadas en informes emitidos conservarán su versión histórica.</w:t>
      </w:r>
    </w:p>
    <w:p>
      <w:pPr>
        <w:pStyle w:val="ListBullet"/>
      </w:pPr>
      <w:r>
        <w:t>Incluye interfaz cuidada y consistente, diseñada para el teléfono. Las pantallas deberán evitar términos contables innecesarios y mostrar siempre empresa, gestión y moneda del contexto.</w:t>
      </w:r>
    </w:p>
    <w:p>
      <w:pPr>
        <w:pStyle w:val="ListBullet"/>
      </w:pPr>
      <w:r>
        <w:t>Quedan fuera de la beta el OCR, la IA generativa, la sincronización entre dispositivos, el acceso multiusuario remoto, la conexión bancaria, los pagos desde la app y la integración activa al ERP.</w:t>
      </w:r>
    </w:p>
    <w:p>
      <w:pPr>
        <w:pStyle w:val="ListBullet"/>
      </w:pPr>
      <w:r>
        <w:t>No se implementará contabilidad general, facturación fiscal ni inventario. La aplicación conserva la evidencia de compras y liquidaciones; el ERP gestionará su tratamiento empresarial posterior.</w:t>
      </w:r>
    </w:p>
    <w:p>
      <w:r>
        <w:br w:type="page"/>
      </w:r>
    </w:p>
    <w:p>
      <w:pPr>
        <w:pStyle w:val="Heading1"/>
      </w:pPr>
      <w:r>
        <w:t>3 Modelo de operación</w:t>
      </w:r>
    </w:p>
    <w:p>
      <w:r>
        <w:t>Gestión: encargo o recorrido con fecha de apertura y cierre opcional, motivo y responsable. Puede abarcar varios días, empresas y destinos. Un período es el intervalo real de la gestión o un filtro del informe, no una obligación de registrar por semana.</w:t>
      </w:r>
    </w:p>
    <w:p>
      <w:r>
        <w:t>Compra o gasto: documento o desembolso por su total, con fecha económica, fecha de captura, proveedor, concepto, moneda, número de documento como texto y estado de comprobación. No exige artículos. Un movimiento de compra puede estar pendiente de pago.</w:t>
      </w:r>
    </w:p>
    <w:p>
      <w:r>
        <w:t>Asignación: parte del total atribuida a una empresa, persona o ámbito personal. Las asignaciones deben sumar exactamente el total. Quién se beneficia, quién encarga, quién paga y quién figura en la factura son datos distintos.</w:t>
      </w:r>
    </w:p>
    <w:p>
      <w:r>
        <w:t>Pago y fondos: los pagos cancelan compras; los anticipos entregan fondos; los reembolsos cancelan importes adelantados; las devoluciones restituyen fondos. Una entrada bancaria puede distribuirse entre varias gestiones, sin duplicar el depósito.</w:t>
      </w:r>
    </w:p>
    <w:p>
      <w:r>
        <w:t>Comprobante: imagen o conjunto de imágenes conservadas por la app y relacionadas con la compra o movimiento. Factura y voucher de una misma compra son respaldos del mismo importe. Una liquidación que resume otras facturas no crea un nuevo gasto.</w:t>
      </w:r>
    </w:p>
    <w:p>
      <w:pPr>
        <w:pStyle w:val="Heading2"/>
      </w:pPr>
      <w:r>
        <w:t>4 Reglas de integridad</w:t>
      </w:r>
    </w:p>
    <w:p>
      <w:pPr>
        <w:pStyle w:val="ListBullet"/>
      </w:pPr>
      <w:r>
        <w:t>Importes en unidades menores enteras y moneda explícita. No sumar córdobas con dólares ni convertir automáticamente. Liquidaciones cruzadas entre monedas quedan fuera de la beta hasta definir su tratamiento.</w:t>
      </w:r>
    </w:p>
    <w:p>
      <w:pPr>
        <w:pStyle w:val="ListBullet"/>
      </w:pPr>
      <w:r>
        <w:t>Documento como texto para conservar ceros; fecha de compra separada de fecha de registro. Identificadores internos estables independientes del número de factura.</w:t>
      </w:r>
    </w:p>
    <w:p>
      <w:pPr>
        <w:pStyle w:val="ListBullet"/>
      </w:pPr>
      <w:r>
        <w:t>Un crédito comercial no reduce el efectivo. Su pago posterior no vuelve a crear la compra. Registrá al deudor y proveedor; no asumas que el capturador es quien debe pagar.</w:t>
      </w:r>
    </w:p>
    <w:p>
      <w:pPr>
        <w:pStyle w:val="ListBullet"/>
      </w:pPr>
      <w:r>
        <w:t>No compensar empresas ni trasladar remanentes entre gestiones sin movimiento explícito. No permitir que pagos o asignaciones excedan sus importes disponibles sin una corrección identificada.</w:t>
      </w:r>
    </w:p>
    <w:p>
      <w:r>
        <w:br w:type="page"/>
      </w:r>
    </w:p>
    <w:p>
      <w:pPr>
        <w:pStyle w:val="Heading1"/>
      </w:pPr>
      <w:r>
        <w:t>5 Saldos y cierres</w:t>
      </w:r>
    </w:p>
    <w:p>
      <w:r>
        <w:t>El cierre del informe y la liquidación del dinero serán independientes. Informe: abierto, cerrado o reabierto con motivo. Liquidación: pendiente, parcial o liquidada. Una gestión cerrada puede seguir esperando reembolso.</w:t>
      </w:r>
    </w:p>
    <w:p>
      <w:r>
        <w:t>Para fondos de un anticipo se concilia dinero recibido menos pagos realizados con esos fondos menos devoluciones y transferencias explícitas. El remanente no desaparece al cerrar un informe.</w:t>
      </w:r>
    </w:p>
    <w:p>
      <w:r>
        <w:t>El reembolso a favor del responsable corresponde a pagos hechos con fondos propios y reconocidos a cargo del tercero, menos los reembolsos aplicados. No nace solo por capturar una factura todavía impaga.</w:t>
      </w:r>
    </w:p>
    <w:p>
      <w:r>
        <w:t>El crédito pendiente del proveedor corresponde a compras a crédito menos pagos y ajustes registrados. No se suma como reembolso personal mientras el responsable no haya adelantado ese dinero.</w:t>
      </w:r>
    </w:p>
    <w:p>
      <w:r>
        <w:t>No se mostrará un único saldo neto que oculte efectivo en custodia, reembolsos y deudas con proveedores. Los tres se consultan por responsable, empresa, gestión y moneda.</w:t>
      </w:r>
    </w:p>
    <w:p>
      <w:pPr>
        <w:pStyle w:val="Heading1"/>
      </w:pPr>
      <w:r>
        <w:t>6 Casos operativos de referencia</w:t>
      </w:r>
    </w:p>
    <w:p>
      <w:r>
        <w:t>Adelanto personal: Winston paga C$8,000 y recibe C$3,000. Quedan C$5,000 por cobrar aunque cierre el informe. Una nueva gestión conserva su propio saldo.</w:t>
      </w:r>
    </w:p>
    <w:p>
      <w:r>
        <w:t>Anticipo: recibe C$100,000 y paga C$96,000 con ese fondo. Quedan C$4,000 en custodia hasta devolverlos o trasladarlos explícitamente. Si paga C$3,000 adicionales de su dinero, ese importe se registra como adelanto propio.</w:t>
      </w:r>
    </w:p>
    <w:p>
      <w:r>
        <w:t>Compra mixta: un documento de C$1,000 se asigna C$600 a una empresa, C$250 a otra y C$150 al ámbito personal. Debe definirse quién financió cada parte y quién la reconoce; compartir el comprobante exige revisar su contenido.</w:t>
      </w:r>
    </w:p>
    <w:p>
      <w:r>
        <w:t>Gastos personales: distinguir una compra para el padre de una compra propia de Winston. Si fue encargada y aceptada por el padre, puede ser reembolsable; si se pagó un gasto propio con anticipo ajeno, queda dinero por regularizar.</w:t>
      </w:r>
    </w:p>
    <w:p>
      <w:r>
        <w:br w:type="page"/>
      </w:r>
    </w:p>
    <w:p>
      <w:pPr>
        <w:pStyle w:val="Heading1"/>
      </w:pPr>
      <w:r>
        <w:t>7 Pantallas y experiencia de uso</w:t>
      </w:r>
    </w:p>
    <w:p>
      <w:r>
        <w:t>Inicio: gestiones abiertas y pendientes anteriores; acceso destacado a Registrar gasto. Mostrar saldos por moneda y separar dinero en custodia, por recibir y por pagar.</w:t>
      </w:r>
    </w:p>
    <w:p>
      <w:r>
        <w:t>Registro: elegir gestión y destino, introducir importe y moneda, proveedor y concepto, indicar documento y adjuntar fotos. Después indicar si está pagado, a crédito o con pago parcial y de dónde salió el dinero.</w:t>
      </w:r>
    </w:p>
    <w:p>
      <w:r>
        <w:t>Detalle de gestión: compras, fondos, créditos, comprobantes y liquidaciones; cierre o reapertura con motivo. Un anticipo no debe aparecer como una compra ni un reembolso como ingreso ganado.</w:t>
      </w:r>
    </w:p>
    <w:p>
      <w:r>
        <w:t>Informes: elegir destinatario, gestión y filtros, revisar qué se comparte y exportar. El informe de una empresa excluye registros personales ajenos a su rendición.</w:t>
      </w:r>
    </w:p>
    <w:p>
      <w:r>
        <w:t>Diseño: jerarquía visual clara, tipografía legible, controles táctiles cómodos, buen contraste y estados vacíos útiles. No depender solo del color para indicar deudas. Preservar borradores y mostrar errores junto al campo correspondiente.</w:t>
      </w:r>
    </w:p>
    <w:p>
      <w:pPr>
        <w:pStyle w:val="Heading1"/>
      </w:pPr>
      <w:r>
        <w:t>8 Exportaciones y protección</w:t>
      </w:r>
    </w:p>
    <w:p>
      <w:r>
        <w:t>Excel: resumen, compras y asignaciones, pagos y fondos, pendientes y comprobantes identificados. Incluir una opción sin imágenes. Fechas, importes, moneda y números de documento deben mantener su significado.</w:t>
      </w:r>
    </w:p>
    <w:p>
      <w:r>
        <w:t>PDF: encabezado del destinatario y responsable, identificación de gestión, corte del informe, totales por moneda, liquidaciones y anexos legibles. Numerar documentos y páginas; informar faltantes de respaldo.</w:t>
      </w:r>
    </w:p>
    <w:p>
      <w:r>
        <w:t>Cada exportación debe conservar el corte y versión del informe para que un pago posterior no altere lo que ya se entregó. Exportar no equivale a aprobación ni a pago.</w:t>
      </w:r>
    </w:p>
    <w:p>
      <w:r>
        <w:t>Respaldar una copia consistente de SQLite, imágenes y versión de esquema. Verificar integridad antes de restaurar y preservar el estado anterior si falla. Excel y PDF no sustituyen el respaldo restaurable.</w:t>
      </w:r>
    </w:p>
    <w:p>
      <w:r>
        <w:br w:type="page"/>
      </w:r>
    </w:p>
    <w:p>
      <w:pPr>
        <w:pStyle w:val="Heading1"/>
      </w:pPr>
      <w:r>
        <w:t>9 Arquitectura y evolución</w:t>
      </w:r>
    </w:p>
    <w:p>
      <w:r>
        <w:t>Arquitectura prevista: aplicación multiplataforma con SQLite y archivos privados para imágenes. Separar reglas de dominio, persistencia, interfaz y exportación. La tecnología definitiva se decidirá después de verificar el entorno y bibliotecas en fuentes oficiales.</w:t>
      </w:r>
    </w:p>
    <w:p>
      <w:r>
        <w:t>El ERP inspeccionado contiene organización por empresas y sucursales y modelos de hechos económicos. Esto no demuestra que ya exista el circuito de rendiciones. No se ha verificado aquí el estado vigente de GitHub ni se autoriza cambiar sus kernels.</w:t>
      </w:r>
    </w:p>
    <w:p>
      <w:r>
        <w:t>En la integración futura se enviará una rendición para validación empresarial mediante contrato versionado, identidad estable y protección contra reintentos duplicados. El ERP controlará permisos, aprobación y hechos económicos y preasientos cuando corresponda. La app no escribirá directamente en sus tablas.</w:t>
      </w:r>
    </w:p>
    <w:p>
      <w:pPr>
        <w:pStyle w:val="Heading2"/>
      </w:pPr>
      <w:r>
        <w:t>10 Criterios de éxito y decisiones pendientes</w:t>
      </w:r>
    </w:p>
    <w:p>
      <w:pPr>
        <w:pStyle w:val="ListBullet"/>
      </w:pPr>
      <w:r>
        <w:t>Éxito verificable: no duplicar compras al registrar pagos; conciliar cada gestión y moneda; conservar pendientes cerrados; restaurar registros y fotos; producir Excel y PDF legibles y correctos.</w:t>
      </w:r>
    </w:p>
    <w:p>
      <w:pPr>
        <w:pStyle w:val="ListBullet"/>
      </w:pPr>
      <w:r>
        <w:t>Medir cantidad de errores de captura, diferencias de conciliación, fallos de exportación y restauración, y pasos necesarios para registrar una compra. No establecer cifras de rendimiento sin medir el dispositivo objetivo.</w:t>
      </w:r>
    </w:p>
    <w:p>
      <w:pPr>
        <w:pStyle w:val="ListBullet"/>
      </w:pPr>
      <w:r>
        <w:t>Confirmar catálogo de empresas y personas, quién reconoce cada compra personal y destinatarios de informes. No son bloqueos para preparar el entorno con datos sintéticos.</w:t>
      </w:r>
    </w:p>
    <w:p>
      <w:pPr>
        <w:pStyle w:val="ListBullet"/>
      </w:pPr>
      <w:r>
        <w:t>Verificar dispositivos iOS de prueba, acceso al entorno Apple, ruta de distribución y custodia de firma. La aplicación podrá probarse en Android mientras iOS permanezca declarado como pendiente; no se certificará paridad sin prueba.</w:t>
      </w:r>
    </w:p>
    <w:p>
      <w:pPr>
        <w:pStyle w:val="ListBullet"/>
      </w:pPr>
      <w:r>
        <w:t>Los préstamos independientes que no financien una gestión quedan fuera de la beta. Los adelantos para compras y créditos comerciales descritos sí están incluidos.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Versión 1.0  •  Propietario Winston Gutiérrez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Gastos y rendiciones  |  Definición de la beta  |  27 de octubre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