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Roadmap de desarrollo y aceptación</w:t>
      </w:r>
    </w:p>
    <w:p>
      <w:pPr>
        <w:pStyle w:val="Subtitle"/>
      </w:pPr>
      <w:r>
        <w:t>Fases por resultados sin calendario para la beta y su evolución</w:t>
      </w:r>
    </w:p>
    <w:p>
      <w:pPr>
        <w:pStyle w:val="Heading1"/>
      </w:pPr>
      <w:r>
        <w:t>1 Disciplina de ejecución</w:t>
      </w:r>
    </w:p>
    <w:p>
      <w:r>
        <w:t>El desarrollo avanza por capacidades completas y pruebas de aceptación, sin fechas impuestas. Las fases de entorno y validación preparan la etapa básica; la etapa intermedia incorpora controles e integración y la última incorpora OCR.</w:t>
      </w:r>
    </w:p>
    <w:p>
      <w:r>
        <w:t>Codex ejecutará un mandato integral por fase. Resolverá errores ordinarios del alcance en conjunto y entregará una evidencia consolidada. Un fallo que comprometa dinero, aislamiento, comprobantes o recuperación se escala de inmediato y bloquea el cierre.</w:t>
      </w:r>
    </w:p>
    <w:p>
      <w:r>
        <w:t>La preparación del entorno tiene autorización en este paquete. Las fases funcionales describen el trabajo siguiente; su implementación comienza mediante un mandato explícito. No cambiar el roadmap del ERP ni añadir funciones ajenas a la aplicación.</w:t>
      </w:r>
    </w:p>
    <w:p>
      <w:pPr>
        <w:pStyle w:val="Heading1"/>
      </w:pPr>
      <w:r>
        <w:t>2 Preparación del entorno</w:t>
      </w:r>
    </w:p>
    <w:p>
      <w:r>
        <w:t>Entregables: diagnóstico del equipo, lectura de referencia ERP, comparación tecnológica, decisión justificada, repositorio independiente, esqueleto compilable, configuración VS Code y documentación reproducible. Aplicar el documento 01.</w:t>
      </w:r>
    </w:p>
    <w:p>
      <w:r>
        <w:t>Aceptación: ejecución reproducible de análisis y arranque; aplicación vacía compilada e instalada en Android; ruta iOS verificada o bloqueo documentado. Versiones, cambios y evidencias registrados sin secretos.</w:t>
      </w:r>
    </w:p>
    <w:p>
      <w:r>
        <w:t>Punto de control: no declarar iOS listo por una compilación Android. No seleccionar bibliotecas de Excel o PDF solo por publicidad; su compatibilidad debe probarse en el recorrido siguiente.</w:t>
      </w:r>
    </w:p>
    <w:p>
      <w:r>
        <w:br w:type="page"/>
      </w:r>
    </w:p>
    <w:p>
      <w:pPr>
        <w:pStyle w:val="Heading1"/>
      </w:pPr>
      <w:r>
        <w:t>3 Etapa básica y prueba del recorrido completo</w:t>
      </w:r>
    </w:p>
    <w:p>
      <w:r>
        <w:t>Construir primero una sección funcional que guarde una compra y una foto en SQLite y almacenamiento privado, las recupere al reiniciar y genere un Excel y un PDF con la identificación y el comprobante.</w:t>
      </w:r>
    </w:p>
    <w:p>
      <w:r>
        <w:t>Incluir desde este recorrido una copia de respaldo restaurable. La captura debe aceptar ausencia de factura. El número de documento conserva ceros y el importe conserva centavos.</w:t>
      </w:r>
    </w:p>
    <w:p>
      <w:r>
        <w:t>Aceptación Android e iOS: capturar con cámara o selector, cerrar y reabrir, consultar la foto sin depender de la galería original, exportar y abrir los archivos en aplicaciones externas. Si una plataforma no está accesible, su prueba queda pendiente y limita la certificación.</w:t>
      </w:r>
    </w:p>
    <w:p>
      <w:r>
        <w:t>No cerrar esta fase con una maqueta o una captura de pantalla. La evidencia debe relacionar registro, archivo exportado, imagen y restauración.</w:t>
      </w:r>
    </w:p>
    <w:p>
      <w:pPr>
        <w:pStyle w:val="Heading1"/>
      </w:pPr>
      <w:r>
        <w:t>4 Etapa básica y operación completa de la beta</w:t>
      </w:r>
    </w:p>
    <w:p>
      <w:r>
        <w:t>Completar gestiones, empresas o personas, ámbito personal, asignaciones mixtas, pagos y fondos, anticipos, reembolsos parciales, devoluciones y créditos comerciales. Agregar búsqueda, correcciones e historial y cierre independiente de la liquidación.</w:t>
      </w:r>
    </w:p>
    <w:p>
      <w:r>
        <w:t>Entregar resumen por moneda y responsable; pendientes de gestiones anteriores; exportación individual por destinatario y selección de fotos. Vincular reembolsos a adelantos y pagos a compras para impedir doble conteo.</w:t>
      </w:r>
    </w:p>
    <w:p>
      <w:r>
        <w:t>Aceptación: ejecutar los escenarios de la página siguiente y comprobar todos los saldos. Los cálculos deben depender de registros trazables y no de un total editable a mano.</w:t>
      </w:r>
    </w:p>
    <w:p>
      <w:r>
        <w:t>Configuración: permitir crear, editar y desactivar catálogos; personalizar encabezados de Excel y PDF y usar etiquetas comprensibles. Probar que un cambio de nombre no altera una rendición emitida, que no se elimina una opción referenciada y que respaldo y restauración conservan configuraciones. Los campos descriptivos adicionales no podrán modificar saldos. Validar valores y ofrecer recuperación de preferencias sin borrar registros.</w:t>
      </w:r>
    </w:p>
    <w:p>
      <w:r>
        <w:t>La interfaz se valida con captura real desde el teléfono: formularios legibles, contexto visible, navegación coherente, borradores y errores comprensibles. No posponer la usabilidad hasta el OCR.</w:t>
      </w:r>
    </w:p>
    <w:p>
      <w:r>
        <w:br w:type="page"/>
      </w:r>
    </w:p>
    <w:p>
      <w:pPr>
        <w:pStyle w:val="Heading1"/>
      </w:pPr>
      <w:r>
        <w:t>5 Matriz de aceptación financiera de la beta</w:t>
      </w:r>
    </w:p>
    <w:p>
      <w:r>
        <w:t>A1 Adelanto propio. Compra pagada por Winston por C$8,000; reembolso de C$3,000. Resultado: C$5,000 por recibir; no existe segundo gasto por el reembolso.</w:t>
      </w:r>
    </w:p>
    <w:p>
      <w:r>
        <w:t>A2 Anticipo. Recibir C$100,000, pagar C$96,000 con esos fondos y devolver C$4,000. Resultado: custodia cero, sin reembolso personal. Antes de devolver, custodia C$4,000.</w:t>
      </w:r>
    </w:p>
    <w:p>
      <w:r>
        <w:t>A3 Origen combinado. Compra de C$103,000 pagada con anticipo de C$100,000 y C$3,000 propios. Resultado: sin fondos del anticipo remanentes y C$3,000 por reembolsar.</w:t>
      </w:r>
    </w:p>
    <w:p>
      <w:r>
        <w:t>A4 Crédito. Compra de C$10,000 a crédito y pago de C$4,000 con fondos de la empresa. Resultado: compra total C$10,000 y deuda C$6,000; no aparece una segunda compra.</w:t>
      </w:r>
    </w:p>
    <w:p>
      <w:r>
        <w:t>A5 Períodos. Cerrar una gestión con C$5,000 pendientes y abrir otra con C$2,000 propios. Aplicar un depósito de C$7,000 entre ambas. Resultado: ambas liquidadas con una sola entrada bancaria.</w:t>
      </w:r>
    </w:p>
    <w:p>
      <w:r>
        <w:t>A6 Mixto. Repartir C$1,000 en C$600 empresa A, C$250 empresa B y C$150 personal. Impedir asignaciones por C$1,001. El informe A no incluye las filas B ni personales.</w:t>
      </w:r>
    </w:p>
    <w:p>
      <w:r>
        <w:t>A7 Respaldo duplicado. Adjuntar factura y voucher a una compra de C$5,500. Resultado: total C$5,500. Una liquidación resumen no agrega sus facturas otra vez.</w:t>
      </w:r>
    </w:p>
    <w:p>
      <w:r>
        <w:t>A8 Monedas y correcciones. Registrar C$100 y US$10. Mostrar dos totales. Anular con motivo, reabrir informe cerrado y conservar evidencia del informe anterior.</w:t>
      </w:r>
    </w:p>
    <w:p>
      <w:r>
        <w:t>A9 Protección. Interrumpir una exportación o restauración y simular una imagen ausente. No perder datos previos ni marcar una operación fallida como exitosa. Reintentar un registro no debe duplicar una operación confirmada.</w:t>
      </w:r>
    </w:p>
    <w:p>
      <w:r>
        <w:br w:type="page"/>
      </w:r>
    </w:p>
    <w:p>
      <w:pPr>
        <w:pStyle w:val="Heading1"/>
      </w:pPr>
      <w:r>
        <w:t>6 Estabilización y entrega de la beta</w:t>
      </w:r>
    </w:p>
    <w:p>
      <w:r>
        <w:t>Validar migración entre dos versiones reales de la base de prueba, restauración completa, actualización conservando datos e integridad de imágenes. Probar conjuntos de tamaños crecientes y documentar el límite medido; no prometer capacidad sin medición.</w:t>
      </w:r>
    </w:p>
    <w:p>
      <w:r>
        <w:t>Revisar Excel con comprobantes y sin ellos, PDF de múltiples páginas, fotos giradas y documentos largos. No aceptar páginas recortadas ni totales que mezclen monedas. Conservar el corte y revisión del informe.</w:t>
      </w:r>
    </w:p>
    <w:p>
      <w:r>
        <w:t>Entregables: instaladores o rutas de distribución efectivamente verificadas, instrucciones de instalación y respaldo, limitaciones conocidas y evidencia por plataforma. Mantener identificador y firma para actualizaciones. Los mecanismos concretos se verificarán con documentación vigente.</w:t>
      </w:r>
    </w:p>
    <w:p>
      <w:r>
        <w:t>Cierre de beta: matriz financiera aprobada, exportaciones correctas, recuperación probada y sin defectos abiertos que puedan perder datos, alterar saldos o compartir información con el destinatario incorrecto. Defectos visuales no críticos se registran con impacto explícito.</w:t>
      </w:r>
    </w:p>
    <w:p>
      <w:pPr>
        <w:pStyle w:val="Heading1"/>
      </w:pPr>
      <w:r>
        <w:t>7 Etapa intermedia</w:t>
      </w:r>
    </w:p>
    <w:p>
      <w:r>
        <w:t>Mejorar controles de revisión, observaciones y aprobación, detección de duplicados y catálogos según el uso real. Antes de conectar el ERP, revisar su código y contratos vigentes y el objetivo activo autorizado.</w:t>
      </w:r>
    </w:p>
    <w:p>
      <w:r>
        <w:t>Integración: catálogo y permisos por empresa, rendición versionada, envío con reintentos seguros, confirmación de recepción y estados de aceptación y liquidación. Los registros personales no se sincronizan por defecto.</w:t>
      </w:r>
    </w:p>
    <w:p>
      <w:r>
        <w:t>Aceptación: sin duplicados después de desconexión y reenvío; rechazo de empresa no autorizada; estado trazable de documentos y comprobantes; conciliación entre aprobación y pago; ninguna escritura directa a la base del ERP.</w:t>
      </w:r>
    </w:p>
    <w:p>
      <w:r>
        <w:t>La integración no exige esperar todo el ERP, pero sí un circuito receptor estable. Si falta, conservar exportación manual y no improvisar un puente contable.</w:t>
      </w:r>
    </w:p>
    <w:p>
      <w:r>
        <w:br w:type="page"/>
      </w:r>
    </w:p>
    <w:p>
      <w:pPr>
        <w:pStyle w:val="Heading1"/>
      </w:pPr>
      <w:r>
        <w:t>8 Etapa final de OCR</w:t>
      </w:r>
    </w:p>
    <w:p>
      <w:r>
        <w:t>Integrar lectura local que proponga fecha, proveedor, documento, importe y moneda. Separar texto reconocido de datos confirmados y conservar la foto. El registro manual debe seguir disponible.</w:t>
      </w:r>
    </w:p>
    <w:p>
      <w:r>
        <w:t>Comparar opciones compatibles con ambos sistemas y el equipo real. No asumir que disponer de Gemini o Galaxy AI permite integrar sus funciones. MCP no es requisito para leer imágenes ni mantener SQLite.</w:t>
      </w:r>
    </w:p>
    <w:p>
      <w:r>
        <w:t>Aceptación: conjunto de comprobantes con datos esperados verificados; medir coincidencia exacta por campo y documento completo, separando impresos, borrosos y manuscritos. No convertir estimaciones previas de fiabilidad en resultados de pruebas.</w:t>
      </w:r>
    </w:p>
    <w:p>
      <w:r>
        <w:t>Exigir confirmación antes de guardar los datos propuestos; permitir corregir y registrar la corrección. Campos ambiguos quedan pendientes y nunca producen un pago, asiento o rendición automáticamente.</w:t>
      </w:r>
    </w:p>
    <w:p>
      <w:pPr>
        <w:pStyle w:val="Heading1"/>
      </w:pPr>
      <w:r>
        <w:t>9 Evidencia y control de cambios</w:t>
      </w:r>
    </w:p>
    <w:p>
      <w:r>
        <w:t>Cada cierre incluye commit completo, alcance final, pruebas ejecutadas y omitidas, dispositivos y versiones, exportaciones de ejemplo, restauración, defectos y limitaciones. El objetivo es demostrar la capacidad, no contar commits o documentos.</w:t>
      </w:r>
    </w:p>
    <w:p>
      <w:r>
        <w:t>Una modificación de cálculos obliga a repetir los escenarios afectados; una modificación visual reversible no requiere rehacer toda la certificación financiera. Las correcciones ordinarias se agrupan dentro de la fase.</w:t>
      </w:r>
    </w:p>
    <w:p>
      <w:r>
        <w:t>Nuevos requisitos se clasifican por impacto. No incorporar automáticamente banca, sincronización, contabilidad general, inventario o préstamos personales ajenos a gestiones. El propietario decide cambios de alcance con costo y consecuencias visibles.</w:t>
      </w:r>
    </w:p>
    <w:p>
      <w:r>
        <w:t>Este documento y el plan 02 comparten la misma versión de alcance. Si divergen, resolver y actualizar ambos antes de delegar una fase; Codex no deberá escoger silenciosamente una interpretación.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Versión 1.0  •  Propietario Winston Gutiérrez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Gastos y rendiciones  |  Definición de la beta  |  27 de octubre de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