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9F390" w14:textId="77777777" w:rsidR="00FE50CD" w:rsidRDefault="00000000"/>
    <w:p w14:paraId="6FB18066" w14:textId="77777777" w:rsidR="00EE2C76" w:rsidRDefault="00462899">
      <w:r>
        <w:rPr>
          <w:noProof/>
          <w:lang w:val="it-IT" w:eastAsia="it-IT"/>
        </w:rPr>
        <w:drawing>
          <wp:inline distT="0" distB="0" distL="0" distR="0" wp14:anchorId="634840C0" wp14:editId="65E8F564">
            <wp:extent cx="1543144" cy="4439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8672" cy="445576"/>
                    </a:xfrm>
                    <a:prstGeom prst="rect">
                      <a:avLst/>
                    </a:prstGeom>
                  </pic:spPr>
                </pic:pic>
              </a:graphicData>
            </a:graphic>
          </wp:inline>
        </w:drawing>
      </w:r>
    </w:p>
    <w:p w14:paraId="1120D7E3" w14:textId="48210A43" w:rsidR="000558B9" w:rsidRDefault="005E70BA" w:rsidP="000558B9">
      <w:r w:rsidRPr="005E70BA">
        <w:rPr>
          <w:rFonts w:asciiTheme="majorHAnsi" w:eastAsiaTheme="majorEastAsia" w:hAnsiTheme="majorHAnsi" w:cstheme="majorBidi"/>
          <w:color w:val="2E74B5" w:themeColor="accent1" w:themeShade="BF"/>
          <w:sz w:val="32"/>
          <w:szCs w:val="32"/>
        </w:rPr>
        <w:t>The NAVIGATE inequality dataset at the income decile level for use in IAMs</w:t>
      </w:r>
    </w:p>
    <w:p w14:paraId="3406CC33" w14:textId="29CAE3E2" w:rsidR="000558B9" w:rsidRPr="000558B9" w:rsidRDefault="000558B9" w:rsidP="000558B9">
      <w:r w:rsidRPr="000558B9">
        <w:t>Author</w:t>
      </w:r>
      <w:r>
        <w:t>s</w:t>
      </w:r>
      <w:r w:rsidRPr="000558B9">
        <w:t>: Johannes Emmerling, data collection: Shouro Dasgupta, Simon Feindt, Daniele Malerba, Carolina Grottera</w:t>
      </w:r>
    </w:p>
    <w:p w14:paraId="7D6B9539" w14:textId="77777777" w:rsidR="00627DF8" w:rsidRPr="00627DF8" w:rsidRDefault="00627DF8" w:rsidP="00627DF8"/>
    <w:p w14:paraId="52E8748C" w14:textId="77777777" w:rsidR="00EE2C76" w:rsidRDefault="00EE2C76" w:rsidP="00EE2C76">
      <w:r>
        <w:t>A standardized input data template has been defined and data has been collected using household surveys from a number of developed and OECE countries.</w:t>
      </w:r>
    </w:p>
    <w:p w14:paraId="10ADD340" w14:textId="600C7B18" w:rsidR="00EE2C76" w:rsidRDefault="00EE2C76" w:rsidP="00EE2C76">
      <w:r>
        <w:t>Available countries</w:t>
      </w:r>
      <w:r w:rsidR="009C37FC">
        <w:t xml:space="preserve"> (for the latest year, between 2008 and 2017, available)</w:t>
      </w:r>
      <w:r>
        <w:t xml:space="preserve">: </w:t>
      </w:r>
    </w:p>
    <w:p w14:paraId="71F00F67" w14:textId="690C5834" w:rsidR="00627DF8" w:rsidRDefault="00EE2C76" w:rsidP="00EE2C76">
      <w:pPr>
        <w:pStyle w:val="ListParagraph"/>
        <w:numPr>
          <w:ilvl w:val="0"/>
          <w:numId w:val="2"/>
        </w:numPr>
      </w:pPr>
      <w:r>
        <w:t>India, Brazil, France</w:t>
      </w:r>
      <w:r w:rsidR="00627DF8">
        <w:t xml:space="preserve">, </w:t>
      </w:r>
      <w:r>
        <w:t>South Africa, United States</w:t>
      </w:r>
      <w:r w:rsidR="00627DF8">
        <w:t xml:space="preserve"> of America</w:t>
      </w:r>
      <w:r>
        <w:t xml:space="preserve">, </w:t>
      </w:r>
      <w:r w:rsidR="00627DF8">
        <w:t>China, Mexico</w:t>
      </w:r>
    </w:p>
    <w:p w14:paraId="19E430BD" w14:textId="33F008A3" w:rsidR="00EE2C76" w:rsidRDefault="00627DF8" w:rsidP="00EE2C76">
      <w:pPr>
        <w:pStyle w:val="ListParagraph"/>
        <w:numPr>
          <w:ilvl w:val="0"/>
          <w:numId w:val="2"/>
        </w:numPr>
      </w:pPr>
      <w:r>
        <w:t>26 EU member states based on a common survey</w:t>
      </w:r>
    </w:p>
    <w:p w14:paraId="65892AC5" w14:textId="4EDA814E" w:rsidR="00627DF8" w:rsidRDefault="00EE2C76" w:rsidP="00627DF8">
      <w:r>
        <w:t>The data is all structured around income deciles</w:t>
      </w:r>
      <w:r w:rsidR="00627DF8">
        <w:t xml:space="preserve">. </w:t>
      </w:r>
      <w:r w:rsidR="00627DF8" w:rsidRPr="00323AA6">
        <w:t>Units of observations for the deciles</w:t>
      </w:r>
      <w:r w:rsidR="00627DF8">
        <w:t xml:space="preserve"> are households.</w:t>
      </w:r>
      <w:r w:rsidR="00627DF8" w:rsidRPr="00323AA6">
        <w:t xml:space="preserve"> </w:t>
      </w:r>
      <w:r w:rsidR="00627DF8">
        <w:t xml:space="preserve">The </w:t>
      </w:r>
      <w:r w:rsidR="00627DF8" w:rsidRPr="00323AA6">
        <w:t xml:space="preserve"> OECD modified equivalence scale </w:t>
      </w:r>
      <w:r w:rsidR="00627DF8">
        <w:t xml:space="preserve">has been applied </w:t>
      </w:r>
      <w:r w:rsidR="00627DF8" w:rsidRPr="00323AA6">
        <w:t>to compute household income per person. (1 plus 0.5 per adult (older than 14 years) and 0.3 per child (14 or less years))</w:t>
      </w:r>
      <w:r w:rsidR="00627DF8">
        <w:t>.</w:t>
      </w:r>
      <w:r w:rsidR="00146556">
        <w:t xml:space="preserve"> Note this definition differs slightly from the OECD’s original definition where adults are 14 years and older. This has been chosen due to the fact that many demographic projections report populations by age cohorts of five years, so we consider 15+ years old as adults.</w:t>
      </w:r>
    </w:p>
    <w:p w14:paraId="0341CFE3" w14:textId="13DA7D27" w:rsidR="00627DF8" w:rsidRDefault="00627DF8" w:rsidP="00EE2C76">
      <w:r>
        <w:t>Available variables (all for deciles D1 to D10):</w:t>
      </w:r>
    </w:p>
    <w:p w14:paraId="416C7AB0" w14:textId="67B06AC4" w:rsidR="00627DF8" w:rsidRDefault="00627DF8" w:rsidP="00627DF8">
      <w:pPr>
        <w:pStyle w:val="ListParagraph"/>
        <w:numPr>
          <w:ilvl w:val="0"/>
          <w:numId w:val="11"/>
        </w:numPr>
      </w:pPr>
      <w:r>
        <w:t>Income share</w:t>
      </w:r>
    </w:p>
    <w:p w14:paraId="5AF9FCDC" w14:textId="018582C7" w:rsidR="00627DF8" w:rsidRDefault="00627DF8" w:rsidP="00627DF8">
      <w:pPr>
        <w:pStyle w:val="ListParagraph"/>
        <w:numPr>
          <w:ilvl w:val="0"/>
          <w:numId w:val="11"/>
        </w:numPr>
      </w:pPr>
      <w:r>
        <w:t>Expenditure share</w:t>
      </w:r>
    </w:p>
    <w:p w14:paraId="3F6BCD7D" w14:textId="17D0B75E" w:rsidR="00627DF8" w:rsidRDefault="00627DF8" w:rsidP="00627DF8">
      <w:pPr>
        <w:pStyle w:val="ListParagraph"/>
        <w:numPr>
          <w:ilvl w:val="0"/>
          <w:numId w:val="11"/>
        </w:numPr>
      </w:pPr>
      <w:r>
        <w:t>Expenditure share in</w:t>
      </w:r>
    </w:p>
    <w:p w14:paraId="77F89DF5" w14:textId="5413950D" w:rsidR="00627DF8" w:rsidRDefault="009C37FC" w:rsidP="00627DF8">
      <w:pPr>
        <w:pStyle w:val="ListParagraph"/>
        <w:numPr>
          <w:ilvl w:val="1"/>
          <w:numId w:val="11"/>
        </w:numPr>
      </w:pPr>
      <w:r>
        <w:t xml:space="preserve">Energy for </w:t>
      </w:r>
      <w:r w:rsidR="00627DF8">
        <w:t>Transportation</w:t>
      </w:r>
    </w:p>
    <w:p w14:paraId="1D5F97A2" w14:textId="38B496DA" w:rsidR="00627DF8" w:rsidRDefault="009C37FC" w:rsidP="00627DF8">
      <w:pPr>
        <w:pStyle w:val="ListParagraph"/>
        <w:numPr>
          <w:ilvl w:val="1"/>
          <w:numId w:val="11"/>
        </w:numPr>
      </w:pPr>
      <w:r>
        <w:t>Energy for Housing</w:t>
      </w:r>
    </w:p>
    <w:p w14:paraId="166AEE39" w14:textId="2CCF23D7" w:rsidR="00627DF8" w:rsidRDefault="00627DF8" w:rsidP="00627DF8">
      <w:pPr>
        <w:pStyle w:val="ListParagraph"/>
        <w:numPr>
          <w:ilvl w:val="1"/>
          <w:numId w:val="11"/>
        </w:numPr>
      </w:pPr>
      <w:r>
        <w:t>Food</w:t>
      </w:r>
    </w:p>
    <w:p w14:paraId="7BF368E8" w14:textId="0AF5497D" w:rsidR="00627DF8" w:rsidRDefault="009C37FC" w:rsidP="00627DF8">
      <w:pPr>
        <w:pStyle w:val="ListParagraph"/>
        <w:numPr>
          <w:ilvl w:val="0"/>
          <w:numId w:val="11"/>
        </w:numPr>
      </w:pPr>
      <w:r>
        <w:t>E</w:t>
      </w:r>
      <w:r w:rsidR="00627DF8">
        <w:t>ducation of the household head</w:t>
      </w:r>
    </w:p>
    <w:p w14:paraId="07D1D525" w14:textId="383A66F2" w:rsidR="00627DF8" w:rsidRDefault="00627DF8" w:rsidP="00627DF8">
      <w:pPr>
        <w:pStyle w:val="ListParagraph"/>
        <w:numPr>
          <w:ilvl w:val="0"/>
          <w:numId w:val="11"/>
        </w:numPr>
      </w:pPr>
      <w:r>
        <w:t>Average savings rate</w:t>
      </w:r>
    </w:p>
    <w:p w14:paraId="7F10FC93" w14:textId="36BE6E4C" w:rsidR="009C37FC" w:rsidRDefault="009C37FC" w:rsidP="00627DF8">
      <w:pPr>
        <w:pStyle w:val="ListParagraph"/>
        <w:numPr>
          <w:ilvl w:val="0"/>
          <w:numId w:val="11"/>
        </w:numPr>
      </w:pPr>
      <w:r>
        <w:t>Household size</w:t>
      </w:r>
    </w:p>
    <w:p w14:paraId="7B779C91" w14:textId="0D09CF35" w:rsidR="009C37FC" w:rsidRDefault="009C37FC" w:rsidP="00627DF8">
      <w:pPr>
        <w:pStyle w:val="ListParagraph"/>
        <w:numPr>
          <w:ilvl w:val="0"/>
          <w:numId w:val="11"/>
        </w:numPr>
      </w:pPr>
      <w:r>
        <w:t>Income by ty</w:t>
      </w:r>
      <w:r w:rsidR="00052722">
        <w:t>pe (labour, capital, transfers</w:t>
      </w:r>
      <w:r>
        <w:t>, other)</w:t>
      </w:r>
    </w:p>
    <w:p w14:paraId="338C1C52" w14:textId="022C1BB3" w:rsidR="00627DF8" w:rsidRDefault="00627DF8" w:rsidP="00627DF8">
      <w:pPr>
        <w:pStyle w:val="ListParagraph"/>
        <w:numPr>
          <w:ilvl w:val="0"/>
          <w:numId w:val="11"/>
        </w:numPr>
      </w:pPr>
      <w:r>
        <w:t>Wealth share (where available)</w:t>
      </w:r>
    </w:p>
    <w:p w14:paraId="4C5ED628" w14:textId="77777777" w:rsidR="00052722" w:rsidRDefault="00052722" w:rsidP="00052722"/>
    <w:p w14:paraId="0463C855" w14:textId="77777777" w:rsidR="00052722" w:rsidRDefault="00052722" w:rsidP="00052722"/>
    <w:p w14:paraId="0D1DE213" w14:textId="77777777" w:rsidR="00052722" w:rsidRDefault="00052722">
      <w:r>
        <w:br w:type="page"/>
      </w:r>
    </w:p>
    <w:p w14:paraId="3BDCAF04" w14:textId="77777777" w:rsidR="00052722" w:rsidRDefault="00052722" w:rsidP="00052722">
      <w:r>
        <w:lastRenderedPageBreak/>
        <w:t>This shows the availability of countries and variables in the dataset:</w:t>
      </w:r>
    </w:p>
    <w:p w14:paraId="6A0439C1" w14:textId="77777777" w:rsidR="00052722" w:rsidRDefault="00052722" w:rsidP="00052722">
      <w:pPr>
        <w:jc w:val="center"/>
      </w:pPr>
      <w:r>
        <w:rPr>
          <w:noProof/>
          <w:lang w:val="it-IT" w:eastAsia="it-IT"/>
        </w:rPr>
        <w:drawing>
          <wp:inline distT="0" distB="0" distL="0" distR="0" wp14:anchorId="0E4D670E" wp14:editId="082A8DDD">
            <wp:extent cx="5494351" cy="4395481"/>
            <wp:effectExtent l="0" t="0" r="0" b="5080"/>
            <wp:docPr id="2" name="Immagine 2" descr="C:\Users\Simona\Desktop\Johannes\inequality decile data\Countries and 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a\Desktop\Johannes\inequality decile data\Countries and Variabl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6595" cy="4397276"/>
                    </a:xfrm>
                    <a:prstGeom prst="rect">
                      <a:avLst/>
                    </a:prstGeom>
                    <a:noFill/>
                    <a:ln>
                      <a:noFill/>
                    </a:ln>
                  </pic:spPr>
                </pic:pic>
              </a:graphicData>
            </a:graphic>
          </wp:inline>
        </w:drawing>
      </w:r>
    </w:p>
    <w:p w14:paraId="33CF3320" w14:textId="63911F24" w:rsidR="00052722" w:rsidRDefault="00052722" w:rsidP="00052722">
      <w:r>
        <w:t>The energy expenditure shares for housing and transportation are key variables for IAMs, and here the expenditure shares across countries, which show a strong regressive pattern for residential energy consumption while for transportation it appears in most countries to be progressive.</w:t>
      </w:r>
    </w:p>
    <w:p w14:paraId="51F6899F" w14:textId="0F7EBD97" w:rsidR="00E355A9" w:rsidRDefault="00052722" w:rsidP="00052722">
      <w:pPr>
        <w:jc w:val="center"/>
      </w:pPr>
      <w:r>
        <w:rPr>
          <w:noProof/>
          <w:lang w:val="it-IT" w:eastAsia="it-IT"/>
        </w:rPr>
        <w:drawing>
          <wp:inline distT="0" distB="0" distL="0" distR="0" wp14:anchorId="4A774FD7" wp14:editId="321D944E">
            <wp:extent cx="4961614" cy="3969291"/>
            <wp:effectExtent l="0" t="0" r="0" b="0"/>
            <wp:docPr id="1" name="Immagine 1" descr="C:\Users\Simona\Desktop\Johannes\inequality decile data\Energy Expenditure 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Desktop\Johannes\inequality decile data\Energy Expenditure Shar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5217" cy="3972174"/>
                    </a:xfrm>
                    <a:prstGeom prst="rect">
                      <a:avLst/>
                    </a:prstGeom>
                    <a:noFill/>
                    <a:ln>
                      <a:noFill/>
                    </a:ln>
                  </pic:spPr>
                </pic:pic>
              </a:graphicData>
            </a:graphic>
          </wp:inline>
        </w:drawing>
      </w:r>
    </w:p>
    <w:p w14:paraId="0C3C1071" w14:textId="77777777" w:rsidR="00E355A9" w:rsidRDefault="00E355A9">
      <w:r>
        <w:lastRenderedPageBreak/>
        <w:br w:type="page"/>
      </w:r>
    </w:p>
    <w:p w14:paraId="5A1C6C97" w14:textId="0C538A45" w:rsidR="00052722" w:rsidRDefault="00E355A9" w:rsidP="00E355A9">
      <w:r w:rsidRPr="00E355A9">
        <w:rPr>
          <w:b/>
          <w:bCs/>
        </w:rPr>
        <w:lastRenderedPageBreak/>
        <w:t>Sources</w:t>
      </w:r>
      <w:r>
        <w:t xml:space="preserve">: </w:t>
      </w:r>
    </w:p>
    <w:p w14:paraId="1C4EC920" w14:textId="19F1F22A" w:rsidR="00E355A9" w:rsidRDefault="00E355A9" w:rsidP="00E355A9">
      <w:r>
        <w:t>Mexico: 2018 wave, National Survey of Household Income and Expenditure (ENIGH). The National Institute of Statistics, Geography and Informatics (INEGI). Retrieved from https://en.www.inegi.org.mx/programas/enigh/nc/2018/</w:t>
      </w:r>
    </w:p>
    <w:p w14:paraId="683B4070" w14:textId="71E4020E" w:rsidR="00E355A9" w:rsidRDefault="00E355A9" w:rsidP="00E355A9">
      <w:r>
        <w:t>Russia: 2019 wave, Russia Longitudinal Monitoring Survey (RLMS-HSE). Higher School of Economics and ZAO “Demoscope” together with Carolina Population Center, University of North Carolina at Chapel Hill and the Institute of Sociology RAS. Retrieved from https://rlms-hse.cpc.unc.edu</w:t>
      </w:r>
    </w:p>
    <w:p w14:paraId="7BEC2F89" w14:textId="5DE23DB1" w:rsidR="00E355A9" w:rsidRDefault="00E355A9" w:rsidP="00E355A9">
      <w:r>
        <w:t>India: 2012 wave, National Sample Survey 2011-2012 (68th round) -  Consumer Expenditure. Ministry of Statistics &amp; Programme Implementation, Government of India. Retrieved from http://microdata.gov.in/nada43/index.php/catalog/1</w:t>
      </w:r>
    </w:p>
    <w:sectPr w:rsidR="00E355A9" w:rsidSect="00052722">
      <w:pgSz w:w="11906" w:h="16838"/>
      <w:pgMar w:top="1417" w:right="1134"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84459"/>
    <w:multiLevelType w:val="hybridMultilevel"/>
    <w:tmpl w:val="795C3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A33D0"/>
    <w:multiLevelType w:val="hybridMultilevel"/>
    <w:tmpl w:val="1C5C4F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7B01FC"/>
    <w:multiLevelType w:val="hybridMultilevel"/>
    <w:tmpl w:val="A4A03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B409E8"/>
    <w:multiLevelType w:val="hybridMultilevel"/>
    <w:tmpl w:val="62001D3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BD5336"/>
    <w:multiLevelType w:val="hybridMultilevel"/>
    <w:tmpl w:val="246CD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435647"/>
    <w:multiLevelType w:val="hybridMultilevel"/>
    <w:tmpl w:val="74E4CA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1654E40"/>
    <w:multiLevelType w:val="hybridMultilevel"/>
    <w:tmpl w:val="6910136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59E02C3E"/>
    <w:multiLevelType w:val="hybridMultilevel"/>
    <w:tmpl w:val="E4228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EB2E14"/>
    <w:multiLevelType w:val="hybridMultilevel"/>
    <w:tmpl w:val="6CAA2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9A67F9"/>
    <w:multiLevelType w:val="hybridMultilevel"/>
    <w:tmpl w:val="036CC2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AA43E7"/>
    <w:multiLevelType w:val="hybridMultilevel"/>
    <w:tmpl w:val="54F6C1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5626516">
    <w:abstractNumId w:val="8"/>
  </w:num>
  <w:num w:numId="2" w16cid:durableId="745497556">
    <w:abstractNumId w:val="5"/>
  </w:num>
  <w:num w:numId="3" w16cid:durableId="914630807">
    <w:abstractNumId w:val="7"/>
  </w:num>
  <w:num w:numId="4" w16cid:durableId="385221840">
    <w:abstractNumId w:val="4"/>
  </w:num>
  <w:num w:numId="5" w16cid:durableId="475076456">
    <w:abstractNumId w:val="9"/>
  </w:num>
  <w:num w:numId="6" w16cid:durableId="1022590159">
    <w:abstractNumId w:val="3"/>
  </w:num>
  <w:num w:numId="7" w16cid:durableId="1161233973">
    <w:abstractNumId w:val="1"/>
  </w:num>
  <w:num w:numId="8" w16cid:durableId="228733197">
    <w:abstractNumId w:val="2"/>
  </w:num>
  <w:num w:numId="9" w16cid:durableId="272135472">
    <w:abstractNumId w:val="6"/>
  </w:num>
  <w:num w:numId="10" w16cid:durableId="396973393">
    <w:abstractNumId w:val="0"/>
  </w:num>
  <w:num w:numId="11" w16cid:durableId="14792963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zMjIzNTcH0hbGBko6SsGpxcWZ+XkgBYaGtQCjZIoLLQAAAA=="/>
  </w:docVars>
  <w:rsids>
    <w:rsidRoot w:val="00EE2C76"/>
    <w:rsid w:val="00050EDD"/>
    <w:rsid w:val="00052722"/>
    <w:rsid w:val="000558B9"/>
    <w:rsid w:val="000610C3"/>
    <w:rsid w:val="000E40FF"/>
    <w:rsid w:val="001168CE"/>
    <w:rsid w:val="00146556"/>
    <w:rsid w:val="00197B2B"/>
    <w:rsid w:val="001B02CC"/>
    <w:rsid w:val="001C43F3"/>
    <w:rsid w:val="00216D5E"/>
    <w:rsid w:val="0022457C"/>
    <w:rsid w:val="002628CA"/>
    <w:rsid w:val="002A1EA0"/>
    <w:rsid w:val="002F1FD5"/>
    <w:rsid w:val="00323AA6"/>
    <w:rsid w:val="00350913"/>
    <w:rsid w:val="00414673"/>
    <w:rsid w:val="00462899"/>
    <w:rsid w:val="00504E0B"/>
    <w:rsid w:val="005E55D1"/>
    <w:rsid w:val="005E70BA"/>
    <w:rsid w:val="00627DF8"/>
    <w:rsid w:val="007F1338"/>
    <w:rsid w:val="00810CB1"/>
    <w:rsid w:val="008817E1"/>
    <w:rsid w:val="00934650"/>
    <w:rsid w:val="009C37FC"/>
    <w:rsid w:val="009E68F4"/>
    <w:rsid w:val="009F5804"/>
    <w:rsid w:val="00A0186E"/>
    <w:rsid w:val="00A37A76"/>
    <w:rsid w:val="00B56122"/>
    <w:rsid w:val="00B90C94"/>
    <w:rsid w:val="00B90EAB"/>
    <w:rsid w:val="00BF55DA"/>
    <w:rsid w:val="00C07958"/>
    <w:rsid w:val="00C715E7"/>
    <w:rsid w:val="00CF7761"/>
    <w:rsid w:val="00D10ADF"/>
    <w:rsid w:val="00E355A9"/>
    <w:rsid w:val="00EB78EE"/>
    <w:rsid w:val="00EE2C76"/>
    <w:rsid w:val="00F67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E592"/>
  <w15:docId w15:val="{FC2E43AF-9E75-44D2-AEDA-5B9679D3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C7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2C76"/>
    <w:pPr>
      <w:ind w:left="720"/>
      <w:contextualSpacing/>
    </w:pPr>
  </w:style>
  <w:style w:type="character" w:styleId="Hyperlink">
    <w:name w:val="Hyperlink"/>
    <w:basedOn w:val="DefaultParagraphFont"/>
    <w:uiPriority w:val="99"/>
    <w:unhideWhenUsed/>
    <w:rsid w:val="00EE2C76"/>
    <w:rPr>
      <w:color w:val="0563C1" w:themeColor="hyperlink"/>
      <w:u w:val="single"/>
    </w:rPr>
  </w:style>
  <w:style w:type="paragraph" w:styleId="NormalWeb">
    <w:name w:val="Normal (Web)"/>
    <w:basedOn w:val="Normal"/>
    <w:uiPriority w:val="99"/>
    <w:semiHidden/>
    <w:unhideWhenUsed/>
    <w:rsid w:val="002A1E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715E7"/>
    <w:rPr>
      <w:color w:val="954F72" w:themeColor="followedHyperlink"/>
      <w:u w:val="single"/>
    </w:rPr>
  </w:style>
  <w:style w:type="paragraph" w:styleId="BalloonText">
    <w:name w:val="Balloon Text"/>
    <w:basedOn w:val="Normal"/>
    <w:link w:val="BalloonTextChar"/>
    <w:uiPriority w:val="99"/>
    <w:semiHidden/>
    <w:unhideWhenUsed/>
    <w:rsid w:val="00627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D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0042">
      <w:bodyDiv w:val="1"/>
      <w:marLeft w:val="0"/>
      <w:marRight w:val="0"/>
      <w:marTop w:val="0"/>
      <w:marBottom w:val="0"/>
      <w:divBdr>
        <w:top w:val="none" w:sz="0" w:space="0" w:color="auto"/>
        <w:left w:val="none" w:sz="0" w:space="0" w:color="auto"/>
        <w:bottom w:val="none" w:sz="0" w:space="0" w:color="auto"/>
        <w:right w:val="none" w:sz="0" w:space="0" w:color="auto"/>
      </w:divBdr>
      <w:divsChild>
        <w:div w:id="1272737346">
          <w:marLeft w:val="547"/>
          <w:marRight w:val="0"/>
          <w:marTop w:val="134"/>
          <w:marBottom w:val="0"/>
          <w:divBdr>
            <w:top w:val="none" w:sz="0" w:space="0" w:color="auto"/>
            <w:left w:val="none" w:sz="0" w:space="0" w:color="auto"/>
            <w:bottom w:val="none" w:sz="0" w:space="0" w:color="auto"/>
            <w:right w:val="none" w:sz="0" w:space="0" w:color="auto"/>
          </w:divBdr>
        </w:div>
      </w:divsChild>
    </w:div>
    <w:div w:id="346492586">
      <w:bodyDiv w:val="1"/>
      <w:marLeft w:val="0"/>
      <w:marRight w:val="0"/>
      <w:marTop w:val="0"/>
      <w:marBottom w:val="0"/>
      <w:divBdr>
        <w:top w:val="none" w:sz="0" w:space="0" w:color="auto"/>
        <w:left w:val="none" w:sz="0" w:space="0" w:color="auto"/>
        <w:bottom w:val="none" w:sz="0" w:space="0" w:color="auto"/>
        <w:right w:val="none" w:sz="0" w:space="0" w:color="auto"/>
      </w:divBdr>
    </w:div>
    <w:div w:id="1027635103">
      <w:bodyDiv w:val="1"/>
      <w:marLeft w:val="0"/>
      <w:marRight w:val="0"/>
      <w:marTop w:val="0"/>
      <w:marBottom w:val="0"/>
      <w:divBdr>
        <w:top w:val="none" w:sz="0" w:space="0" w:color="auto"/>
        <w:left w:val="none" w:sz="0" w:space="0" w:color="auto"/>
        <w:bottom w:val="none" w:sz="0" w:space="0" w:color="auto"/>
        <w:right w:val="none" w:sz="0" w:space="0" w:color="auto"/>
      </w:divBdr>
    </w:div>
    <w:div w:id="1231622951">
      <w:bodyDiv w:val="1"/>
      <w:marLeft w:val="0"/>
      <w:marRight w:val="0"/>
      <w:marTop w:val="0"/>
      <w:marBottom w:val="0"/>
      <w:divBdr>
        <w:top w:val="none" w:sz="0" w:space="0" w:color="auto"/>
        <w:left w:val="none" w:sz="0" w:space="0" w:color="auto"/>
        <w:bottom w:val="none" w:sz="0" w:space="0" w:color="auto"/>
        <w:right w:val="none" w:sz="0" w:space="0" w:color="auto"/>
      </w:divBdr>
      <w:divsChild>
        <w:div w:id="1132745979">
          <w:marLeft w:val="360"/>
          <w:marRight w:val="0"/>
          <w:marTop w:val="200"/>
          <w:marBottom w:val="0"/>
          <w:divBdr>
            <w:top w:val="none" w:sz="0" w:space="0" w:color="auto"/>
            <w:left w:val="none" w:sz="0" w:space="0" w:color="auto"/>
            <w:bottom w:val="none" w:sz="0" w:space="0" w:color="auto"/>
            <w:right w:val="none" w:sz="0" w:space="0" w:color="auto"/>
          </w:divBdr>
        </w:div>
        <w:div w:id="1480657004">
          <w:marLeft w:val="360"/>
          <w:marRight w:val="0"/>
          <w:marTop w:val="200"/>
          <w:marBottom w:val="0"/>
          <w:divBdr>
            <w:top w:val="none" w:sz="0" w:space="0" w:color="auto"/>
            <w:left w:val="none" w:sz="0" w:space="0" w:color="auto"/>
            <w:bottom w:val="none" w:sz="0" w:space="0" w:color="auto"/>
            <w:right w:val="none" w:sz="0" w:space="0" w:color="auto"/>
          </w:divBdr>
        </w:div>
        <w:div w:id="1695962260">
          <w:marLeft w:val="360"/>
          <w:marRight w:val="0"/>
          <w:marTop w:val="200"/>
          <w:marBottom w:val="0"/>
          <w:divBdr>
            <w:top w:val="none" w:sz="0" w:space="0" w:color="auto"/>
            <w:left w:val="none" w:sz="0" w:space="0" w:color="auto"/>
            <w:bottom w:val="none" w:sz="0" w:space="0" w:color="auto"/>
            <w:right w:val="none" w:sz="0" w:space="0" w:color="auto"/>
          </w:divBdr>
        </w:div>
        <w:div w:id="58812722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F1D0A-6074-46E5-9BA3-EAF43CA6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373</Words>
  <Characters>2129</Characters>
  <Application>Microsoft Office Word</Application>
  <DocSecurity>0</DocSecurity>
  <Lines>17</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Emmerling</dc:creator>
  <cp:keywords/>
  <dc:description/>
  <cp:lastModifiedBy>Johannes Emmerling</cp:lastModifiedBy>
  <cp:revision>17</cp:revision>
  <dcterms:created xsi:type="dcterms:W3CDTF">2022-05-04T10:08:00Z</dcterms:created>
  <dcterms:modified xsi:type="dcterms:W3CDTF">2022-10-05T08:06:00Z</dcterms:modified>
</cp:coreProperties>
</file>