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7C3AED"/>
          <w:sz w:val="64"/>
          <w:szCs w:val="64"/>
        </w:rPr>
        <w:t xml:space="preserve">PRISM</w:t>
      </w:r>
    </w:p>
    <w:p>
      <w:pPr>
        <w:spacing w:after="200"/>
        <w:jc w:val="center"/>
      </w:pPr>
      <w:r>
        <w:rPr>
          <w:rFonts w:ascii="Arial" w:cs="Arial" w:eastAsia="Arial" w:hAnsi="Arial"/>
          <w:color w:val="1F2937"/>
          <w:sz w:val="36"/>
          <w:szCs w:val="36"/>
        </w:rPr>
        <w:t xml:space="preserve">Stellar Block Explorer</w:t>
      </w:r>
    </w:p>
    <w:p>
      <w:pPr>
        <w:spacing w:after="600"/>
        <w:jc w:val="center"/>
      </w:pPr>
      <w:r>
        <w:rPr>
          <w:rFonts w:ascii="Arial" w:cs="Arial" w:eastAsia="Arial" w:hAnsi="Arial"/>
          <w:color w:val="4B5563"/>
          <w:sz w:val="28"/>
          <w:szCs w:val="28"/>
        </w:rPr>
        <w:t xml:space="preserve">Technical Architecture Document</w:t>
      </w:r>
    </w:p>
    <w:p>
      <w:pPr>
        <w:spacing w:after="100"/>
        <w:jc w:val="center"/>
      </w:pPr>
      <w:r>
        <w:rPr>
          <w:rFonts w:ascii="Arial" w:cs="Arial" w:eastAsia="Arial" w:hAnsi="Arial"/>
          <w:color w:val="9CA3AF"/>
          <w:sz w:val="22"/>
          <w:szCs w:val="22"/>
        </w:rPr>
        <w:t xml:space="preserve">Prepared by Obsrvr  •  March 2026</w:t>
      </w:r>
    </w:p>
    <w:p>
      <w:pPr>
        <w:spacing w:after="100"/>
        <w:jc w:val="center"/>
      </w:pPr>
      <w:r>
        <w:rPr>
          <w:rFonts w:ascii="Arial" w:cs="Arial" w:eastAsia="Arial" w:hAnsi="Arial"/>
          <w:color w:val="9CA3AF"/>
          <w:sz w:val="20"/>
          <w:szCs w:val="20"/>
        </w:rPr>
        <w:t xml:space="preserve">RFP Response: Stellar Development Foundation Block Explorer</w:t>
      </w:r>
    </w:p>
    <w:p>
      <w:pPr>
        <w:spacing w:after="100"/>
        <w:jc w:val="center"/>
      </w:pPr>
      <w:r>
        <w:rPr>
          <w:rFonts w:ascii="Arial" w:cs="Arial" w:eastAsia="Arial" w:hAnsi="Arial"/>
          <w:color w:val="9CA3AF"/>
          <w:sz w:val="20"/>
          <w:szCs w:val="20"/>
        </w:rPr>
        <w:t xml:space="preserve">Version 1.0  •  Confidential</w:t>
      </w:r>
    </w:p>
    <w:p>
      <w:r>
        <w:br w:type="page"/>
      </w:r>
    </w:p>
    <w:p>
      <w:pPr>
        <w:pStyle w:val="Heading1"/>
        <w:spacing w:before="360" w:after="200"/>
      </w:pPr>
      <w:r>
        <w:rPr>
          <w:rFonts w:ascii="Arial" w:cs="Arial" w:eastAsia="Arial" w:hAnsi="Arial"/>
          <w:b/>
          <w:bCs/>
          <w:color w:val="1F2937"/>
          <w:sz w:val="32"/>
          <w:szCs w:val="32"/>
        </w:rPr>
        <w:t xml:space="preserve">1. Executive Summary</w:t>
      </w:r>
    </w:p>
    <w:p>
      <w:pPr>
        <w:spacing w:after="120" w:line="276"/>
      </w:pPr>
      <w:r>
        <w:rPr>
          <w:rFonts w:ascii="Arial" w:cs="Arial" w:eastAsia="Arial" w:hAnsi="Arial"/>
          <w:color w:val="4B5563"/>
          <w:sz w:val="20"/>
          <w:szCs w:val="20"/>
        </w:rPr>
        <w:t xml:space="preserve">Prism is a next-generation block explorer purpose-built for the Stellar network, designed to surface the full depth of both Classic and Soroban operations through a human-readable, developer-friendly interface. Unlike existing explorers that treat Soroban as an afterthought, Prism is architected from the ground up to decode smart contract invocations, visualize call graphs, stream CAP-67 events in real time, and present unified views across Classic trustlines, SEP-41 tokens, and native assets.</w:t>
      </w:r>
    </w:p>
    <w:p>
      <w:pPr>
        <w:spacing w:after="120" w:line="276"/>
      </w:pPr>
      <w:r>
        <w:rPr>
          <w:rFonts w:ascii="Arial" w:cs="Arial" w:eastAsia="Arial" w:hAnsi="Arial"/>
          <w:color w:val="4B5563"/>
          <w:sz w:val="20"/>
          <w:szCs w:val="20"/>
        </w:rPr>
        <w:t xml:space="preserve">Prism is powered by Obsrvr’s production-grade data infrastructure: a two-layer lakehouse (Bronze raw + Silver analytics-ready) with hot/cold transparent merging, sub-100ms index plane lookups, and a streaming pipeline that achieves &gt;95% function name extraction rate on Soroban contract invocations. This document details the architecture that makes each Prism page possible.</w:t>
      </w:r>
    </w:p>
    <w:p>
      <w:r>
        <w:br w:type="page"/>
      </w:r>
    </w:p>
    <w:p>
      <w:pPr>
        <w:pStyle w:val="Heading1"/>
        <w:spacing w:before="360" w:after="200"/>
      </w:pPr>
      <w:r>
        <w:rPr>
          <w:rFonts w:ascii="Arial" w:cs="Arial" w:eastAsia="Arial" w:hAnsi="Arial"/>
          <w:b/>
          <w:bCs/>
          <w:color w:val="1F2937"/>
          <w:sz w:val="32"/>
          <w:szCs w:val="32"/>
        </w:rPr>
        <w:t xml:space="preserve">2. System Architecture Overview</w:t>
      </w:r>
    </w:p>
    <w:p>
      <w:pPr>
        <w:spacing w:after="120" w:line="276"/>
      </w:pPr>
      <w:r>
        <w:rPr>
          <w:rFonts w:ascii="Arial" w:cs="Arial" w:eastAsia="Arial" w:hAnsi="Arial"/>
          <w:color w:val="4B5563"/>
          <w:sz w:val="20"/>
          <w:szCs w:val="20"/>
        </w:rPr>
        <w:t xml:space="preserve">The Prism stack consists of four layers, each purpose-built for its role in transforming raw blockchain data into the human-readable explorer experience shown in the UI mockups.</w:t>
      </w:r>
    </w:p>
    <w:p>
      <w:pPr>
        <w:pStyle w:val="Heading2"/>
        <w:spacing w:before="280" w:after="160"/>
      </w:pPr>
      <w:r>
        <w:rPr>
          <w:rFonts w:ascii="Arial" w:cs="Arial" w:eastAsia="Arial" w:hAnsi="Arial"/>
          <w:b/>
          <w:bCs/>
          <w:color w:val="7C3AED"/>
          <w:sz w:val="26"/>
          <w:szCs w:val="26"/>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Layer</w:t>
            </w:r>
          </w:p>
        </w:tc>
        <w:tc>
          <w:tcPr>
            <w:tcW w:type="dxa" w:w="2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Technology</w:t>
            </w:r>
          </w:p>
        </w:tc>
        <w:tc>
          <w:tcPr>
            <w:tcW w:type="dxa" w:w="47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Purpose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Ingestion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Captive Core, Stellar RPC, Data Lake Sources (GCS/S3/FS)</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Real-time streaming and historical backfill of all Stellar ledger data</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Processing</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cdp-pipeline-workflow (Go), flowctl orchestrator, YAML-configured processors</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Transform raw XDR into Bronze tables; enrich into Silver analytics tables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Storage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PostgreSQL (hot, 7-day), DuckLake/Parquet (cold, full history)</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Dual-tier lakehouse with transparent query merging and cursor pagination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Serving</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REST API + Index Plane + WebSocket streams</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Sub-100ms lookups, explorer endpoints, real-time event push</w:t>
            </w:r>
          </w:p>
        </w:tc>
      </w:tr>
    </w:tbl>
    <w:p>
      <w:pPr>
        <w:spacing w:after="120" w:line="276"/>
      </w:pPr>
      <w:r>
        <w:rPr>
          <w:rFonts w:ascii="Arial" w:cs="Arial" w:eastAsia="Arial" w:hAnsi="Arial"/>
          <w:color w:val="4B5563"/>
          <w:sz w:val="20"/>
          <w:szCs w:val="20"/>
        </w:rPr>
        <w:t xml:space="preserve"/>
      </w:r>
    </w:p>
    <w:p>
      <w:pPr>
        <w:pStyle w:val="Heading2"/>
        <w:spacing w:before="280" w:after="160"/>
      </w:pPr>
      <w:r>
        <w:rPr>
          <w:rFonts w:ascii="Arial" w:cs="Arial" w:eastAsia="Arial" w:hAnsi="Arial"/>
          <w:b/>
          <w:bCs/>
          <w:color w:val="7C3AED"/>
          <w:sz w:val="26"/>
          <w:szCs w:val="26"/>
        </w:rPr>
        <w:t xml:space="preserve">2.2 Data Flow</w:t>
      </w:r>
    </w:p>
    <w:p>
      <w:pPr>
        <w:spacing w:after="120" w:line="276"/>
      </w:pPr>
      <w:r>
        <w:rPr>
          <w:rFonts w:ascii="Arial" w:cs="Arial" w:eastAsia="Arial" w:hAnsi="Arial"/>
          <w:color w:val="4B5563"/>
          <w:sz w:val="20"/>
          <w:szCs w:val="20"/>
        </w:rPr>
        <w:t xml:space="preserve">Data flows from Stellar Core through the pipeline in a continuous stream:</w:t>
      </w:r>
    </w:p>
    <w:p>
      <w:pPr>
        <w:pStyle w:val="ListParagraph"/>
        <w:numPr>
          <w:ilvl w:val="0"/>
          <w:numId w:val="2"/>
        </w:numPr>
        <w:spacing w:after="80" w:line="276"/>
      </w:pPr>
      <w:r>
        <w:rPr>
          <w:rFonts w:ascii="Arial" w:cs="Arial" w:eastAsia="Arial" w:hAnsi="Arial"/>
          <w:b/>
          <w:bCs/>
          <w:color w:val="1F2937"/>
          <w:sz w:val="20"/>
          <w:szCs w:val="20"/>
        </w:rPr>
        <w:t xml:space="preserve">1. Ingestion: </w:t>
      </w:r>
      <w:r>
        <w:rPr>
          <w:rFonts w:ascii="Arial" w:cs="Arial" w:eastAsia="Arial" w:hAnsi="Arial"/>
          <w:color w:val="4B5563"/>
          <w:sz w:val="20"/>
          <w:szCs w:val="20"/>
        </w:rPr>
        <w:t xml:space="preserve">Stellar RPC or Captive Core emits ledger close events. Multiple source adapters (live RPC, data lake replay, filesystem) feed the pipeline simultaneously.</w:t>
      </w:r>
    </w:p>
    <w:p>
      <w:pPr>
        <w:pStyle w:val="ListParagraph"/>
        <w:numPr>
          <w:ilvl w:val="0"/>
          <w:numId w:val="2"/>
        </w:numPr>
        <w:spacing w:after="80" w:line="276"/>
      </w:pPr>
      <w:r>
        <w:rPr>
          <w:rFonts w:ascii="Arial" w:cs="Arial" w:eastAsia="Arial" w:hAnsi="Arial"/>
          <w:b/>
          <w:bCs/>
          <w:color w:val="1F2937"/>
          <w:sz w:val="20"/>
          <w:szCs w:val="20"/>
        </w:rPr>
        <w:t xml:space="preserve">2. Bronze Processing: </w:t>
      </w:r>
      <w:r>
        <w:rPr>
          <w:rFonts w:ascii="Arial" w:cs="Arial" w:eastAsia="Arial" w:hAnsi="Arial"/>
          <w:color w:val="4B5563"/>
          <w:sz w:val="20"/>
          <w:szCs w:val="20"/>
        </w:rPr>
        <w:t xml:space="preserve">Raw XDR is decoded into 19 event-stream and snapshot tables that mirror Stellar’s native data model exactly.</w:t>
      </w:r>
    </w:p>
    <w:p>
      <w:pPr>
        <w:pStyle w:val="ListParagraph"/>
        <w:numPr>
          <w:ilvl w:val="0"/>
          <w:numId w:val="2"/>
        </w:numPr>
        <w:spacing w:after="80" w:line="276"/>
      </w:pPr>
      <w:r>
        <w:rPr>
          <w:rFonts w:ascii="Arial" w:cs="Arial" w:eastAsia="Arial" w:hAnsi="Arial"/>
          <w:b/>
          <w:bCs/>
          <w:color w:val="1F2937"/>
          <w:sz w:val="20"/>
          <w:szCs w:val="20"/>
        </w:rPr>
        <w:t xml:space="preserve">3. Silver Enrichment: </w:t>
      </w:r>
      <w:r>
        <w:rPr>
          <w:rFonts w:ascii="Arial" w:cs="Arial" w:eastAsia="Arial" w:hAnsi="Arial"/>
          <w:color w:val="4B5563"/>
          <w:sz w:val="20"/>
          <w:szCs w:val="20"/>
        </w:rPr>
        <w:t xml:space="preserve">Processors join, denormalize, and enhance Bronze data into 18 analytics-ready tables, including enriched operations, token transfers, contract invocations with decoded arguments, and current-state snapshots.</w:t>
      </w:r>
    </w:p>
    <w:p>
      <w:pPr>
        <w:pStyle w:val="ListParagraph"/>
        <w:numPr>
          <w:ilvl w:val="0"/>
          <w:numId w:val="2"/>
        </w:numPr>
        <w:spacing w:after="80" w:line="276"/>
      </w:pPr>
      <w:r>
        <w:rPr>
          <w:rFonts w:ascii="Arial" w:cs="Arial" w:eastAsia="Arial" w:hAnsi="Arial"/>
          <w:b/>
          <w:bCs/>
          <w:color w:val="1F2937"/>
          <w:sz w:val="20"/>
          <w:szCs w:val="20"/>
        </w:rPr>
        <w:t xml:space="preserve">4. Hot Storage: </w:t>
      </w:r>
      <w:r>
        <w:rPr>
          <w:rFonts w:ascii="Arial" w:cs="Arial" w:eastAsia="Arial" w:hAnsi="Arial"/>
          <w:color w:val="4B5563"/>
          <w:sz w:val="20"/>
          <w:szCs w:val="20"/>
        </w:rPr>
        <w:t xml:space="preserve">Last ~7 days land in PostgreSQL for sub-second query performance on recent data.</w:t>
      </w:r>
    </w:p>
    <w:p>
      <w:pPr>
        <w:pStyle w:val="ListParagraph"/>
        <w:numPr>
          <w:ilvl w:val="0"/>
          <w:numId w:val="2"/>
        </w:numPr>
        <w:spacing w:after="80" w:line="276"/>
      </w:pPr>
      <w:r>
        <w:rPr>
          <w:rFonts w:ascii="Arial" w:cs="Arial" w:eastAsia="Arial" w:hAnsi="Arial"/>
          <w:b/>
          <w:bCs/>
          <w:color w:val="1F2937"/>
          <w:sz w:val="20"/>
          <w:szCs w:val="20"/>
        </w:rPr>
        <w:t xml:space="preserve">5. Cold Storage: </w:t>
      </w:r>
      <w:r>
        <w:rPr>
          <w:rFonts w:ascii="Arial" w:cs="Arial" w:eastAsia="Arial" w:hAnsi="Arial"/>
          <w:color w:val="4B5563"/>
          <w:sz w:val="20"/>
          <w:szCs w:val="20"/>
        </w:rPr>
        <w:t xml:space="preserve">Full history persists as Parquet files via DuckLake, queryable in 1–10 seconds for historical analysis.</w:t>
      </w:r>
    </w:p>
    <w:p>
      <w:pPr>
        <w:pStyle w:val="ListParagraph"/>
        <w:numPr>
          <w:ilvl w:val="0"/>
          <w:numId w:val="2"/>
        </w:numPr>
        <w:spacing w:after="80" w:line="276"/>
      </w:pPr>
      <w:r>
        <w:rPr>
          <w:rFonts w:ascii="Arial" w:cs="Arial" w:eastAsia="Arial" w:hAnsi="Arial"/>
          <w:b/>
          <w:bCs/>
          <w:color w:val="1F2937"/>
          <w:sz w:val="20"/>
          <w:szCs w:val="20"/>
        </w:rPr>
        <w:t xml:space="preserve">6. API Serving: </w:t>
      </w:r>
      <w:r>
        <w:rPr>
          <w:rFonts w:ascii="Arial" w:cs="Arial" w:eastAsia="Arial" w:hAnsi="Arial"/>
          <w:color w:val="4B5563"/>
          <w:sz w:val="20"/>
          <w:szCs w:val="20"/>
        </w:rPr>
        <w:t xml:space="preserve">The API layer transparently queries both hot and cold, deduplicates, and returns unified results. The Index Plane provides sub-100ms hash lookups.</w:t>
      </w:r>
    </w:p>
    <w:p>
      <w:r>
        <w:br w:type="page"/>
      </w:r>
    </w:p>
    <w:p>
      <w:pPr>
        <w:pStyle w:val="Heading1"/>
        <w:spacing w:before="360" w:after="200"/>
      </w:pPr>
      <w:r>
        <w:rPr>
          <w:rFonts w:ascii="Arial" w:cs="Arial" w:eastAsia="Arial" w:hAnsi="Arial"/>
          <w:b/>
          <w:bCs/>
          <w:color w:val="1F2937"/>
          <w:sz w:val="32"/>
          <w:szCs w:val="32"/>
        </w:rPr>
        <w:t xml:space="preserve">3. Data Model</w:t>
      </w:r>
    </w:p>
    <w:p>
      <w:pPr>
        <w:pStyle w:val="Heading2"/>
        <w:spacing w:before="280" w:after="160"/>
      </w:pPr>
      <w:r>
        <w:rPr>
          <w:rFonts w:ascii="Arial" w:cs="Arial" w:eastAsia="Arial" w:hAnsi="Arial"/>
          <w:b/>
          <w:bCs/>
          <w:color w:val="7C3AED"/>
          <w:sz w:val="26"/>
          <w:szCs w:val="26"/>
        </w:rPr>
        <w:t xml:space="preserve">3.1 Bronze Layer — Raw Data (19 Tables)</w:t>
      </w:r>
    </w:p>
    <w:p>
      <w:pPr>
        <w:spacing w:after="120" w:line="276"/>
      </w:pPr>
      <w:r>
        <w:rPr>
          <w:rFonts w:ascii="Arial" w:cs="Arial" w:eastAsia="Arial" w:hAnsi="Arial"/>
          <w:color w:val="4B5563"/>
          <w:sz w:val="20"/>
          <w:szCs w:val="20"/>
        </w:rPr>
        <w:t xml:space="preserve">Bronze tables mirror Stellar’s native data model with no transformation. They serve as the immutable source of truth for all downstream processing.</w:t>
      </w:r>
    </w:p>
    <w:p>
      <w:pPr>
        <w:spacing w:before="200" w:after="100"/>
      </w:pPr>
      <w:r>
        <w:rPr>
          <w:rFonts w:ascii="Arial" w:cs="Arial" w:eastAsia="Arial" w:hAnsi="Arial"/>
          <w:b/>
          <w:bCs/>
          <w:color w:val="1F2937"/>
          <w:sz w:val="22"/>
          <w:szCs w:val="22"/>
        </w:rPr>
        <w:t xml:space="preserve">Event Stream Tables (append-only, ordered by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Table</w:t>
            </w:r>
          </w:p>
        </w:tc>
        <w:tc>
          <w:tcPr>
            <w:tcW w:type="dxa" w:w="61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Description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ledgers_row_v2</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Block metadata, protocol version, base fee, close time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transactions_row_v2</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Transaction envelopes, results, fee meta</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operations_row_v2</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Individual operations within transactions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effects_row_v1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Side effects triggered by operations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trades_row_v1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DEX trades (both orderbook and AMM)</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contract_events_stream_v1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Soroban contract events (CAP-67)</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evicted_keys_state_v1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Expired contract data keys (state archival)</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restored_keys_state_v1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Restored contract data keys</w:t>
            </w:r>
          </w:p>
        </w:tc>
      </w:tr>
    </w:tbl>
    <w:p>
      <w:pPr>
        <w:spacing w:after="120" w:line="276"/>
      </w:pPr>
      <w:r>
        <w:rPr>
          <w:rFonts w:ascii="Arial" w:cs="Arial" w:eastAsia="Arial" w:hAnsi="Arial"/>
          <w:color w:val="4B5563"/>
          <w:sz w:val="20"/>
          <w:szCs w:val="20"/>
        </w:rPr>
        <w:t xml:space="preserve"/>
      </w:r>
    </w:p>
    <w:p>
      <w:pPr>
        <w:spacing w:before="200" w:after="100"/>
      </w:pPr>
      <w:r>
        <w:rPr>
          <w:rFonts w:ascii="Arial" w:cs="Arial" w:eastAsia="Arial" w:hAnsi="Arial"/>
          <w:b/>
          <w:bCs/>
          <w:color w:val="1F2937"/>
          <w:sz w:val="22"/>
          <w:szCs w:val="22"/>
        </w:rPr>
        <w:t xml:space="preserve">Snapshot Tables (current state, deduplicated by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Table</w:t>
            </w:r>
          </w:p>
        </w:tc>
        <w:tc>
          <w:tcPr>
            <w:tcW w:type="dxa" w:w="61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Description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accounts_snapshot_v1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Account state: balances, flags, thresholds, signers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trustlines_snapshot_v1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Asset trustline states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offers_snapshot_v1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DEX order book offers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liquidity_pools_snapshot_v1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AMM pool reserves and share counts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contract_data_snapshot_v1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Soroban contract storage entries (Instance, Persistent, Temporary)</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contract_code_snapshot_v1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Deployed WASM code metadata</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ttl_snapshot_v1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 data TTL / expiration tracking</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config_settings_snapshot_v1</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Network configuration parameters (protocol limits, fees)</w:t>
            </w:r>
          </w:p>
        </w:tc>
      </w:tr>
    </w:tbl>
    <w:p>
      <w:pPr>
        <w:spacing w:after="120" w:line="276"/>
      </w:pPr>
      <w:r>
        <w:rPr>
          <w:rFonts w:ascii="Arial" w:cs="Arial" w:eastAsia="Arial" w:hAnsi="Arial"/>
          <w:color w:val="4B5563"/>
          <w:sz w:val="20"/>
          <w:szCs w:val="20"/>
        </w:rPr>
        <w:t xml:space="preserve">Plus: account_signers_snapshot_v1, native_balances_snapshot_v1, claimable_balances_snapshot_v1.</w:t>
      </w:r>
    </w:p>
    <w:p>
      <w:pPr>
        <w:pStyle w:val="Heading2"/>
        <w:spacing w:before="280" w:after="160"/>
      </w:pPr>
      <w:r>
        <w:rPr>
          <w:rFonts w:ascii="Arial" w:cs="Arial" w:eastAsia="Arial" w:hAnsi="Arial"/>
          <w:b/>
          <w:bCs/>
          <w:color w:val="7C3AED"/>
          <w:sz w:val="26"/>
          <w:szCs w:val="26"/>
        </w:rPr>
        <w:t xml:space="preserve">3.2 Silver Layer — Analytics-Ready (18 Tables)</w:t>
      </w:r>
    </w:p>
    <w:p>
      <w:pPr>
        <w:spacing w:after="120" w:line="276"/>
      </w:pPr>
      <w:r>
        <w:rPr>
          <w:rFonts w:ascii="Arial" w:cs="Arial" w:eastAsia="Arial" w:hAnsi="Arial"/>
          <w:color w:val="4B5563"/>
          <w:sz w:val="20"/>
          <w:szCs w:val="20"/>
        </w:rPr>
        <w:t xml:space="preserve">Silver tables are pre-processed, denormalized, and enriched for common analytics patterns. They power the explorer’s human-readable views directly.</w:t>
      </w:r>
    </w:p>
    <w:p>
      <w:pPr>
        <w:spacing w:before="200" w:after="100"/>
      </w:pPr>
      <w:r>
        <w:rPr>
          <w:rFonts w:ascii="Arial" w:cs="Arial" w:eastAsia="Arial" w:hAnsi="Arial"/>
          <w:b/>
          <w:bCs/>
          <w:color w:val="1F2937"/>
          <w:sz w:val="22"/>
          <w:szCs w:val="22"/>
        </w:rPr>
        <w:t xml:space="preserve">Core Analytics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Table</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Purpose</w:t>
            </w:r>
          </w:p>
        </w:tc>
        <w:tc>
          <w:tcPr>
            <w:tcW w:type="dxa" w:w="35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Key Fields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enriched_history_operations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Operations with decoded types, joined with tx metadata</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operation_type_string, account_id, is_soroban_op</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enriched_history_operations_soroban</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Soroban-only operations with contract context</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contract_id, function_name, host_function_type, parameters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token_transfers_raw</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Unified payment/path payment/claim view</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source_type (classic | soroban), asset_code, amount, from/to</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contract_invocations_raw</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Smart contract call graph with decoded args</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function_name, arguments_decoded, contract_id, successful</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accounts_current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Latest state for each account</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balances, thresholds, signers, flags, home_domain</w:t>
            </w:r>
          </w:p>
        </w:tc>
      </w:tr>
    </w:tbl>
    <w:p>
      <w:pPr>
        <w:spacing w:after="120" w:line="276"/>
      </w:pPr>
      <w:r>
        <w:rPr>
          <w:rFonts w:ascii="Arial" w:cs="Arial" w:eastAsia="Arial" w:hAnsi="Arial"/>
          <w:color w:val="4B5563"/>
          <w:sz w:val="20"/>
          <w:szCs w:val="20"/>
        </w:rPr>
        <w:t xml:space="preserve"/>
      </w:r>
    </w:p>
    <w:p>
      <w:pPr>
        <w:spacing w:before="200" w:after="100"/>
      </w:pPr>
      <w:r>
        <w:rPr>
          <w:rFonts w:ascii="Arial" w:cs="Arial" w:eastAsia="Arial" w:hAnsi="Arial"/>
          <w:b/>
          <w:bCs/>
          <w:color w:val="1F2937"/>
          <w:sz w:val="22"/>
          <w:szCs w:val="22"/>
        </w:rPr>
        <w:t xml:space="preserve">Current-State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Table</w:t>
            </w:r>
          </w:p>
        </w:tc>
        <w:tc>
          <w:tcPr>
            <w:tcW w:type="dxa" w:w="61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What It Tracks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trustlines_current</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Current trustline states for all accounts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offers_current</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Active DEX order book offers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liquidity_pools_current</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AMM pool reserves and share totals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native_balances_current</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Current XLM balances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contract_data_current</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Current Soroban contract state data</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ttl_current</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 data TTL / expiration for rent tracking</w:t>
            </w:r>
          </w:p>
        </w:tc>
      </w:tr>
    </w:tbl>
    <w:p>
      <w:pPr>
        <w:spacing w:after="120" w:line="276"/>
      </w:pPr>
      <w:r>
        <w:rPr>
          <w:rFonts w:ascii="Arial" w:cs="Arial" w:eastAsia="Arial" w:hAnsi="Arial"/>
          <w:color w:val="4B5563"/>
          <w:sz w:val="20"/>
          <w:szCs w:val="20"/>
        </w:rPr>
        <w:t xml:space="preserve">Plus: claimable_balances_current, contract_code_current, evicted_keys, restored_keys, config_settings_current, trades, effects.</w:t>
      </w:r>
    </w:p>
    <w:p>
      <w:r>
        <w:br w:type="page"/>
      </w:r>
    </w:p>
    <w:p>
      <w:pPr>
        <w:pStyle w:val="Heading1"/>
        <w:spacing w:before="360" w:after="200"/>
      </w:pPr>
      <w:r>
        <w:rPr>
          <w:rFonts w:ascii="Arial" w:cs="Arial" w:eastAsia="Arial" w:hAnsi="Arial"/>
          <w:b/>
          <w:bCs/>
          <w:color w:val="1F2937"/>
          <w:sz w:val="32"/>
          <w:szCs w:val="32"/>
        </w:rPr>
        <w:t xml:space="preserve">4. Hot/Cold Storage Architecture</w:t>
      </w:r>
    </w:p>
    <w:p>
      <w:pPr>
        <w:spacing w:after="120" w:line="276"/>
      </w:pPr>
      <w:r>
        <w:rPr>
          <w:rFonts w:ascii="Arial" w:cs="Arial" w:eastAsia="Arial" w:hAnsi="Arial"/>
          <w:color w:val="4B5563"/>
          <w:sz w:val="20"/>
          <w:szCs w:val="20"/>
        </w:rPr>
        <w:t xml:space="preserve">Prism’s query layer transparently merges data from two storage tiers. Users and the frontend never need to know where data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
            </w:r>
          </w:p>
        </w:tc>
        <w:tc>
          <w:tcPr>
            <w:tcW w:type="dxa" w:w="38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Hot Storage</w:t>
            </w:r>
          </w:p>
        </w:tc>
        <w:tc>
          <w:tcPr>
            <w:tcW w:type="dxa" w:w="38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Cold Storage</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Technology</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PostgreSQL</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DuckLake (Parquet on object storage)</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Data Range</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Last ~7 days</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Full history (genesis to present)</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Query Speed</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Sub-second (&lt;50ms typical)</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1–10 seconds (depends on scan size)</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Best For</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Real-time queries, recent activity, live dashboards</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Historical analysis, large aggregations, backfill</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Update Frequency</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Continuous (streaming ingestion)</w:t>
            </w:r>
          </w:p>
        </w:tc>
        <w:tc>
          <w:tcPr>
            <w:tcW w:type="dxa" w:w="38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Periodic compaction (hourly)</w:t>
            </w:r>
          </w:p>
        </w:tc>
      </w:tr>
    </w:tbl>
    <w:p>
      <w:pPr>
        <w:spacing w:after="120" w:line="276"/>
      </w:pPr>
      <w:r>
        <w:rPr>
          <w:rFonts w:ascii="Arial" w:cs="Arial" w:eastAsia="Arial" w:hAnsi="Arial"/>
          <w:color w:val="4B5563"/>
          <w:sz w:val="20"/>
          <w:szCs w:val="20"/>
        </w:rPr>
        <w:t xml:space="preserve"/>
      </w:r>
    </w:p>
    <w:p>
      <w:pPr>
        <w:pStyle w:val="Heading2"/>
        <w:spacing w:before="280" w:after="160"/>
      </w:pPr>
      <w:r>
        <w:rPr>
          <w:rFonts w:ascii="Arial" w:cs="Arial" w:eastAsia="Arial" w:hAnsi="Arial"/>
          <w:b/>
          <w:bCs/>
          <w:color w:val="7C3AED"/>
          <w:sz w:val="26"/>
          <w:szCs w:val="26"/>
        </w:rPr>
        <w:t xml:space="preserve">4.1 Transparent Merging</w:t>
      </w:r>
    </w:p>
    <w:p>
      <w:pPr>
        <w:spacing w:after="120" w:line="276"/>
      </w:pPr>
      <w:r>
        <w:rPr>
          <w:rFonts w:ascii="Arial" w:cs="Arial" w:eastAsia="Arial" w:hAnsi="Arial"/>
          <w:color w:val="4B5563"/>
          <w:sz w:val="20"/>
          <w:szCs w:val="20"/>
        </w:rPr>
        <w:t xml:space="preserve">When the API receives a query:</w:t>
      </w:r>
    </w:p>
    <w:p>
      <w:pPr>
        <w:pStyle w:val="ListParagraph"/>
        <w:numPr>
          <w:ilvl w:val="0"/>
          <w:numId w:val="2"/>
        </w:numPr>
        <w:spacing w:after="80" w:line="276"/>
      </w:pPr>
      <w:r>
        <w:rPr>
          <w:rFonts w:ascii="Arial" w:cs="Arial" w:eastAsia="Arial" w:hAnsi="Arial"/>
          <w:b/>
          <w:bCs/>
          <w:color w:val="1F2937"/>
          <w:sz w:val="20"/>
          <w:szCs w:val="20"/>
        </w:rPr>
        <w:t xml:space="preserve">1. </w:t>
      </w:r>
      <w:r>
        <w:rPr>
          <w:rFonts w:ascii="Arial" w:cs="Arial" w:eastAsia="Arial" w:hAnsi="Arial"/>
          <w:color w:val="4B5563"/>
          <w:sz w:val="20"/>
          <w:szCs w:val="20"/>
        </w:rPr>
        <w:t xml:space="preserve">It determines whether the query needs hot data, cold data, or both based on the time range and filters.</w:t>
      </w:r>
    </w:p>
    <w:p>
      <w:pPr>
        <w:pStyle w:val="ListParagraph"/>
        <w:numPr>
          <w:ilvl w:val="0"/>
          <w:numId w:val="2"/>
        </w:numPr>
        <w:spacing w:after="80" w:line="276"/>
      </w:pPr>
      <w:r>
        <w:rPr>
          <w:rFonts w:ascii="Arial" w:cs="Arial" w:eastAsia="Arial" w:hAnsi="Arial"/>
          <w:b/>
          <w:bCs/>
          <w:color w:val="1F2937"/>
          <w:sz w:val="20"/>
          <w:szCs w:val="20"/>
        </w:rPr>
        <w:t xml:space="preserve">2. </w:t>
      </w:r>
      <w:r>
        <w:rPr>
          <w:rFonts w:ascii="Arial" w:cs="Arial" w:eastAsia="Arial" w:hAnsi="Arial"/>
          <w:color w:val="4B5563"/>
          <w:sz w:val="20"/>
          <w:szCs w:val="20"/>
        </w:rPr>
        <w:t xml:space="preserve">Results from both tiers are merged, deduplicated by primary key, and returned in order.</w:t>
      </w:r>
    </w:p>
    <w:p>
      <w:pPr>
        <w:pStyle w:val="ListParagraph"/>
        <w:numPr>
          <w:ilvl w:val="0"/>
          <w:numId w:val="2"/>
        </w:numPr>
        <w:spacing w:after="80" w:line="276"/>
      </w:pPr>
      <w:r>
        <w:rPr>
          <w:rFonts w:ascii="Arial" w:cs="Arial" w:eastAsia="Arial" w:hAnsi="Arial"/>
          <w:b/>
          <w:bCs/>
          <w:color w:val="1F2937"/>
          <w:sz w:val="20"/>
          <w:szCs w:val="20"/>
        </w:rPr>
        <w:t xml:space="preserve">3. </w:t>
      </w:r>
      <w:r>
        <w:rPr>
          <w:rFonts w:ascii="Arial" w:cs="Arial" w:eastAsia="Arial" w:hAnsi="Arial"/>
          <w:color w:val="4B5563"/>
          <w:sz w:val="20"/>
          <w:szCs w:val="20"/>
        </w:rPr>
        <w:t xml:space="preserve">Cursor-based pagination works seamlessly across the hot/cold boundary — no gaps, no duplicates.</w:t>
      </w:r>
    </w:p>
    <w:p>
      <w:pPr>
        <w:spacing w:after="120" w:line="276"/>
      </w:pPr>
      <w:r>
        <w:rPr>
          <w:rFonts w:ascii="Arial" w:cs="Arial" w:eastAsia="Arial" w:hAnsi="Arial"/>
          <w:color w:val="4B5563"/>
          <w:sz w:val="20"/>
          <w:szCs w:val="20"/>
        </w:rPr>
        <w:t xml:space="preserve">This architecture gives Prism both real-time responsiveness (Horizon-like performance for recent data) and analytics depth (full-history scans) without requiring the user to choose between them.</w:t>
      </w:r>
    </w:p>
    <w:p>
      <w:r>
        <w:br w:type="page"/>
      </w:r>
    </w:p>
    <w:p>
      <w:pPr>
        <w:pStyle w:val="Heading1"/>
        <w:spacing w:before="360" w:after="200"/>
      </w:pPr>
      <w:r>
        <w:rPr>
          <w:rFonts w:ascii="Arial" w:cs="Arial" w:eastAsia="Arial" w:hAnsi="Arial"/>
          <w:b/>
          <w:bCs/>
          <w:color w:val="1F2937"/>
          <w:sz w:val="32"/>
          <w:szCs w:val="32"/>
        </w:rPr>
        <w:t xml:space="preserve">5. Contract Invocation Enhancement</w:t>
      </w:r>
    </w:p>
    <w:p>
      <w:pPr>
        <w:spacing w:after="120" w:line="276"/>
      </w:pPr>
      <w:r>
        <w:rPr>
          <w:rFonts w:ascii="Arial" w:cs="Arial" w:eastAsia="Arial" w:hAnsi="Arial"/>
          <w:color w:val="4B5563"/>
          <w:sz w:val="20"/>
          <w:szCs w:val="20"/>
        </w:rPr>
        <w:t xml:space="preserve">The ability to decode and display Soroban contract calls in human-readable form is Prism’s single most important differentiator. This section details how we achieve &gt;95% function name extraction.</w:t>
      </w:r>
    </w:p>
    <w:p>
      <w:pPr>
        <w:pStyle w:val="Heading2"/>
        <w:spacing w:before="280" w:after="160"/>
      </w:pPr>
      <w:r>
        <w:rPr>
          <w:rFonts w:ascii="Arial" w:cs="Arial" w:eastAsia="Arial" w:hAnsi="Arial"/>
          <w:b/>
          <w:bCs/>
          <w:color w:val="7C3AED"/>
          <w:sz w:val="26"/>
          <w:szCs w:val="26"/>
        </w:rPr>
        <w:t xml:space="preserve">5.1 The Problem</w:t>
      </w:r>
    </w:p>
    <w:p>
      <w:pPr>
        <w:spacing w:after="120" w:line="276"/>
      </w:pPr>
      <w:r>
        <w:rPr>
          <w:rFonts w:ascii="Arial" w:cs="Arial" w:eastAsia="Arial" w:hAnsi="Arial"/>
          <w:color w:val="4B5563"/>
          <w:sz w:val="20"/>
          <w:szCs w:val="20"/>
        </w:rPr>
        <w:t xml:space="preserve">Raw Soroban transactions contain XDR-encoded invocations. Without enhancement, function names are often empty and arguments are opaque binary blobs. The original processor achieved roughly 30% function name extraction — making contract activity largely invisible to users.</w:t>
      </w:r>
    </w:p>
    <w:p>
      <w:pPr>
        <w:pStyle w:val="Heading2"/>
        <w:spacing w:before="280" w:after="160"/>
      </w:pPr>
      <w:r>
        <w:rPr>
          <w:rFonts w:ascii="Arial" w:cs="Arial" w:eastAsia="Arial" w:hAnsi="Arial"/>
          <w:b/>
          <w:bCs/>
          <w:color w:val="7C3AED"/>
          <w:sz w:val="26"/>
          <w:szCs w:val="26"/>
        </w:rPr>
        <w:t xml:space="preserve">5.2 The Solution</w:t>
      </w:r>
    </w:p>
    <w:p>
      <w:pPr>
        <w:spacing w:after="120" w:line="276"/>
      </w:pPr>
      <w:r>
        <w:rPr>
          <w:rFonts w:ascii="Arial" w:cs="Arial" w:eastAsia="Arial" w:hAnsi="Arial"/>
          <w:color w:val="4B5563"/>
          <w:sz w:val="20"/>
          <w:szCs w:val="20"/>
        </w:rPr>
        <w:t xml:space="preserve">Our enhanced ContractInvocationProcessor extracts complete function call information through three mechanisms:</w:t>
      </w:r>
    </w:p>
    <w:p>
      <w:pPr>
        <w:spacing w:before="200" w:after="100"/>
      </w:pPr>
      <w:r>
        <w:rPr>
          <w:rFonts w:ascii="Arial" w:cs="Arial" w:eastAsia="Arial" w:hAnsi="Arial"/>
          <w:b/>
          <w:bCs/>
          <w:color w:val="1F2937"/>
          <w:sz w:val="22"/>
          <w:szCs w:val="22"/>
        </w:rPr>
        <w:t xml:space="preserve">Enhanced Function Name Extraction</w:t>
      </w:r>
    </w:p>
    <w:p>
      <w:pPr>
        <w:pStyle w:val="ListParagraph"/>
        <w:numPr>
          <w:ilvl w:val="0"/>
          <w:numId w:val="2"/>
        </w:numPr>
        <w:spacing w:after="80" w:line="276"/>
      </w:pPr>
      <w:r>
        <w:rPr>
          <w:rFonts w:ascii="Arial" w:cs="Arial" w:eastAsia="Arial" w:hAnsi="Arial"/>
          <w:color w:val="4B5563"/>
          <w:sz w:val="20"/>
          <w:szCs w:val="20"/>
        </w:rPr>
        <w:t xml:space="preserve">Multi-strategy extraction: checks invocation function name, authorization tree, and diagnostic events</w:t>
      </w:r>
    </w:p>
    <w:p>
      <w:pPr>
        <w:pStyle w:val="ListParagraph"/>
        <w:numPr>
          <w:ilvl w:val="0"/>
          <w:numId w:val="2"/>
        </w:numPr>
        <w:spacing w:after="80" w:line="276"/>
      </w:pPr>
      <w:r>
        <w:rPr>
          <w:rFonts w:ascii="Arial" w:cs="Arial" w:eastAsia="Arial" w:hAnsi="Arial"/>
          <w:color w:val="4B5563"/>
          <w:sz w:val="20"/>
          <w:szCs w:val="20"/>
        </w:rPr>
        <w:t xml:space="preserve">Fallback chain ensures function names are captured even in edge cases</w:t>
      </w:r>
    </w:p>
    <w:p>
      <w:pPr>
        <w:pStyle w:val="ListParagraph"/>
        <w:numPr>
          <w:ilvl w:val="0"/>
          <w:numId w:val="2"/>
        </w:numPr>
        <w:spacing w:after="80" w:line="276"/>
      </w:pPr>
      <w:r>
        <w:rPr>
          <w:rFonts w:ascii="Arial" w:cs="Arial" w:eastAsia="Arial" w:hAnsi="Arial"/>
          <w:color w:val="4B5563"/>
          <w:sz w:val="20"/>
          <w:szCs w:val="20"/>
        </w:rPr>
        <w:t xml:space="preserve">Result: &gt;95% extraction rate (up from ~30%)</w:t>
      </w:r>
    </w:p>
    <w:p>
      <w:pPr>
        <w:spacing w:before="200" w:after="100"/>
      </w:pPr>
      <w:r>
        <w:rPr>
          <w:rFonts w:ascii="Arial" w:cs="Arial" w:eastAsia="Arial" w:hAnsi="Arial"/>
          <w:b/>
          <w:bCs/>
          <w:color w:val="1F2937"/>
          <w:sz w:val="22"/>
          <w:szCs w:val="22"/>
        </w:rPr>
        <w:t xml:space="preserve">Full Argument Decoding</w:t>
      </w:r>
    </w:p>
    <w:p>
      <w:pPr>
        <w:pStyle w:val="ListParagraph"/>
        <w:numPr>
          <w:ilvl w:val="0"/>
          <w:numId w:val="2"/>
        </w:numPr>
        <w:spacing w:after="80" w:line="276"/>
      </w:pPr>
      <w:r>
        <w:rPr>
          <w:rFonts w:ascii="Arial" w:cs="Arial" w:eastAsia="Arial" w:hAnsi="Arial"/>
          <w:color w:val="4B5563"/>
          <w:sz w:val="20"/>
          <w:szCs w:val="20"/>
        </w:rPr>
        <w:t xml:space="preserve">ScVal converter handles all Soroban types: numerics (u32–i256), addresses (G.../C...), booleans, strings, bytes, vectors, maps, contract instances</w:t>
      </w:r>
    </w:p>
    <w:p>
      <w:pPr>
        <w:pStyle w:val="ListParagraph"/>
        <w:numPr>
          <w:ilvl w:val="0"/>
          <w:numId w:val="2"/>
        </w:numPr>
        <w:spacing w:after="80" w:line="276"/>
      </w:pPr>
      <w:r>
        <w:rPr>
          <w:rFonts w:ascii="Arial" w:cs="Arial" w:eastAsia="Arial" w:hAnsi="Arial"/>
          <w:color w:val="4B5563"/>
          <w:sz w:val="20"/>
          <w:szCs w:val="20"/>
        </w:rPr>
        <w:t xml:space="preserve">Preserves type information alongside decoded values</w:t>
      </w:r>
    </w:p>
    <w:p>
      <w:pPr>
        <w:pStyle w:val="ListParagraph"/>
        <w:numPr>
          <w:ilvl w:val="0"/>
          <w:numId w:val="2"/>
        </w:numPr>
        <w:spacing w:after="80" w:line="276"/>
      </w:pPr>
      <w:r>
        <w:rPr>
          <w:rFonts w:ascii="Arial" w:cs="Arial" w:eastAsia="Arial" w:hAnsi="Arial"/>
          <w:color w:val="4B5563"/>
          <w:sz w:val="20"/>
          <w:szCs w:val="20"/>
        </w:rPr>
        <w:t xml:space="preserve">Nested structures (vec of maps, maps of vecs) handled recursively</w:t>
      </w:r>
    </w:p>
    <w:p>
      <w:pPr>
        <w:spacing w:before="200" w:after="100"/>
      </w:pPr>
      <w:r>
        <w:rPr>
          <w:rFonts w:ascii="Arial" w:cs="Arial" w:eastAsia="Arial" w:hAnsi="Arial"/>
          <w:b/>
          <w:bCs/>
          <w:color w:val="1F2937"/>
          <w:sz w:val="22"/>
          <w:szCs w:val="22"/>
        </w:rPr>
        <w:t xml:space="preserve">Call Graph Reconstruction</w:t>
      </w:r>
    </w:p>
    <w:p>
      <w:pPr>
        <w:pStyle w:val="ListParagraph"/>
        <w:numPr>
          <w:ilvl w:val="0"/>
          <w:numId w:val="2"/>
        </w:numPr>
        <w:spacing w:after="80" w:line="276"/>
      </w:pPr>
      <w:r>
        <w:rPr>
          <w:rFonts w:ascii="Arial" w:cs="Arial" w:eastAsia="Arial" w:hAnsi="Arial"/>
          <w:color w:val="4B5563"/>
          <w:sz w:val="20"/>
          <w:szCs w:val="20"/>
        </w:rPr>
        <w:t xml:space="preserve">Sub-invocations are walked recursively from the authorization tree</w:t>
      </w:r>
    </w:p>
    <w:p>
      <w:pPr>
        <w:pStyle w:val="ListParagraph"/>
        <w:numPr>
          <w:ilvl w:val="0"/>
          <w:numId w:val="2"/>
        </w:numPr>
        <w:spacing w:after="80" w:line="276"/>
      </w:pPr>
      <w:r>
        <w:rPr>
          <w:rFonts w:ascii="Arial" w:cs="Arial" w:eastAsia="Arial" w:hAnsi="Arial"/>
          <w:color w:val="4B5563"/>
          <w:sz w:val="20"/>
          <w:szCs w:val="20"/>
        </w:rPr>
        <w:t xml:space="preserve">Contract-to-contract calls are captured with function name and direction</w:t>
      </w:r>
    </w:p>
    <w:p>
      <w:pPr>
        <w:pStyle w:val="ListParagraph"/>
        <w:numPr>
          <w:ilvl w:val="0"/>
          <w:numId w:val="2"/>
        </w:numPr>
        <w:spacing w:after="80" w:line="276"/>
      </w:pPr>
      <w:r>
        <w:rPr>
          <w:rFonts w:ascii="Arial" w:cs="Arial" w:eastAsia="Arial" w:hAnsi="Arial"/>
          <w:color w:val="4B5563"/>
          <w:sz w:val="20"/>
          <w:szCs w:val="20"/>
        </w:rPr>
        <w:t xml:space="preserve">The call-graph endpoint returns the full tree for any transaction: GET /api/v1/silver/tx/{hash}/call-graph</w:t>
      </w:r>
    </w:p>
    <w:p>
      <w:pPr>
        <w:spacing w:after="120" w:line="276"/>
      </w:pPr>
      <w:r>
        <w:rPr>
          <w:rFonts w:ascii="Arial" w:cs="Arial" w:eastAsia="Arial" w:hAnsi="Arial"/>
          <w:color w:val="4B5563"/>
          <w:sz w:val="20"/>
          <w:szCs w:val="20"/>
        </w:rPr>
        <w:t xml:space="preserve"/>
      </w:r>
    </w:p>
    <w:p>
      <w:pPr>
        <w:pStyle w:val="Heading2"/>
        <w:spacing w:before="280" w:after="160"/>
      </w:pPr>
      <w:r>
        <w:rPr>
          <w:rFonts w:ascii="Arial" w:cs="Arial" w:eastAsia="Arial" w:hAnsi="Arial"/>
          <w:b/>
          <w:bCs/>
          <w:color w:val="7C3AED"/>
          <w:sz w:val="26"/>
          <w:szCs w:val="26"/>
        </w:rPr>
        <w:t xml:space="preserve">5.3 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Field</w:t>
            </w:r>
          </w:p>
        </w:tc>
        <w:tc>
          <w:tcPr>
            <w:tcW w:type="dxa" w:w="33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Before Enhancement</w:t>
            </w:r>
          </w:p>
        </w:tc>
        <w:tc>
          <w:tcPr>
            <w:tcW w:type="dxa" w:w="40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After Enhancement</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function_name</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  (empty ~70% of the time)</w:t>
            </w:r>
          </w:p>
        </w:tc>
        <w:tc>
          <w:tcPr>
            <w:tcW w:type="dxa" w:w="4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"swap"  (populated &gt;95%)</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arguments</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Not captured</w:t>
            </w:r>
          </w:p>
        </w:tc>
        <w:tc>
          <w:tcPr>
            <w:tcW w:type="dxa" w:w="4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Full array with type info</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arguments_decoded</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Not captured</w:t>
            </w:r>
          </w:p>
        </w:tc>
        <w:tc>
          <w:tcPr>
            <w:tcW w:type="dxa" w:w="4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Structured: { "arg_0": "swap", "arg_1": { "type": "i128", "value": "1000000000" } }</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call graph</w:t>
            </w:r>
          </w:p>
        </w:tc>
        <w:tc>
          <w:tcPr>
            <w:tcW w:type="dxa" w:w="33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Not available</w:t>
            </w:r>
          </w:p>
        </w:tc>
        <w:tc>
          <w:tcPr>
            <w:tcW w:type="dxa" w:w="4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Full recursive tree with sub-invocations</w:t>
            </w:r>
          </w:p>
        </w:tc>
      </w:tr>
    </w:tbl>
    <w:p>
      <w:r>
        <w:br w:type="page"/>
      </w:r>
    </w:p>
    <w:p>
      <w:pPr>
        <w:pStyle w:val="Heading1"/>
        <w:spacing w:before="360" w:after="200"/>
      </w:pPr>
      <w:r>
        <w:rPr>
          <w:rFonts w:ascii="Arial" w:cs="Arial" w:eastAsia="Arial" w:hAnsi="Arial"/>
          <w:b/>
          <w:bCs/>
          <w:color w:val="1F2937"/>
          <w:sz w:val="32"/>
          <w:szCs w:val="32"/>
        </w:rPr>
        <w:t xml:space="preserve">6. API &amp; Serving Layer</w:t>
      </w:r>
    </w:p>
    <w:p>
      <w:pPr>
        <w:pStyle w:val="Heading2"/>
        <w:spacing w:before="280" w:after="160"/>
      </w:pPr>
      <w:r>
        <w:rPr>
          <w:rFonts w:ascii="Arial" w:cs="Arial" w:eastAsia="Arial" w:hAnsi="Arial"/>
          <w:b/>
          <w:bCs/>
          <w:color w:val="7C3AED"/>
          <w:sz w:val="26"/>
          <w:szCs w:val="26"/>
        </w:rPr>
        <w:t xml:space="preserve">6.1 Index Plane (Sub-100ms Lookups)</w:t>
      </w:r>
    </w:p>
    <w:p>
      <w:pPr>
        <w:spacing w:after="120" w:line="276"/>
      </w:pPr>
      <w:r>
        <w:rPr>
          <w:rFonts w:ascii="Arial" w:cs="Arial" w:eastAsia="Arial" w:hAnsi="Arial"/>
          <w:color w:val="4B5563"/>
          <w:sz w:val="20"/>
          <w:szCs w:val="20"/>
        </w:rPr>
        <w:t xml:space="preserve">The Index Plane provides instant lookups for the most common explorer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Endpoint</w:t>
            </w:r>
          </w:p>
        </w:tc>
        <w:tc>
          <w:tcPr>
            <w:tcW w:type="dxa" w:w="3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Purpose</w:t>
            </w:r>
          </w:p>
        </w:tc>
        <w:tc>
          <w:tcPr>
            <w:tcW w:type="dxa" w:w="2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Performance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/transactions/{hash}</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Transaction lookup by hash</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&lt;50ms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POST /api/v1/index/transactions/lookup</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Batch lookup (up to 1,000 hashes)</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&lt;100ms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/api/v1/index/contracts/{id}/ledgers</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Ledgers containing events for a contract</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&lt;100ms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/api/v1/index/contracts/{id}/events/summary</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 event summary with fn breakdown</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&lt;100ms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/api/v1/index/health</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Index coverage statistics</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&lt;10ms</w:t>
            </w:r>
          </w:p>
        </w:tc>
      </w:tr>
    </w:tbl>
    <w:p>
      <w:pPr>
        <w:spacing w:after="120" w:line="276"/>
      </w:pPr>
      <w:r>
        <w:rPr>
          <w:rFonts w:ascii="Arial" w:cs="Arial" w:eastAsia="Arial" w:hAnsi="Arial"/>
          <w:color w:val="4B5563"/>
          <w:sz w:val="20"/>
          <w:szCs w:val="20"/>
        </w:rPr>
        <w:t xml:space="preserve"/>
      </w:r>
    </w:p>
    <w:p>
      <w:pPr>
        <w:pStyle w:val="Heading2"/>
        <w:spacing w:before="280" w:after="160"/>
      </w:pPr>
      <w:r>
        <w:rPr>
          <w:rFonts w:ascii="Arial" w:cs="Arial" w:eastAsia="Arial" w:hAnsi="Arial"/>
          <w:b/>
          <w:bCs/>
          <w:color w:val="7C3AED"/>
          <w:sz w:val="26"/>
          <w:szCs w:val="26"/>
        </w:rPr>
        <w:t xml:space="preserve">6.2 Block Explorer Endpoints</w:t>
      </w:r>
    </w:p>
    <w:p>
      <w:pPr>
        <w:spacing w:after="120" w:line="276"/>
      </w:pPr>
      <w:r>
        <w:rPr>
          <w:rFonts w:ascii="Arial" w:cs="Arial" w:eastAsia="Arial" w:hAnsi="Arial"/>
          <w:color w:val="4B5563"/>
          <w:sz w:val="20"/>
          <w:szCs w:val="20"/>
        </w:rPr>
        <w:t xml:space="preserve">Purpose-built compound endpoints that return exactly what each Prism page needs in a single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660"/>
      </w:tblGrid>
      <w:tr>
        <w:trPr>
          <w:tblHeader/>
        </w:trPr>
        <w:tc>
          <w:tcPr>
            <w:tcW w:type="dxa" w:w="35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Endpoint</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Returns</w:t>
            </w:r>
          </w:p>
        </w:tc>
        <w:tc>
          <w:tcPr>
            <w:tcW w:type="dxa" w:w="26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Serves Page</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/silver/explorer/account?account_id={id}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Account state + 10 recent ops + 10 recent transfers</w:t>
            </w:r>
          </w:p>
        </w:tc>
        <w:tc>
          <w:tcPr>
            <w:tcW w:type="dxa" w:w="26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Account Portfolio</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/silver/explorer/transaction?tx_hash={hash}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Full tx details with all operations</w:t>
            </w:r>
          </w:p>
        </w:tc>
        <w:tc>
          <w:tcPr>
            <w:tcW w:type="dxa" w:w="26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Transaction Receipt</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/silver/explorer/asset?code={c}&amp;issuer={i}</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Asset stats and recent transfers</w:t>
            </w:r>
          </w:p>
        </w:tc>
        <w:tc>
          <w:tcPr>
            <w:tcW w:type="dxa" w:w="26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Asset Directory</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/silver/tx/{hash}/call-graph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Full contract call tree for a transaction</w:t>
            </w:r>
          </w:p>
        </w:tc>
        <w:tc>
          <w:tcPr>
            <w:tcW w:type="dxa" w:w="26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Transaction Receipt (call graph)</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/silver/contracts/top?period=24h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Most active contracts by invocation count</w:t>
            </w:r>
          </w:p>
        </w:tc>
        <w:tc>
          <w:tcPr>
            <w:tcW w:type="dxa" w:w="26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Network Health</w:t>
            </w:r>
          </w:p>
        </w:tc>
      </w:tr>
    </w:tbl>
    <w:p>
      <w:pPr>
        <w:spacing w:after="120" w:line="276"/>
      </w:pPr>
      <w:r>
        <w:rPr>
          <w:rFonts w:ascii="Arial" w:cs="Arial" w:eastAsia="Arial" w:hAnsi="Arial"/>
          <w:color w:val="4B5563"/>
          <w:sz w:val="20"/>
          <w:szCs w:val="20"/>
        </w:rPr>
        <w:t xml:space="preserve"/>
      </w:r>
    </w:p>
    <w:p>
      <w:pPr>
        <w:pStyle w:val="Heading2"/>
        <w:spacing w:before="280" w:after="160"/>
      </w:pPr>
      <w:r>
        <w:rPr>
          <w:rFonts w:ascii="Arial" w:cs="Arial" w:eastAsia="Arial" w:hAnsi="Arial"/>
          <w:b/>
          <w:bCs/>
          <w:color w:val="7C3AED"/>
          <w:sz w:val="26"/>
          <w:szCs w:val="26"/>
        </w:rPr>
        <w:t xml:space="preserve">6.3 Horizon API Compatibility</w:t>
      </w:r>
    </w:p>
    <w:p>
      <w:pPr>
        <w:spacing w:after="120" w:line="276"/>
      </w:pPr>
      <w:r>
        <w:rPr>
          <w:rFonts w:ascii="Arial" w:cs="Arial" w:eastAsia="Arial" w:hAnsi="Arial"/>
          <w:color w:val="4B5563"/>
          <w:sz w:val="20"/>
          <w:szCs w:val="20"/>
        </w:rPr>
        <w:t xml:space="preserve">Every Horizon endpoint has an Obsrvr Lake equivalent, ensuring Prism can serve as a drop-in replacement for existing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Horizon</w:t>
            </w:r>
          </w:p>
        </w:tc>
        <w:tc>
          <w:tcPr>
            <w:tcW w:type="dxa" w:w="5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Obsrvr Lake Equivalent</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/accounts/{id}</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/silver/accounts/current?account_id={id}</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/accounts/{id}/operations</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/silver/operations/enriched?account_id={id}</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/transactions/{hash}</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/transactions/{hash}  (Index Plane)</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/ledgers/{seq}</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/bronze/ledgers?sequence={seq}</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GET /accounts?asset=CODE:ISSUER</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/silver/assets/CODE:ISSUER/holders</w:t>
            </w:r>
          </w:p>
        </w:tc>
      </w:tr>
    </w:tbl>
    <w:p>
      <w:r>
        <w:br w:type="page"/>
      </w:r>
    </w:p>
    <w:p>
      <w:pPr>
        <w:pStyle w:val="Heading1"/>
        <w:spacing w:before="360" w:after="200"/>
      </w:pPr>
      <w:r>
        <w:rPr>
          <w:rFonts w:ascii="Arial" w:cs="Arial" w:eastAsia="Arial" w:hAnsi="Arial"/>
          <w:b/>
          <w:bCs/>
          <w:color w:val="1F2937"/>
          <w:sz w:val="32"/>
          <w:szCs w:val="32"/>
        </w:rPr>
        <w:t xml:space="preserve">7. Page-by-Page Backend Mapping</w:t>
      </w:r>
    </w:p>
    <w:p>
      <w:pPr>
        <w:spacing w:after="120" w:line="276"/>
      </w:pPr>
      <w:r>
        <w:rPr>
          <w:rFonts w:ascii="Arial" w:cs="Arial" w:eastAsia="Arial" w:hAnsi="Arial"/>
          <w:color w:val="4B5563"/>
          <w:sz w:val="20"/>
          <w:szCs w:val="20"/>
        </w:rPr>
        <w:t xml:space="preserve">This section maps each Prism UI page to the specific backend tables, endpoints, and capabilities that power it. This demonstrates that every feature shown in the mockups is backed by production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Prism Page</w:t>
            </w:r>
          </w:p>
        </w:tc>
        <w:tc>
          <w:tcPr>
            <w:tcW w:type="dxa" w:w="2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Backend Tables</w:t>
            </w:r>
          </w:p>
        </w:tc>
        <w:tc>
          <w:tcPr>
            <w:tcW w:type="dxa" w:w="2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API Endpoints</w:t>
            </w:r>
          </w:p>
        </w:tc>
        <w:tc>
          <w:tcPr>
            <w:tcW w:type="dxa" w:w="27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Features Demonstrated</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Transaction Receipt</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enriched_history_operations_soroban, contract_invocations_raw, contract_events_stream_v1, token_transfers_raw</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/silver/explorer/transaction, /silver/tx/{hash}/call-graph</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Human-readable summary, dual display, call graph visualization, CAP-67 events, net balance changes, Soroban state diffs</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Account Portfolio</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accounts_current, trustlines_current, token_transfers_raw, native_balances_current, offers_current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/silver/explorer/account, /silver/accounts/{id}/balances</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Unified balances (Native + Classic + SEP-41 + LP), activity feed, signer/threshold visualization, contract interactions</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Ledger Detail</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ledgers_row_v2, transactions_row_v2, operations_row_v2, contract_events_stream_v1</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/bronze/ledgers?sequence={seq}, /silver/operations/enriched?ledger={seq}</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Per-ledger Soroban runtime stats, operation type breakdown, human-readable tx table, fee distribution</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 Detail</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contract_invocations_raw, contract_data_current, contract_code_current, ttl_current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/silver/contracts/{id}/analytics, /silver/soroban/contract-data</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Invocation sparkline, top functions table, storage entries with TTL health, verified source preview</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Events Firehose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contract_events_stream_v1, contract_invocations_raw</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WebSocket /events/stream + /api/v1/index/contracts/{id}/events</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Real-time CAP-67 streaming, filter by contract/function/topic, decoded event arguments</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Network Health</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ledgers_row_v2, config_settings_current, trades, contract_invocations_raw</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/bronze/ledgers (aggregated), /silver/contracts/top</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Ledger timing, TPS metrics, Soroban adoption %, protocol upgrade tracking</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Asset Directory</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trustlines_current, token_transfers_raw, liquidity_pools_current, contract_code_current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/silver/explorer/asset, /silver/assets/{code}:{issuer}/stats</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Unified Classic + SEP-41 + SAC token list, holder counts, supply, DEX liquidity, SEP-39 metadata</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State &amp; Rent</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contract_data_current, ttl_current, evicted_keys, restored_keys, config_settings_current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/silver/soroban/contract-data, /silver/soroban/ttl</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TTL monitoring, rent cost projection, state archival alerts, eviction/restore history</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Smart Account</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accounts_current, contract_data_current, contract_invocations_raw</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/silver/explorer/account + /silver/soroban/contract-data</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OZ v0.5.0 session keys, spending policies, smart signer visualization, authentication methods</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NFT Gallery</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contract_data_current, contract_events_stream_v1, token_transfers_raw</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/silver/soroban/contract-data?contract_id={nft}</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Soroban NFT metadata rendering, ownership history, collection browsing</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Search</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Index Plane (all tables)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/transactions/{hash}, /api/v1/index/* endpoints</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Type detection (G.../C.../hex/number), fuzzy name search, disambiguation, sub-100ms resolution</w:t>
            </w:r>
          </w:p>
        </w:tc>
      </w:tr>
    </w:tbl>
    <w:p>
      <w:r>
        <w:br w:type="page"/>
      </w:r>
    </w:p>
    <w:p>
      <w:pPr>
        <w:pStyle w:val="Heading1"/>
        <w:spacing w:before="360" w:after="200"/>
      </w:pPr>
      <w:r>
        <w:rPr>
          <w:rFonts w:ascii="Arial" w:cs="Arial" w:eastAsia="Arial" w:hAnsi="Arial"/>
          <w:b/>
          <w:bCs/>
          <w:color w:val="1F2937"/>
          <w:sz w:val="32"/>
          <w:szCs w:val="32"/>
        </w:rPr>
        <w:t xml:space="preserve">8. Pipeline Architecture</w:t>
      </w:r>
    </w:p>
    <w:p>
      <w:pPr>
        <w:pStyle w:val="Heading2"/>
        <w:spacing w:before="280" w:after="160"/>
      </w:pPr>
      <w:r>
        <w:rPr>
          <w:rFonts w:ascii="Arial" w:cs="Arial" w:eastAsia="Arial" w:hAnsi="Arial"/>
          <w:b/>
          <w:bCs/>
          <w:color w:val="7C3AED"/>
          <w:sz w:val="26"/>
          <w:szCs w:val="26"/>
        </w:rPr>
        <w:t xml:space="preserve">8.1 Component Model</w:t>
      </w:r>
    </w:p>
    <w:p>
      <w:pPr>
        <w:spacing w:after="120" w:line="276"/>
      </w:pPr>
      <w:r>
        <w:rPr>
          <w:rFonts w:ascii="Arial" w:cs="Arial" w:eastAsia="Arial" w:hAnsi="Arial"/>
          <w:color w:val="4B5563"/>
          <w:sz w:val="20"/>
          <w:szCs w:val="20"/>
        </w:rPr>
        <w:t xml:space="preserve">The data pipeline follows a Sources → Processors → Consumers architecture, configured via YAML and orchestrated by flowctl. Each component has a single responsibility and communicates via gRPC or in-process channels.</w:t>
      </w:r>
    </w:p>
    <w:p>
      <w:pPr>
        <w:spacing w:before="200" w:after="100"/>
      </w:pPr>
      <w:r>
        <w:rPr>
          <w:rFonts w:ascii="Arial" w:cs="Arial" w:eastAsia="Arial" w:hAnsi="Arial"/>
          <w:b/>
          <w:bCs/>
          <w:color w:val="1F2937"/>
          <w:sz w:val="22"/>
          <w:szCs w:val="22"/>
        </w:rPr>
        <w:t xml:space="preserve">Sources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Source</w:t>
            </w:r>
          </w:p>
        </w:tc>
        <w:tc>
          <w:tcPr>
            <w:tcW w:type="dxa" w:w="2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Technology</w:t>
            </w:r>
          </w:p>
        </w:tc>
        <w:tc>
          <w:tcPr>
            <w:tcW w:type="dxa" w:w="41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Use Case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stellar-live-source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Go, connects to Stellar RPC</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Real-time streaming of new ledgers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stellar-datalake-source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Go, reads GCS/S3/filesystem</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Historical backfill from data lake archives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captive-core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Go, embedded Stellar Core</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Independent ledger replay without RPC dependency</w:t>
            </w:r>
          </w:p>
        </w:tc>
      </w:tr>
    </w:tbl>
    <w:p>
      <w:pPr>
        <w:spacing w:after="120" w:line="276"/>
      </w:pPr>
      <w:r>
        <w:rPr>
          <w:rFonts w:ascii="Arial" w:cs="Arial" w:eastAsia="Arial" w:hAnsi="Arial"/>
          <w:color w:val="4B5563"/>
          <w:sz w:val="20"/>
          <w:szCs w:val="20"/>
        </w:rPr>
        <w:t xml:space="preserve"/>
      </w:r>
    </w:p>
    <w:p>
      <w:pPr>
        <w:spacing w:before="200" w:after="100"/>
      </w:pPr>
      <w:r>
        <w:rPr>
          <w:rFonts w:ascii="Arial" w:cs="Arial" w:eastAsia="Arial" w:hAnsi="Arial"/>
          <w:b/>
          <w:bCs/>
          <w:color w:val="1F2937"/>
          <w:sz w:val="22"/>
          <w:szCs w:val="22"/>
        </w:rPr>
        <w:t xml:space="preserve">Key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Processor</w:t>
            </w:r>
          </w:p>
        </w:tc>
        <w:tc>
          <w:tcPr>
            <w:tcW w:type="dxa" w:w="18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Input</w:t>
            </w:r>
          </w:p>
        </w:tc>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Output</w:t>
            </w:r>
          </w:p>
        </w:tc>
        <w:tc>
          <w:tcPr>
            <w:tcW w:type="dxa" w:w="31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Key Capability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ContractInvocationProcessor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Raw transaction XDR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contract_invocations_raw</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&gt;95% function extraction, full argument decoding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TokenTransferProcessor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Operations + events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token_transfers_raw</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Unified Classic/Soroban/Native transfers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ContractInvocationExtractor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Filtered invocations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Extracted canonical data</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Schema-based field extraction with TOID generation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ScVal Converter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Raw XDR ScVal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JSON with type info</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All Soroban types including u256, nested maps/vecs</w:t>
            </w:r>
          </w:p>
        </w:tc>
      </w:tr>
    </w:tbl>
    <w:p>
      <w:pPr>
        <w:spacing w:after="120" w:line="276"/>
      </w:pPr>
      <w:r>
        <w:rPr>
          <w:rFonts w:ascii="Arial" w:cs="Arial" w:eastAsia="Arial" w:hAnsi="Arial"/>
          <w:color w:val="4B5563"/>
          <w:sz w:val="20"/>
          <w:szCs w:val="20"/>
        </w:rPr>
        <w:t xml:space="preserve"/>
      </w:r>
    </w:p>
    <w:p>
      <w:pPr>
        <w:pStyle w:val="Heading2"/>
        <w:spacing w:before="280" w:after="160"/>
      </w:pPr>
      <w:r>
        <w:rPr>
          <w:rFonts w:ascii="Arial" w:cs="Arial" w:eastAsia="Arial" w:hAnsi="Arial"/>
          <w:b/>
          <w:bCs/>
          <w:color w:val="7C3AED"/>
          <w:sz w:val="26"/>
          <w:szCs w:val="26"/>
        </w:rPr>
        <w:t xml:space="preserve">8.2 YAML Pipeline Configuration</w:t>
      </w:r>
    </w:p>
    <w:p>
      <w:pPr>
        <w:spacing w:after="120" w:line="276"/>
      </w:pPr>
      <w:r>
        <w:rPr>
          <w:rFonts w:ascii="Arial" w:cs="Arial" w:eastAsia="Arial" w:hAnsi="Arial"/>
          <w:color w:val="4B5563"/>
          <w:sz w:val="20"/>
          <w:szCs w:val="20"/>
        </w:rPr>
        <w:t xml:space="preserve">Pipelines are declaratively configured, making them reproducible and version-controlled:</w:t>
      </w:r>
    </w:p>
    <w:p>
      <w:pPr>
        <w:spacing w:after="80" w:line="260"/>
        <w:ind w:left="360"/>
      </w:pPr>
      <w:r>
        <w:rPr>
          <w:rFonts w:ascii="Courier New" w:cs="Courier New" w:eastAsia="Courier New" w:hAnsi="Courier New"/>
          <w:color w:val="4B5563"/>
          <w:sz w:val="18"/>
          <w:szCs w:val="18"/>
        </w:rPr>
        <w:t xml:space="preserve">apiVersion: pipeline.flowctl.io/v1</w:t>
      </w:r>
    </w:p>
    <w:p>
      <w:pPr>
        <w:spacing w:after="80" w:line="260"/>
        <w:ind w:left="360"/>
      </w:pPr>
      <w:r>
        <w:rPr>
          <w:rFonts w:ascii="Courier New" w:cs="Courier New" w:eastAsia="Courier New" w:hAnsi="Courier New"/>
          <w:color w:val="4B5563"/>
          <w:sz w:val="18"/>
          <w:szCs w:val="18"/>
        </w:rPr>
        <w:t xml:space="preserve">kind: Pipeline</w:t>
      </w:r>
    </w:p>
    <w:p>
      <w:pPr>
        <w:spacing w:after="80" w:line="260"/>
        <w:ind w:left="360"/>
      </w:pPr>
      <w:r>
        <w:rPr>
          <w:rFonts w:ascii="Courier New" w:cs="Courier New" w:eastAsia="Courier New" w:hAnsi="Courier New"/>
          <w:color w:val="4B5563"/>
          <w:sz w:val="18"/>
          <w:szCs w:val="18"/>
        </w:rPr>
        <w:t xml:space="preserve">metadata:</w:t>
      </w:r>
    </w:p>
    <w:p>
      <w:pPr>
        <w:spacing w:after="80" w:line="260"/>
        <w:ind w:left="360"/>
      </w:pPr>
      <w:r>
        <w:rPr>
          <w:rFonts w:ascii="Courier New" w:cs="Courier New" w:eastAsia="Courier New" w:hAnsi="Courier New"/>
          <w:color w:val="4B5563"/>
          <w:sz w:val="18"/>
          <w:szCs w:val="18"/>
        </w:rPr>
        <w:t xml:space="preserve">  name: prism-explorer-pipeline</w:t>
      </w:r>
    </w:p>
    <w:p>
      <w:pPr>
        <w:spacing w:after="80" w:line="260"/>
        <w:ind w:left="360"/>
      </w:pPr>
      <w:r>
        <w:rPr>
          <w:rFonts w:ascii="Courier New" w:cs="Courier New" w:eastAsia="Courier New" w:hAnsi="Courier New"/>
          <w:color w:val="4B5563"/>
          <w:sz w:val="18"/>
          <w:szCs w:val="18"/>
        </w:rPr>
        <w:t xml:space="preserve">spec:</w:t>
      </w:r>
    </w:p>
    <w:p>
      <w:pPr>
        <w:spacing w:after="80" w:line="260"/>
        <w:ind w:left="360"/>
      </w:pPr>
      <w:r>
        <w:rPr>
          <w:rFonts w:ascii="Courier New" w:cs="Courier New" w:eastAsia="Courier New" w:hAnsi="Courier New"/>
          <w:color w:val="4B5563"/>
          <w:sz w:val="18"/>
          <w:szCs w:val="18"/>
        </w:rPr>
        <w:t xml:space="preserve">  sources:</w:t>
      </w:r>
    </w:p>
    <w:p>
      <w:pPr>
        <w:spacing w:after="80" w:line="260"/>
        <w:ind w:left="360"/>
      </w:pPr>
      <w:r>
        <w:rPr>
          <w:rFonts w:ascii="Courier New" w:cs="Courier New" w:eastAsia="Courier New" w:hAnsi="Courier New"/>
          <w:color w:val="4B5563"/>
          <w:sz w:val="18"/>
          <w:szCs w:val="18"/>
        </w:rPr>
        <w:t xml:space="preserve">    - id: stellar-live-source</w:t>
      </w:r>
    </w:p>
    <w:p>
      <w:pPr>
        <w:spacing w:after="80" w:line="260"/>
        <w:ind w:left="360"/>
      </w:pPr>
      <w:r>
        <w:rPr>
          <w:rFonts w:ascii="Courier New" w:cs="Courier New" w:eastAsia="Courier New" w:hAnsi="Courier New"/>
          <w:color w:val="4B5563"/>
          <w:sz w:val="18"/>
          <w:szCs w:val="18"/>
        </w:rPr>
        <w:t xml:space="preserve">      image: withobsrvr/stellar-live-source:latest</w:t>
      </w:r>
    </w:p>
    <w:p>
      <w:pPr>
        <w:spacing w:after="80" w:line="260"/>
        <w:ind w:left="360"/>
      </w:pPr>
      <w:r>
        <w:rPr>
          <w:rFonts w:ascii="Courier New" w:cs="Courier New" w:eastAsia="Courier New" w:hAnsi="Courier New"/>
          <w:color w:val="4B5563"/>
          <w:sz w:val="18"/>
          <w:szCs w:val="18"/>
        </w:rPr>
        <w:t xml:space="preserve">  processors:</w:t>
      </w:r>
    </w:p>
    <w:p>
      <w:pPr>
        <w:spacing w:after="80" w:line="260"/>
        <w:ind w:left="360"/>
      </w:pPr>
      <w:r>
        <w:rPr>
          <w:rFonts w:ascii="Courier New" w:cs="Courier New" w:eastAsia="Courier New" w:hAnsi="Courier New"/>
          <w:color w:val="4B5563"/>
          <w:sz w:val="18"/>
          <w:szCs w:val="18"/>
        </w:rPr>
        <w:t xml:space="preserve">    - id: contract-invocation-processor</w:t>
      </w:r>
    </w:p>
    <w:p>
      <w:pPr>
        <w:spacing w:after="80" w:line="260"/>
        <w:ind w:left="360"/>
      </w:pPr>
      <w:r>
        <w:rPr>
          <w:rFonts w:ascii="Courier New" w:cs="Courier New" w:eastAsia="Courier New" w:hAnsi="Courier New"/>
          <w:color w:val="4B5563"/>
          <w:sz w:val="18"/>
          <w:szCs w:val="18"/>
        </w:rPr>
        <w:t xml:space="preserve">      inputs: [stellar-live-source]</w:t>
      </w:r>
    </w:p>
    <w:p>
      <w:pPr>
        <w:spacing w:after="80" w:line="260"/>
        <w:ind w:left="360"/>
      </w:pPr>
      <w:r>
        <w:rPr>
          <w:rFonts w:ascii="Courier New" w:cs="Courier New" w:eastAsia="Courier New" w:hAnsi="Courier New"/>
          <w:color w:val="4B5563"/>
          <w:sz w:val="18"/>
          <w:szCs w:val="18"/>
        </w:rPr>
        <w:t xml:space="preserve">  sinks:</w:t>
      </w:r>
    </w:p>
    <w:p>
      <w:pPr>
        <w:spacing w:after="80" w:line="260"/>
        <w:ind w:left="360"/>
      </w:pPr>
      <w:r>
        <w:rPr>
          <w:rFonts w:ascii="Courier New" w:cs="Courier New" w:eastAsia="Courier New" w:hAnsi="Courier New"/>
          <w:color w:val="4B5563"/>
          <w:sz w:val="18"/>
          <w:szCs w:val="18"/>
        </w:rPr>
        <w:t xml:space="preserve">    - id: postgres-hot-storage</w:t>
      </w:r>
    </w:p>
    <w:p>
      <w:pPr>
        <w:spacing w:after="80" w:line="260"/>
        <w:ind w:left="360"/>
      </w:pPr>
      <w:r>
        <w:rPr>
          <w:rFonts w:ascii="Courier New" w:cs="Courier New" w:eastAsia="Courier New" w:hAnsi="Courier New"/>
          <w:color w:val="4B5563"/>
          <w:sz w:val="18"/>
          <w:szCs w:val="18"/>
        </w:rPr>
        <w:t xml:space="preserve">    - id: parquet-cold-archive</w:t>
      </w:r>
    </w:p>
    <w:p>
      <w:r>
        <w:br w:type="page"/>
      </w:r>
    </w:p>
    <w:p>
      <w:pPr>
        <w:pStyle w:val="Heading1"/>
        <w:spacing w:before="360" w:after="200"/>
      </w:pPr>
      <w:r>
        <w:rPr>
          <w:rFonts w:ascii="Arial" w:cs="Arial" w:eastAsia="Arial" w:hAnsi="Arial"/>
          <w:b/>
          <w:bCs/>
          <w:color w:val="1F2937"/>
          <w:sz w:val="32"/>
          <w:szCs w:val="32"/>
        </w:rPr>
        <w:t xml:space="preserve">9. Competitive Differentiation</w:t>
      </w:r>
    </w:p>
    <w:p>
      <w:pPr>
        <w:spacing w:after="120" w:line="276"/>
      </w:pPr>
      <w:r>
        <w:rPr>
          <w:rFonts w:ascii="Arial" w:cs="Arial" w:eastAsia="Arial" w:hAnsi="Arial"/>
          <w:color w:val="4B5563"/>
          <w:sz w:val="20"/>
          <w:szCs w:val="20"/>
        </w:rPr>
        <w:t xml:space="preserve">Prism’s architecture provides capabilities that no existing Stellar explorer or generic blockchain data platform can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Capability</w:t>
            </w:r>
          </w:p>
        </w:tc>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Prism (Obsrvr)</w:t>
            </w:r>
          </w:p>
        </w:tc>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Stellar.expert</w:t>
            </w:r>
          </w:p>
        </w:tc>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Hubble (SDF)</w:t>
            </w:r>
          </w:p>
        </w:tc>
        <w:tc>
          <w:tcPr>
            <w:tcW w:type="dxa" w:w="2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Generic (Dune, etc.)</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Real-time data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Seconds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Minutes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30–60 min</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Minutes–hours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Soroban call graphs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Full recursive tree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Function name extraction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&gt;95%</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Limited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Limited</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CAP-67 event streaming</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Real-time WebSocket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Human-readable tx</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Natural language + dual display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Basic labels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SEP-41 + Classic unified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Yes, with dual badges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Partial</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Smart Account (OZ v0.5.0)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Full dashboard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State &amp; Rent tracking</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TTL monitoring + cost projection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Self-hosted option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Yes (flowctl)</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 (BigQuery only)</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Direct SQL access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Yes (empowered client)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Yes (BigQuery)</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Yes</w:t>
            </w:r>
          </w:p>
        </w:tc>
      </w:tr>
    </w:tbl>
    <w:p>
      <w:r>
        <w:br w:type="page"/>
      </w:r>
    </w:p>
    <w:p>
      <w:pPr>
        <w:pStyle w:val="Heading1"/>
        <w:spacing w:before="360" w:after="200"/>
      </w:pPr>
      <w:r>
        <w:rPr>
          <w:rFonts w:ascii="Arial" w:cs="Arial" w:eastAsia="Arial" w:hAnsi="Arial"/>
          <w:b/>
          <w:bCs/>
          <w:color w:val="1F2937"/>
          <w:sz w:val="32"/>
          <w:szCs w:val="32"/>
        </w:rPr>
        <w:t xml:space="preserve">10. Deployment &amp; Operations</w:t>
      </w:r>
    </w:p>
    <w:p>
      <w:pPr>
        <w:pStyle w:val="Heading2"/>
        <w:spacing w:before="280" w:after="160"/>
      </w:pPr>
      <w:r>
        <w:rPr>
          <w:rFonts w:ascii="Arial" w:cs="Arial" w:eastAsia="Arial" w:hAnsi="Arial"/>
          <w:b/>
          <w:bCs/>
          <w:color w:val="7C3AED"/>
          <w:sz w:val="26"/>
          <w:szCs w:val="26"/>
        </w:rPr>
        <w:t xml:space="preserve">10.1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Component</w:t>
            </w:r>
          </w:p>
        </w:tc>
        <w:tc>
          <w:tcPr>
            <w:tcW w:type="dxa" w:w="40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Technology</w:t>
            </w:r>
          </w:p>
        </w:tc>
        <w:tc>
          <w:tcPr>
            <w:tcW w:type="dxa" w:w="33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tcPr>
          <w:p>
            <w:r>
              <w:rPr>
                <w:rFonts w:ascii="Arial" w:cs="Arial" w:eastAsia="Arial" w:hAnsi="Arial"/>
                <w:b/>
                <w:bCs/>
                <w:color w:val="7C3AED"/>
                <w:sz w:val="18"/>
                <w:szCs w:val="18"/>
              </w:rPr>
              <w:t xml:space="preserve">Provider</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Compute</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HashiCorp Nomad (job orchestration)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DigitalOcean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Hot Database</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PostgreSQL (Neon)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Neon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Cold Storage</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Parquet on object storage (DuckLake)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Backblaze B2</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Secrets</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HashiCorp Vault</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Self-hosted</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Web Application</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Django console + API</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DigitalOcean App Platform</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Frontend</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Static HTML/JS (Prism UI)</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CDN</w:t>
            </w:r>
          </w:p>
        </w:tc>
      </w:tr>
    </w:tbl>
    <w:p>
      <w:pPr>
        <w:spacing w:after="120" w:line="276"/>
      </w:pPr>
      <w:r>
        <w:rPr>
          <w:rFonts w:ascii="Arial" w:cs="Arial" w:eastAsia="Arial" w:hAnsi="Arial"/>
          <w:color w:val="4B5563"/>
          <w:sz w:val="20"/>
          <w:szCs w:val="20"/>
        </w:rPr>
        <w:t xml:space="preserve"/>
      </w:r>
    </w:p>
    <w:p>
      <w:pPr>
        <w:pStyle w:val="Heading2"/>
        <w:spacing w:before="280" w:after="160"/>
      </w:pPr>
      <w:r>
        <w:rPr>
          <w:rFonts w:ascii="Arial" w:cs="Arial" w:eastAsia="Arial" w:hAnsi="Arial"/>
          <w:b/>
          <w:bCs/>
          <w:color w:val="7C3AED"/>
          <w:sz w:val="26"/>
          <w:szCs w:val="26"/>
        </w:rPr>
        <w:t xml:space="preserve">10.2 Monitoring &amp; SLAs</w:t>
      </w:r>
    </w:p>
    <w:p>
      <w:pPr>
        <w:pStyle w:val="ListParagraph"/>
        <w:numPr>
          <w:ilvl w:val="0"/>
          <w:numId w:val="2"/>
        </w:numPr>
        <w:spacing w:after="80" w:line="276"/>
      </w:pPr>
      <w:r>
        <w:rPr>
          <w:rFonts w:ascii="Arial" w:cs="Arial" w:eastAsia="Arial" w:hAnsi="Arial"/>
          <w:color w:val="4B5563"/>
          <w:sz w:val="20"/>
          <w:szCs w:val="20"/>
        </w:rPr>
        <w:t xml:space="preserve">Index Plane: &lt;100ms p99 latency target</w:t>
      </w:r>
    </w:p>
    <w:p>
      <w:pPr>
        <w:pStyle w:val="ListParagraph"/>
        <w:numPr>
          <w:ilvl w:val="0"/>
          <w:numId w:val="2"/>
        </w:numPr>
        <w:spacing w:after="80" w:line="276"/>
      </w:pPr>
      <w:r>
        <w:rPr>
          <w:rFonts w:ascii="Arial" w:cs="Arial" w:eastAsia="Arial" w:hAnsi="Arial"/>
          <w:color w:val="4B5563"/>
          <w:sz w:val="20"/>
          <w:szCs w:val="20"/>
        </w:rPr>
        <w:t xml:space="preserve">Hot storage: &lt;50ms p99 for recent queries</w:t>
      </w:r>
    </w:p>
    <w:p>
      <w:pPr>
        <w:pStyle w:val="ListParagraph"/>
        <w:numPr>
          <w:ilvl w:val="0"/>
          <w:numId w:val="2"/>
        </w:numPr>
        <w:spacing w:after="80" w:line="276"/>
      </w:pPr>
      <w:r>
        <w:rPr>
          <w:rFonts w:ascii="Arial" w:cs="Arial" w:eastAsia="Arial" w:hAnsi="Arial"/>
          <w:color w:val="4B5563"/>
          <w:sz w:val="20"/>
          <w:szCs w:val="20"/>
        </w:rPr>
        <w:t xml:space="preserve">Pipeline: &lt;5 second ingestion lag from ledger close to queryable data</w:t>
      </w:r>
    </w:p>
    <w:p>
      <w:pPr>
        <w:pStyle w:val="ListParagraph"/>
        <w:numPr>
          <w:ilvl w:val="0"/>
          <w:numId w:val="2"/>
        </w:numPr>
        <w:spacing w:after="80" w:line="276"/>
      </w:pPr>
      <w:r>
        <w:rPr>
          <w:rFonts w:ascii="Arial" w:cs="Arial" w:eastAsia="Arial" w:hAnsi="Arial"/>
          <w:color w:val="4B5563"/>
          <w:sz w:val="20"/>
          <w:szCs w:val="20"/>
        </w:rPr>
        <w:t xml:space="preserve">Function extraction: &gt;95% coverage, &lt;1% parsing failure rate</w:t>
      </w:r>
    </w:p>
    <w:p>
      <w:pPr>
        <w:pStyle w:val="ListParagraph"/>
        <w:numPr>
          <w:ilvl w:val="0"/>
          <w:numId w:val="2"/>
        </w:numPr>
        <w:spacing w:after="80" w:line="276"/>
      </w:pPr>
      <w:r>
        <w:rPr>
          <w:rFonts w:ascii="Arial" w:cs="Arial" w:eastAsia="Arial" w:hAnsi="Arial"/>
          <w:color w:val="4B5563"/>
          <w:sz w:val="20"/>
          <w:szCs w:val="20"/>
        </w:rPr>
        <w:t xml:space="preserve">Uptime target: 99.9% for API serving layer</w:t>
      </w:r>
    </w:p>
    <w:p>
      <w:r>
        <w:br w:type="page"/>
      </w:r>
    </w:p>
    <w:p>
      <w:pPr>
        <w:pStyle w:val="Heading1"/>
        <w:spacing w:before="360" w:after="200"/>
      </w:pPr>
      <w:r>
        <w:rPr>
          <w:rFonts w:ascii="Arial" w:cs="Arial" w:eastAsia="Arial" w:hAnsi="Arial"/>
          <w:b/>
          <w:bCs/>
          <w:color w:val="1F2937"/>
          <w:sz w:val="32"/>
          <w:szCs w:val="32"/>
        </w:rPr>
        <w:t xml:space="preserve">11. Conclusion</w:t>
      </w:r>
    </w:p>
    <w:p>
      <w:pPr>
        <w:spacing w:after="120" w:line="276"/>
      </w:pPr>
      <w:r>
        <w:rPr>
          <w:rFonts w:ascii="Arial" w:cs="Arial" w:eastAsia="Arial" w:hAnsi="Arial"/>
          <w:color w:val="4B5563"/>
          <w:sz w:val="20"/>
          <w:szCs w:val="20"/>
        </w:rPr>
        <w:t xml:space="preserve">Prism is not a wrapper around existing tools — it is a vertically integrated explorer built on Obsrvr’s purpose-built Stellar data infrastructure. Every capability shown in the 11 UI mockups is backed by production-deployed pipeline components, documented API endpoints, and battle-tested storage architecture.</w:t>
      </w:r>
    </w:p>
    <w:p>
      <w:pPr>
        <w:spacing w:after="120" w:line="276"/>
      </w:pPr>
      <w:r>
        <w:rPr>
          <w:rFonts w:ascii="Arial" w:cs="Arial" w:eastAsia="Arial" w:hAnsi="Arial"/>
          <w:color w:val="4B5563"/>
          <w:sz w:val="20"/>
          <w:szCs w:val="20"/>
        </w:rPr>
        <w:t xml:space="preserve">The combination of &gt;95% Soroban function extraction, real-time CAP-67 event streaming, transparent hot/cold merging, and sub-100ms index lookups creates an explorer experience that is qualitatively different from anything available today in the Stellar ecosystem.</w:t>
      </w:r>
    </w:p>
    <w:p>
      <w:pPr>
        <w:spacing w:after="120" w:line="276"/>
      </w:pPr>
      <w:r>
        <w:rPr>
          <w:rFonts w:ascii="Arial" w:cs="Arial" w:eastAsia="Arial" w:hAnsi="Arial"/>
          <w:color w:val="4B5563"/>
          <w:sz w:val="20"/>
          <w:szCs w:val="20"/>
        </w:rPr>
        <w:t xml:space="preserve">We believe Prism represents the natural evolution of block exploration: from raw data dumps to intelligent, human-readable interfaces that make the full power of Stellar and Soroban accessible to developers, compliance professionals, and everyday users alike.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Prism Technical Architecture  •  Obsrvr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2026-03-02T19:14:43.121Z</dcterms:created>
  <dcterms:modified xsi:type="dcterms:W3CDTF">2026-03-02T19:14:43.121Z</dcterms:modified>
</cp:coreProperties>
</file>

<file path=docProps/custom.xml><?xml version="1.0" encoding="utf-8"?>
<Properties xmlns="http://schemas.openxmlformats.org/officeDocument/2006/custom-properties" xmlns:vt="http://schemas.openxmlformats.org/officeDocument/2006/docPropsVTypes"/>
</file>