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3BD" w:rsidRDefault="00660C89">
      <w:r>
        <w:t>Footnote reference to journal.</w:t>
      </w:r>
      <w:r>
        <w:rPr>
          <w:rStyle w:val="FootnoteReference"/>
        </w:rPr>
        <w:footnoteReference w:id="2"/>
      </w:r>
    </w:p>
    <w:p w:rsidR="00660C89" w:rsidRDefault="00660C89">
      <w:r>
        <w:t>Footnote reference to single book.</w:t>
      </w:r>
      <w:r>
        <w:rPr>
          <w:rStyle w:val="FootnoteReference"/>
        </w:rPr>
        <w:footnoteReference w:id="3"/>
      </w:r>
    </w:p>
    <w:p w:rsidR="00660C89" w:rsidRDefault="00660C89">
      <w:r>
        <w:t>Footnote reference to multiple books.</w:t>
      </w:r>
      <w:r>
        <w:rPr>
          <w:rStyle w:val="FootnoteReference"/>
        </w:rPr>
        <w:footnoteReference w:id="4"/>
      </w:r>
    </w:p>
    <w:sectPr w:rsidR="00660C89" w:rsidSect="000123B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8B1" w:rsidRDefault="008028B1" w:rsidP="00660C89">
      <w:pPr>
        <w:spacing w:after="0" w:line="240" w:lineRule="auto"/>
      </w:pPr>
      <w:r>
        <w:separator/>
      </w:r>
    </w:p>
  </w:endnote>
  <w:endnote w:type="continuationSeparator" w:id="1">
    <w:p w:rsidR="008028B1" w:rsidRDefault="008028B1" w:rsidP="00660C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8B1" w:rsidRDefault="008028B1" w:rsidP="00660C89">
      <w:pPr>
        <w:spacing w:after="0" w:line="240" w:lineRule="auto"/>
      </w:pPr>
      <w:r>
        <w:separator/>
      </w:r>
    </w:p>
  </w:footnote>
  <w:footnote w:type="continuationSeparator" w:id="1">
    <w:p w:rsidR="008028B1" w:rsidRDefault="008028B1" w:rsidP="00660C89">
      <w:pPr>
        <w:spacing w:after="0" w:line="240" w:lineRule="auto"/>
      </w:pPr>
      <w:r>
        <w:continuationSeparator/>
      </w:r>
    </w:p>
  </w:footnote>
  <w:footnote w:id="2">
    <w:p w:rsidR="00660C89" w:rsidRDefault="00660C89">
      <w:pPr>
        <w:pStyle w:val="FootnoteText"/>
      </w:pPr>
      <w:r>
        <w:rPr>
          <w:rStyle w:val="FootnoteReference"/>
        </w:rPr>
        <w:footnoteRef/>
      </w:r>
      <w:r>
        <w:t xml:space="preserve"> </w:t>
      </w:r>
      <w:r>
        <w:fldChar w:fldCharType="begin"/>
      </w:r>
      <w:r>
        <w:instrText xml:space="preserve"> ADDIN ZOTERO_ITEM CSL_CITATION {"citationID":"kNzyfPjp","properties":{"formattedCitation":"{\\rtf Kathryn Hume, \\uc0\\u8216{}Attenuated Realities: Pynchon\\uc0\\u8217{}s Trajectory from V. to Inherent Vice\\uc0\\u8217{}, \\i Orbit: Writing Around Pynchon\\i0{}, 2 (2013) &lt;doi:10.7766/orbit.v2.1.50&gt;.}","plainCitation":"Kathryn Hume, ‘Attenuated Realities: Pynchon’s Trajectory from V. to Inherent Vice’, Orbit: Writing Around Pynchon, 2 (2013) &lt;doi:10.7766/orbit.v2.1.50&gt;."},"citationItems":[{"id":8,"uris":["http://zotero.org/users/local/9yJPt4JR/items/XVNU7KZU"],"uri":["http://zotero.org/users/local/9yJPt4JR/items/XVNU7KZU"],"itemData":{"id":8,"type":"article-journal","title":"Attenuated Realities: Pynchon's Trajectory from V. to Inherent Vice","container-title":"Orbit: Writing Around Pynchon","volume":"2","issue":"1","source":"www.pynchon.net","abstract":"Part of what established Pynchon as postmodern was his piling up of multiple realities. Hence, the surprise that  Inherent Vice  retains only the most attenuated forms of such worlds alternative to our own. In earlier fiction, we find a world served by the Tristero postal system, a world inhabited by angels, by thanatoids and other forms of the dead, by Japanese film monsters, by giant vegetables. In Pynchon’s fictive realities, an airship can sail beneath desert sand or through the center of the globe via Symmes’s Hole, and the photograph of a corpse can be run backward in time to show its murderer. Up through  Against the Day , Pynchon showered us with alternate realities that reached beyond the material world that most of us accept as  alles, was der Fall ist .  Inherent Vice  departs from this vision. Has Pynchon simply grown up? Or grown old? Or is something else operating here? I will provide a brief taxonomy of Pynchon’s multiple worlds as characterized by paranoia, mysticism, religion, and humor and then analyze what remains of these in  Inherent Vice . Among the causes for his changed technique may be his choice of genre. The detective story is epistemological rather than ontological in its questions, so Pynchon concerns himself far more with what Doc Sportello can know than with making him navigate through multiple realities. I argue, however, that  Inherent Vice  is surprisingly a worst-case scenario for Pynchon.","URL":"https://www.pynchon.net/owap/article/view/50","DOI":"10.7766/orbit.v2.1.50","ISSN":"2047-2870","shortTitle":"Attenuated Realities","language":"en","author":[{"family":"Hume","given":"Kathryn"}],"issued":{"date-parts":[["2013",12,12]]},"accessed":{"date-parts":[["2014",1,15]],"season":"12:02:44"}}}],"schema":"https://github.com/citation-style-language/schema/raw/master/csl-citation.json"} </w:instrText>
      </w:r>
      <w:r>
        <w:fldChar w:fldCharType="separate"/>
      </w:r>
      <w:r w:rsidRPr="00660C89">
        <w:rPr>
          <w:rFonts w:ascii="Calibri" w:hAnsi="Calibri" w:cs="Times New Roman"/>
          <w:szCs w:val="24"/>
        </w:rPr>
        <w:t xml:space="preserve">Kathryn Hume, ‘Attenuated Realities: Pynchon’s Trajectory from V. to Inherent Vice’, </w:t>
      </w:r>
      <w:r w:rsidRPr="00660C89">
        <w:rPr>
          <w:rFonts w:ascii="Calibri" w:hAnsi="Calibri" w:cs="Times New Roman"/>
          <w:i/>
          <w:iCs/>
          <w:szCs w:val="24"/>
        </w:rPr>
        <w:t>Orbit: Writing Around Pynchon</w:t>
      </w:r>
      <w:r w:rsidRPr="00660C89">
        <w:rPr>
          <w:rFonts w:ascii="Calibri" w:hAnsi="Calibri" w:cs="Times New Roman"/>
          <w:szCs w:val="24"/>
        </w:rPr>
        <w:t>, 2 (2013) &lt;doi:10.7766/orbit.v2.1.50&gt;.</w:t>
      </w:r>
      <w:r>
        <w:fldChar w:fldCharType="end"/>
      </w:r>
    </w:p>
  </w:footnote>
  <w:footnote w:id="3">
    <w:p w:rsidR="00660C89" w:rsidRDefault="00660C89">
      <w:pPr>
        <w:pStyle w:val="FootnoteText"/>
      </w:pPr>
      <w:r>
        <w:rPr>
          <w:rStyle w:val="FootnoteReference"/>
        </w:rPr>
        <w:footnoteRef/>
      </w:r>
      <w:r>
        <w:t xml:space="preserve"> </w:t>
      </w:r>
      <w:r>
        <w:fldChar w:fldCharType="begin"/>
      </w:r>
      <w:r>
        <w:instrText xml:space="preserve"> ADDIN ZOTERO_ITEM CSL_CITATION {"citationID":"RJ8kpUNQ","properties":{"formattedCitation":"{\\rtf Jacques Rancie\\uc0\\u768{}re, \\i Althusser\\uc0\\u8217{}s Lesson\\i0{} (London\\uc0\\u8239{}; New York: Continuum, 2011).}","plainCitation":"Jacques Rancière, Althusser’s Lesson (London ; New York: Continuum, 2011)."},"citationItems":[{"id":3,"uris":["http://zotero.org/users/local/9yJPt4JR/items/HG2UEPXB"],"uri":["http://zotero.org/users/local/9yJPt4JR/items/HG2UEPXB"],"itemData":{"id":3,"type":"book","title":"Althusser's lesson","publisher":"Continuum","publisher-place":"London ; New York","number-of-pages":"199","source":"Library of Congress ISBN","event-place":"London ; New York","ISBN":"9781441108050","call-number":"B2430.A474 R3613 2011","author":[{"family":"Rancière","given":"Jacques"}],"issued":{"date-parts":[["2011"]]}}}],"schema":"https://github.com/citation-style-language/schema/raw/master/csl-citation.json"} </w:instrText>
      </w:r>
      <w:r>
        <w:fldChar w:fldCharType="separate"/>
      </w:r>
      <w:r w:rsidRPr="00660C89">
        <w:rPr>
          <w:rFonts w:ascii="Calibri" w:hAnsi="Calibri" w:cs="Times New Roman"/>
          <w:szCs w:val="24"/>
        </w:rPr>
        <w:t xml:space="preserve">Jacques Rancière, </w:t>
      </w:r>
      <w:r w:rsidRPr="00660C89">
        <w:rPr>
          <w:rFonts w:ascii="Calibri" w:hAnsi="Calibri" w:cs="Times New Roman"/>
          <w:i/>
          <w:iCs/>
          <w:szCs w:val="24"/>
        </w:rPr>
        <w:t>Althusser’s Lesson</w:t>
      </w:r>
      <w:r w:rsidRPr="00660C89">
        <w:rPr>
          <w:rFonts w:ascii="Calibri" w:hAnsi="Calibri" w:cs="Times New Roman"/>
          <w:szCs w:val="24"/>
        </w:rPr>
        <w:t xml:space="preserve"> (London ; New York: Continuum, 2011).</w:t>
      </w:r>
      <w:r>
        <w:fldChar w:fldCharType="end"/>
      </w:r>
    </w:p>
  </w:footnote>
  <w:footnote w:id="4">
    <w:p w:rsidR="00660C89" w:rsidRDefault="00660C89">
      <w:pPr>
        <w:pStyle w:val="FootnoteText"/>
      </w:pPr>
      <w:r>
        <w:rPr>
          <w:rStyle w:val="FootnoteReference"/>
        </w:rPr>
        <w:footnoteRef/>
      </w:r>
      <w:r>
        <w:t xml:space="preserve"> </w:t>
      </w:r>
      <w:r>
        <w:fldChar w:fldCharType="begin"/>
      </w:r>
      <w:r>
        <w:instrText xml:space="preserve"> ADDIN ZOTERO_ITEM CSL_CITATION {"citationID":"sA0wI3Xq","properties":{"formattedCitation":"{\\rtf Luc Herman, \\i Gravity\\uc0\\u8217{}s Rainbow, Domination, and Freedom\\i0{} (Athens: The University of Georgia Press, 2013); Stephen Burn, \\i Jonathan Franzen at the End of Postmodernism\\i0{}, Continuum Literary Studies Series (London\\uc0\\u8239{}; New York: Continuum, 2008).}","plainCitation":"Luc Herman, Gravity’s Rainbow, Domination, and Freedom (Athens: The University of Georgia Press, 2013); Stephen Burn, Jonathan Franzen at the End of Postmodernism, Continuum Literary Studies Series (London ; New York: Continuum, 2008)."},"citationItems":[{"id":6,"uris":["http://zotero.org/users/local/9yJPt4JR/items/M4TCTHTH"],"uri":["http://zotero.org/users/local/9yJPt4JR/items/M4TCTHTH"],"itemData":{"id":6,"type":"book","title":"Gravity's Rainbow, domination, and freedom","publisher":"The University of Georgia Press","publisher-place":"Athens","source":"Library of Congress ISBN","event-place":"Athens","ISBN":"9780820335087","call-number":"PS3566.Y55 G73455 2013","author":[{"family":"Herman","given":"Luc"}],"issued":{"date-parts":[["2013"]]}}},{"id":11,"uris":["http://zotero.org/users/local/9yJPt4JR/items/P62J6HVQ"],"uri":["http://zotero.org/users/local/9yJPt4JR/items/P62J6HVQ"],"itemData":{"id":11,"type":"book","title":"Jonathan Franzen at the end of postmodernism","collection-title":"Continuum literary studies series","publisher":"Continuum","publisher-place":"London ; New York","number-of-pages":"159","source":"Library of Congress ISBN","event-place":"London ; New York","ISBN":"9781847062482","call-number":"PS3556.R352 Z58 2008","author":[{"family":"Burn","given":"Stephen"}],"issued":{"date-parts":[["2008"]]}}}],"schema":"https://github.com/citation-style-language/schema/raw/master/csl-citation.json"} </w:instrText>
      </w:r>
      <w:r>
        <w:fldChar w:fldCharType="separate"/>
      </w:r>
      <w:r w:rsidRPr="00660C89">
        <w:rPr>
          <w:rFonts w:ascii="Calibri" w:hAnsi="Calibri" w:cs="Times New Roman"/>
          <w:szCs w:val="24"/>
        </w:rPr>
        <w:t xml:space="preserve">Luc Herman, </w:t>
      </w:r>
      <w:r w:rsidRPr="00660C89">
        <w:rPr>
          <w:rFonts w:ascii="Calibri" w:hAnsi="Calibri" w:cs="Times New Roman"/>
          <w:i/>
          <w:iCs/>
          <w:szCs w:val="24"/>
        </w:rPr>
        <w:t>Gravity’s Rainbow, Domination, and Freedom</w:t>
      </w:r>
      <w:r w:rsidRPr="00660C89">
        <w:rPr>
          <w:rFonts w:ascii="Calibri" w:hAnsi="Calibri" w:cs="Times New Roman"/>
          <w:szCs w:val="24"/>
        </w:rPr>
        <w:t xml:space="preserve"> (Athens: The University of Georgia Press, 2013); Stephen Burn, </w:t>
      </w:r>
      <w:r w:rsidRPr="00660C89">
        <w:rPr>
          <w:rFonts w:ascii="Calibri" w:hAnsi="Calibri" w:cs="Times New Roman"/>
          <w:i/>
          <w:iCs/>
          <w:szCs w:val="24"/>
        </w:rPr>
        <w:t>Jonathan Franzen at the End of Postmodernism</w:t>
      </w:r>
      <w:r w:rsidRPr="00660C89">
        <w:rPr>
          <w:rFonts w:ascii="Calibri" w:hAnsi="Calibri" w:cs="Times New Roman"/>
          <w:szCs w:val="24"/>
        </w:rPr>
        <w:t>, Continuum Literary Studies Series (London ; New York: Continuum, 2008).</w:t>
      </w:r>
      <w:r>
        <w:fldChar w:fldCharType="end"/>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60C89"/>
    <w:rsid w:val="000123BD"/>
    <w:rsid w:val="0004030A"/>
    <w:rsid w:val="001077AE"/>
    <w:rsid w:val="001246B3"/>
    <w:rsid w:val="00163D09"/>
    <w:rsid w:val="001738E1"/>
    <w:rsid w:val="00183303"/>
    <w:rsid w:val="001F744C"/>
    <w:rsid w:val="00287278"/>
    <w:rsid w:val="002A4602"/>
    <w:rsid w:val="002D5730"/>
    <w:rsid w:val="002F5F38"/>
    <w:rsid w:val="00327FF6"/>
    <w:rsid w:val="00351D0A"/>
    <w:rsid w:val="003A14A0"/>
    <w:rsid w:val="003C568C"/>
    <w:rsid w:val="003D13C0"/>
    <w:rsid w:val="003F3A8F"/>
    <w:rsid w:val="0051630E"/>
    <w:rsid w:val="00561C7C"/>
    <w:rsid w:val="0056614D"/>
    <w:rsid w:val="005A3437"/>
    <w:rsid w:val="005D1CBA"/>
    <w:rsid w:val="0064237E"/>
    <w:rsid w:val="00644EC0"/>
    <w:rsid w:val="00660C89"/>
    <w:rsid w:val="006B2199"/>
    <w:rsid w:val="00712BB2"/>
    <w:rsid w:val="007C10FB"/>
    <w:rsid w:val="007C2472"/>
    <w:rsid w:val="007F5181"/>
    <w:rsid w:val="008028B1"/>
    <w:rsid w:val="0084180A"/>
    <w:rsid w:val="00A5509D"/>
    <w:rsid w:val="00A96C85"/>
    <w:rsid w:val="00AA2FCF"/>
    <w:rsid w:val="00AC482D"/>
    <w:rsid w:val="00B325E8"/>
    <w:rsid w:val="00BA4572"/>
    <w:rsid w:val="00BC4253"/>
    <w:rsid w:val="00C149DC"/>
    <w:rsid w:val="00CA7094"/>
    <w:rsid w:val="00CD6E84"/>
    <w:rsid w:val="00CF70AE"/>
    <w:rsid w:val="00D31B30"/>
    <w:rsid w:val="00DC4AE9"/>
    <w:rsid w:val="00F136C1"/>
    <w:rsid w:val="00F3542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23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60C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0C89"/>
    <w:rPr>
      <w:sz w:val="20"/>
      <w:szCs w:val="20"/>
    </w:rPr>
  </w:style>
  <w:style w:type="character" w:styleId="FootnoteReference">
    <w:name w:val="footnote reference"/>
    <w:basedOn w:val="DefaultParagraphFont"/>
    <w:uiPriority w:val="99"/>
    <w:semiHidden/>
    <w:unhideWhenUsed/>
    <w:rsid w:val="00660C89"/>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15</Words>
  <Characters>92</Characters>
  <Application>Microsoft Office Word</Application>
  <DocSecurity>0</DocSecurity>
  <Lines>1</Lines>
  <Paragraphs>1</Paragraphs>
  <ScaleCrop>false</ScaleCrop>
  <Company/>
  <LinksUpToDate>false</LinksUpToDate>
  <CharactersWithSpaces>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1</cp:revision>
  <dcterms:created xsi:type="dcterms:W3CDTF">2014-01-15T12:03:00Z</dcterms:created>
  <dcterms:modified xsi:type="dcterms:W3CDTF">2014-01-15T12:05:00Z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zotero-version="4.0.17"&gt;&lt;session id="J87j0bu0"/&gt;&lt;style id="http://www.zotero.org/styles/modern-humanities-research-association" hasBibliography="1" bibliographyStyleHasBeenSet="0"/&gt;&lt;prefs&gt;&lt;pref name="fieldType" value="Field"/&gt;&lt;pref </vt:lpwstr>
  </property>
  <property fmtid="{D5CDD505-2E9C-101B-9397-08002B2CF9AE}" pid="3" name="ZOTERO_PREF_2">
    <vt:lpwstr>name="storeReferences" value="true"/&gt;&lt;pref name="automaticJournalAbbreviations" value="true"/&gt;&lt;pref name="noteType" value="1"/&gt;&lt;/prefs&gt;&lt;/data&gt;</vt:lpwstr>
  </property>
</Properties>
</file>