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36"/>
          <w:szCs w:val="36"/>
        </w:rPr>
        <w:t xml:space="preserve">ARTE, ISS and AT – Citizen Shops Data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Data reconciliation summary between the Citizen Shops (Lojas de Cidadão) file submitted for ARTE, AT and ISS and what was actually on the platform. 2026-07-24.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Satisfaction and Experience Indicators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satisfaction or experience indicator existed for Lojas de Cidadão, for any of the 3 entities (ARTE, AT, ISS) — neither by store nor by entity.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“Aval Atendimento” sheet had annual scores (2025 and 2026) in 2 layouts: a store-only aggregate that mixes every entity present at that store — including several partners that are not on this platform (AIMA, CM, EDP, FAGAR, GALP, IMPIC, REGISTOS, VIA VERDE, etc.) — and a store + entity breakdown (ARTE, AT, ISS individually), each with number of responses plus 2 scores: “Avaliação do Atendimento” and “Avaliação da Experiência” (1–5 scale).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Created 2 new shared indicators — “Avaliação do atendimento em loja (por entidade)” and “Avaliação da experiência em loja (por entidade)” — and loaded the entity-level data for ARTE, AT and ISS (annual granularity, with respondent counts).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store-only aggregate was not loaded: attributing a value that mixes several outside partners to one specific entity's records would misrepresent the data.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store-only aggregate has no representation on the platform, since each entity's data lives separately — this cannot be modelled without misattributing it to a single entity.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AT's satisfaction data is sparse: no responses at all from Faro or Marvila, and only Laranjeiras and Porto have both 2025 and 2026 data.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Demand Indicators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“Número de atendimentos presenciais por serviço” existed, broken down by specific service (e.g. “Renovação de carta de condução”) — not by store, and not the drop-off or handling/waiting-time metrics.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sheets (Procura/Desistências/Taxa de Desistências, TMA, TME) with monthly demand, drop-offs (“desistências”), drop-off rate, average handling time and average waiting time, broken down by entity and by store (Faro, Laranjeiras, Marvila, Porto), covering Jan–Jun 2025 and Jan–Jun 2026.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Created 5 new shared indicators (Procura, Desistências, Taxa de Desistências, TMA, TME — “Lojas de Cidadão”).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Since none of this data belongs to a specific existing service, 1 new service, “Atendimento em Loja de Cidadão”, was created per entity to anchor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Loaded 12 months × up to 4 stores for ARTE, AT and ISS — 701 measurements in total (this section + satisfaction/experience combined).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AT has no store in Faro at all — confirmed absent from every sheet, not a loading gap.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AT's Marvila store shows real demand only from June 2026 onward; the 11 prior months had 0 demand and no other metric, so they were not loaded as measurements (there is nothing to measure before the service existed there).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file's own header states “June 2025 only + Jan–Jun 2026”, but the actual data covers the full Jan–Jun 2025 as well — the real data was used instead of the header text.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2026-07-24T13:42:32.081Z</dcterms:created>
  <dcterms:modified xsi:type="dcterms:W3CDTF">2026-07-24T13:42:32.082Z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