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36"/>
          <w:szCs w:val="36"/>
        </w:rPr>
        <w:t xml:space="preserve">AT – Citizen Shops Operational and UX Data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Verification that all Citizen Shops operational and UX data submitted for AT (Autoridade Tributária e Aduaneira) is reflected on the platform. 2026-07-24.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Citizen Shops Operational and UX Data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 did not submit any compliance data (already confirmed in the earlier LCC Compliance case), so the client specifically asked to double-check that all other available data — operational and UX, from Citizen Shops — is included, to avoid the impression that AT has no data at all on the platform.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checked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only file in AT's folder is the Citizen Shops file (“LC-ISS, AT, and ARTE – 2025-2026”), already fully processed in the earlier Citizen Shops case: Procura, Desistências, Taxa de Desistências, average handling and waiting time, and satisfaction/experience scores, broken down by store.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Verified directly on AT's dashboard: 918 measurements across 29 indicators, a real monthly “Número de atendimentos presenciais por serviço” chart, and a Satisfação Global of 8.4/10 from 167 responses — this last figure comes from a separate UX questionnaire already loaded independently of the Citizen Shops file.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 new data needed to be added — everything from this file is already on the platform from the earlier Citizen Shops case.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AT's dimension profile correctly shows real scores for Satisfação e Impacto, Acessibilidade, Simplicidade, Imparcialidade e Profissionalismo, and Capacidade de Resposta e Eficiência.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Interoperabilidade, Segurança da Informação e Dados Abertos, and Envolvimento dos Utilizadores correctly show “no data” — these 3 dimensions depend on compliance indicators, which AT never submitted. This is expected, not a gap in this case, and matches what the client already confirmed separately.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2026-07-24T14:50:16.154Z</dcterms:created>
  <dcterms:modified xsi:type="dcterms:W3CDTF">2026-07-24T14:50:16.156Z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