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36"/>
          <w:szCs w:val="36"/>
        </w:rPr>
        <w:t xml:space="preserve">LCC – Operational, Compliance and UX Data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Data reconciliation summary between the files submitted by CML (Câmara Municipal de Lisboa) and what was actually on the platform. 2026-07-24.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A. Licença de Utilização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None of the 9 requested indicators existed in the catalogue — neither the “Procura” ones (pedidos resolvidos/encaminhados) nor the 7 “Satisfação e Impacto” ones (elogios, sugestões, reclamações).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Only the generic indicator “Número de atendimentos presenciais por serviço” existed, with provisional data from the CRM.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There was already a prior project decision, documented in the code, not to create new indicators without approval — which is why this data had never been loaded, even though it was available.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Licenca_Utilização_CRM: 4,725 requests (Jun/2025–Jun/2026) → “pedidos resolvidos” (3,623) and “pedidos encaminhados” (524) per month.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Reclamacoes_Dashboard (7 files): CML-wide, not specific to this service. Filtering by the exact subject, only 2 of 5,428 records were actually about this service.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Created the 9 indicators in the catalogue. “Número de pedidos resolvidos” and “Número de pedidos encaminhados” ended up with solid data (14 months each).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3 reclamações indicators ended up with 1 measurement each — real data, but scarce.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Elogios, sugestões, and “Número de reclamações por assunto” were added to the catalogue with no measurements — 0 real occurrences for this service.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None. The scarcity of satisfaction data is real (it reflects the files provided), not an ingestion problem.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B. Lugar em Feira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 indicator, “Número de licenças ocasionais atribuidas por feira e período”, already existed — but was miscalculated: it summed all 3 licence types in the file (Ocasional Mensal + Extraordinária + Estudante = 777), when it should only count “ocasionais”.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“Tipo deAtribuição” allowed isolating the types correctly: Ocasional Mensal (356), Extraordinária (260), Estudante (161, not requested).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Reclamações: filtering by this service's subject, 5 real records out of 5,428 (4 resolved, 1 forwarded).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Corrected the existing indicator to contain only the 356 “Ocasional Mensal” records.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Created 1 new indicator: “Número de licenças extraordinárias por feira” (260).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Added the standard reclamações indicators, reusing the ones already created in case A.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C. Certificado de Registo de Cidadão da União Europeia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Already had 5 dedicated indicators (atendimentos, average handling time, average waiting time, certificados emitidos) and 1 “bespoke” reclamações indicator built only for this service.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Nacionalidade: 31 nationalities, 4,440 certificates (2 country values truncated in the source file itself).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Subcategoria: “SUBCATEGORIA” column in the attendance files, 6 values within this service.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Reclamações: only 4 real records — exactly the same 4 already covered by the existing bespoke indicator.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Created 2 new indicators (nacionalidade, subcategoria).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bespoke reclamações indicator was removed from the catalogue, having become a duplicate of the standard indicators added in the meantime (same 4 records, same concept) — confirmed it had no other references on the platform before removing it.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D. Recolha de Monstros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Neither of the 2 services (“Pedido de Recolha de Monstros” and “Serviço de Recolha de Monstros”) had any operational indicator — 0 of the 4 requested.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UX data already existed for both.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GOPI file: 2,777 requests and 2,571 resolved requests, broken down by channel and by freguesia.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Confirmed that the 3 UX questionnaires mentioned by the client (Presencial, Online, Recolha de Monstros) were already fully on the platform — 274 measurements, matching the files exactly.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Created the 4 requested operational indicators, with data duplicated across both services — same convention already used for this pair's UX data — because no field in the source data distinguishes which of the 2 services each request belongs 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No action was needed for the UX data — the client's information on this part was outdated.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distinction between “Pedido” and “Serviço” de Recolha de Monstros remains unresolved at the CML data source — the duplicated values are marked as provisional.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E. LCC Compliance Data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CML had 0 of the 43 compliance indicators with data, across all 5 of its services — even though the catalogue already had the 43 indicators correctly defined and mapped to dimensions.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compliance files contained real, complete answers for 4 of CML's 5 services — 145 valid Sim/Não answers in total.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Inserted the 145 measurements. CML's “Conformidade” score went from “No data” to 48% (145 criteria assessed).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3 dimensions the client specifically flagged — Interoperabilidade, Segurança da Informação e Dados Abertos, Envolvimento dos Utilizadores — now show a real score.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“Serviço de Recolha de Monstros” has no compliance answer in any of the 3 files — CML did not fill in the questionnaire for this specific service. Pending a response from CML, not an ingestion issue.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same case (compliance) continues for ARTE, ISS and ADC — not covered in this session.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2026-07-24T10:44:46.039Z</dcterms:created>
  <dcterms:modified xsi:type="dcterms:W3CDTF">2026-07-24T10:44:46.040Z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