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0"/>
          <w:szCs w:val="20"/>
        </w:rPr>
        <w:t xml:space="preserve">OECD / OPSI — ARTE (Portugal)</w:t>
      </w:r>
    </w:p>
    <w:p>
      <w:pPr>
        <w:spacing w:after="120"/>
      </w:pPr>
      <w:r>
        <w:rPr>
          <w:b/>
          <w:bCs/>
          <w:color w:val="1B2A56"/>
          <w:sz w:val="40"/>
          <w:szCs w:val="40"/>
        </w:rPr>
        <w:t xml:space="preserve">MVP Development Report</w:t>
      </w:r>
    </w:p>
    <w:p>
      <w:pPr>
        <w:spacing w:after="60"/>
      </w:pPr>
      <w:r>
        <w:rPr>
          <w:i/>
          <w:iCs/>
          <w:color w:val="2455A4"/>
          <w:sz w:val="24"/>
          <w:szCs w:val="24"/>
        </w:rPr>
        <w:t xml:space="preserve">Matriz para a Avaliação nos Serviços Públicos</w:t>
      </w:r>
    </w:p>
    <w:p>
      <w:pPr>
        <w:spacing w:after="30"/>
      </w:pPr>
      <w:r>
        <w:rPr>
          <w:color w:val="595959"/>
          <w:sz w:val="19"/>
          <w:szCs w:val="19"/>
        </w:rPr>
        <w:t xml:space="preserve">Reporting period: 28 June – 17 July 2026  ·  Report date: 20 July 2026</w:t>
      </w:r>
    </w:p>
    <w:p>
      <w:pPr>
        <w:spacing w:after="400"/>
      </w:pPr>
      <w:r>
        <w:rPr>
          <w:color w:val="595959"/>
          <w:sz w:val="19"/>
          <w:szCs w:val="19"/>
        </w:rPr>
        <w:t xml:space="preserve">Prepared by: David Cruz (Binaryvoice), technical development lead</w:t>
      </w:r>
    </w:p>
    <w:p>
      <w:pPr>
        <w:pStyle w:val="Heading1"/>
        <w:pBdr>
          <w:bottom w:val="single" w:color="2455A4" w:sz="6" w:space="4"/>
        </w:pBdr>
        <w:spacing w:after="200" w:before="380"/>
      </w:pPr>
      <w:r>
        <w:rPr>
          <w:b/>
          <w:bCs/>
          <w:color w:val="1B2A56"/>
          <w:sz w:val="28"/>
          <w:szCs w:val="28"/>
        </w:rPr>
        <w:t xml:space="preserve">1. Executive Summary</w:t>
      </w:r>
    </w:p>
    <w:p>
      <w:pPr>
        <w:spacing w:after="160"/>
      </w:pPr>
      <w:r>
        <w:rPr>
          <w:sz w:val="21"/>
          <w:szCs w:val="21"/>
        </w:rPr>
        <w:t xml:space="preserve">This report covers the first development cycle of the Matriz para a Avaliação nos Serviços Públicos prototype: 28 commits between 28 June and 17 July 2026, converting the approved Figma design (“Matrix Prototype v3”) into a working, data-backed Next.js application connected to a live Supabase database.</w:t>
      </w:r>
    </w:p>
    <w:p>
      <w:pPr>
        <w:spacing w:after="160"/>
      </w:pPr>
      <w:r>
        <w:rPr>
          <w:sz w:val="21"/>
          <w:szCs w:val="21"/>
        </w:rPr>
        <w:t xml:space="preserve">In three weeks the platform moved from a static, mock-data front end to a functional analytics tool live across five public entities — ARTE, the Tax and Customs Authority (AT), the Institute of Social Security (ISS), Lisbon City Council (CML), and the Agency for Development and Cohesion (AD&amp;C) — each populated with a mix of real and provisional data depending on what source files were available at the time. The platform's core structural model, the 9 Matrix dimensions, was finalized during this cycle, replacing an earlier 7-vs-9 discrepancy between the Figma design and the first data sample.</w:t>
      </w:r>
    </w:p>
    <w:p>
      <w:pPr>
        <w:spacing w:after="160"/>
      </w:pPr>
      <w:r>
        <w:rPr>
          <w:sz w:val="21"/>
          <w:szCs w:val="21"/>
        </w:rPr>
        <w:t xml:space="preserve">A first formal round of client testing feedback (15 July) has already been fully incorporated into the current build: terminology, dimension visibility rules, filter naming, navigation, and a duplicate-indicator data issue were all addressed within the same cycle.</w:t>
      </w:r>
    </w:p>
    <w:p>
      <w:pPr>
        <w:spacing w:after="160"/>
      </w:pPr>
      <w:r>
        <w:rPr>
          <w:sz w:val="21"/>
          <w:szCs w:val="21"/>
        </w:rPr>
        <w:t xml:space="preserve">The platform is, by design, a read-only reporting and analytics tool at this stage: there is no authentication layer and no self-service data upload — both are intentionally out of scope for this phase, not oversights, and are addressed in the recommendations below.</w:t>
      </w:r>
    </w:p>
    <w:p>
      <w:pPr>
        <w:pStyle w:val="Heading1"/>
        <w:pBdr>
          <w:bottom w:val="single" w:color="2455A4" w:sz="6" w:space="4"/>
        </w:pBdr>
        <w:spacing w:after="200" w:before="380"/>
      </w:pPr>
      <w:r>
        <w:rPr>
          <w:b/>
          <w:bCs/>
          <w:color w:val="1B2A56"/>
          <w:sz w:val="28"/>
          <w:szCs w:val="28"/>
        </w:rPr>
        <w:t xml:space="preserve">2. Scope of This Development Cycle</w:t>
      </w:r>
    </w:p>
    <w:p>
      <w:pPr>
        <w:spacing w:after="160"/>
      </w:pPr>
      <w:r>
        <w:rPr>
          <w:sz w:val="21"/>
          <w:szCs w:val="21"/>
        </w:rPr>
        <w:t xml:space="preserve">The project follows a phased methodology agreed with OECD/OPSI: Phase 0 (Figma audit, data schema, and architecture sign-off) is complete; the platform is formally in Phase 1 (front-end build against the approved design and schema). In practice, real data integration — originally scoped for Phase 2 — began ahead of schedule on 8 July, once real sample files started arriving from ARTE and the participating entities, so this cycle already blends Phase 1 and early Phase 2 work.</w:t>
      </w:r>
    </w:p>
    <w:p>
      <w:pPr>
        <w:pStyle w:val="Heading2"/>
        <w:spacing w:after="140" w:before="260"/>
      </w:pPr>
      <w:r>
        <w:rPr>
          <w:b/>
          <w:bCs/>
          <w:color w:val="2455A4"/>
          <w:sz w:val="23"/>
          <w:szCs w:val="23"/>
        </w:rPr>
        <w:t xml:space="preserve">What this cycle delivered</w:t>
      </w:r>
    </w:p>
    <w:p>
      <w:pPr>
        <w:pStyle w:val="ListParagraph"/>
        <w:numPr>
          <w:ilvl w:val="0"/>
          <w:numId w:val="2"/>
        </w:numPr>
        <w:spacing w:after="100"/>
      </w:pPr>
      <w:r>
        <w:rPr>
          <w:sz w:val="21"/>
          <w:szCs w:val="21"/>
        </w:rPr>
        <w:t xml:space="preserve">Twelve Figma screens converted into working routes: entity entry/selection, Dimensions overview and detail, Indicators catalog and detail, Service Catalog and detail, a Dashboard, Innovation Resources, and global Search.</w:t>
      </w:r>
    </w:p>
    <w:p>
      <w:pPr>
        <w:pStyle w:val="ListParagraph"/>
        <w:numPr>
          <w:ilvl w:val="0"/>
          <w:numId w:val="2"/>
        </w:numPr>
        <w:spacing w:after="100"/>
      </w:pPr>
      <w:r>
        <w:rPr>
          <w:sz w:val="21"/>
          <w:szCs w:val="21"/>
        </w:rPr>
        <w:t xml:space="preserve">Multi-entity support: an entity-selection flow and per-entity data scoping (channel and service context) that now serves five distinct public organizations from one codebase.</w:t>
      </w:r>
    </w:p>
    <w:p>
      <w:pPr>
        <w:pStyle w:val="ListParagraph"/>
        <w:numPr>
          <w:ilvl w:val="0"/>
          <w:numId w:val="2"/>
        </w:numPr>
        <w:spacing w:after="100"/>
      </w:pPr>
      <w:r>
        <w:rPr>
          <w:sz w:val="21"/>
          <w:szCs w:val="21"/>
        </w:rPr>
        <w:t xml:space="preserve">Real-data ingestion pipelines (Python scripts + SQL migrations) for five entities, replacing an initial all-mock-data baseline.</w:t>
      </w:r>
    </w:p>
    <w:p>
      <w:pPr>
        <w:pStyle w:val="ListParagraph"/>
        <w:numPr>
          <w:ilvl w:val="0"/>
          <w:numId w:val="2"/>
        </w:numPr>
        <w:spacing w:after="100"/>
      </w:pPr>
      <w:r>
        <w:rPr>
          <w:sz w:val="21"/>
          <w:szCs w:val="21"/>
        </w:rPr>
        <w:t xml:space="preserve">Finalization of the 9-dimension thematic model, resolving the schema-vs-design discrepancy flagged during Phase 0.</w:t>
      </w:r>
    </w:p>
    <w:p>
      <w:pPr>
        <w:pStyle w:val="ListParagraph"/>
        <w:numPr>
          <w:ilvl w:val="0"/>
          <w:numId w:val="2"/>
        </w:numPr>
        <w:spacing w:after="100"/>
      </w:pPr>
      <w:r>
        <w:rPr>
          <w:sz w:val="21"/>
          <w:szCs w:val="21"/>
        </w:rPr>
        <w:t xml:space="preserve">A new per-entity analytics Dashboard (eight composed views) built on real Supabase data, not originally sequenced this early.</w:t>
      </w:r>
    </w:p>
    <w:p>
      <w:pPr>
        <w:pStyle w:val="ListParagraph"/>
        <w:numPr>
          <w:ilvl w:val="0"/>
          <w:numId w:val="2"/>
        </w:numPr>
        <w:spacing w:after="100"/>
      </w:pPr>
      <w:r>
        <w:rPr>
          <w:sz w:val="21"/>
          <w:szCs w:val="21"/>
        </w:rPr>
        <w:t xml:space="preserve">A full response cycle to the client’s first formal testing feedback (15 July), detailed in Section 5.</w:t>
      </w:r>
    </w:p>
    <w:p>
      <w:pPr>
        <w:pStyle w:val="Heading2"/>
        <w:spacing w:after="140" w:before="260"/>
      </w:pPr>
      <w:r>
        <w:rPr>
          <w:b/>
          <w:bCs/>
          <w:color w:val="2455A4"/>
          <w:sz w:val="23"/>
          <w:szCs w:val="23"/>
        </w:rPr>
        <w:t xml:space="preserve">Explicitly out of scope this cycle</w:t>
      </w:r>
    </w:p>
    <w:p>
      <w:pPr>
        <w:pStyle w:val="ListParagraph"/>
        <w:numPr>
          <w:ilvl w:val="0"/>
          <w:numId w:val="2"/>
        </w:numPr>
        <w:spacing w:after="100"/>
      </w:pPr>
      <w:r>
        <w:rPr>
          <w:sz w:val="21"/>
          <w:szCs w:val="21"/>
        </w:rPr>
        <w:t xml:space="preserve">Authentication and user accounts — deferred by agreement, given the closed testing environment (1–5 concurrent testers).</w:t>
      </w:r>
    </w:p>
    <w:p>
      <w:pPr>
        <w:pStyle w:val="ListParagraph"/>
        <w:numPr>
          <w:ilvl w:val="0"/>
          <w:numId w:val="2"/>
        </w:numPr>
        <w:spacing w:after="100"/>
      </w:pPr>
      <w:r>
        <w:rPr>
          <w:sz w:val="21"/>
          <w:szCs w:val="21"/>
        </w:rPr>
        <w:t xml:space="preserve">Self-service data upload — ingestion remains engineer-run (scripts and migrations) pending a confirmed measurement-file format from ARTE.</w:t>
      </w:r>
    </w:p>
    <w:p>
      <w:pPr>
        <w:pStyle w:val="ListParagraph"/>
        <w:numPr>
          <w:ilvl w:val="0"/>
          <w:numId w:val="2"/>
        </w:numPr>
        <w:spacing w:after="100"/>
      </w:pPr>
      <w:r>
        <w:rPr>
          <w:sz w:val="21"/>
          <w:szCs w:val="21"/>
        </w:rPr>
        <w:t xml:space="preserve">Session-persisted comparisons and favourites — present as UI affordances but not functionally wired yet.</w:t>
      </w:r>
    </w:p>
    <w:p>
      <w:pPr>
        <w:pStyle w:val="Heading1"/>
        <w:pBdr>
          <w:bottom w:val="single" w:color="2455A4" w:sz="6" w:space="4"/>
        </w:pBdr>
        <w:spacing w:after="200" w:before="380"/>
      </w:pPr>
      <w:r>
        <w:rPr>
          <w:b/>
          <w:bCs/>
          <w:color w:val="1B2A56"/>
          <w:sz w:val="28"/>
          <w:szCs w:val="28"/>
        </w:rPr>
        <w:t xml:space="preserve">3. Data</w:t>
      </w:r>
    </w:p>
    <w:p>
      <w:pPr>
        <w:pStyle w:val="Heading2"/>
        <w:spacing w:after="140" w:before="260"/>
      </w:pPr>
      <w:r>
        <w:rPr>
          <w:b/>
          <w:bCs/>
          <w:color w:val="2455A4"/>
          <w:sz w:val="23"/>
          <w:szCs w:val="23"/>
        </w:rPr>
        <w:t xml:space="preserve">Coverage</w:t>
      </w:r>
    </w:p>
    <w:p>
      <w:pPr>
        <w:spacing w:after="160"/>
      </w:pPr>
      <w:r>
        <w:rPr>
          <w:sz w:val="21"/>
          <w:szCs w:val="21"/>
        </w:rPr>
        <w:t xml:space="preserve">Five entities are live on the platform. Coverage is uneven by design: wherever a real source file existed, it was ingested and validated; wherever no source file existed yet, the team deliberately seeded clearly-flagged provisional/placeholder data (marked is_provisional in the schema) so the full interface — filters, channel views, compliance sections — could still be exercised in testing rather than showing gaps. The table below reflects the ingestion history recorded in the project’s migrations.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400"/>
        <w:gridCol w:w="2400"/>
        <w:gridCol w:w="2400"/>
      </w:tblGrid>
      <w:tr>
        <w:trPr>
          <w:tblHeader/>
        </w:trPr>
        <w:tc>
          <w:tcPr>
            <w:tcW w:type="dxa" w:w="2000"/>
            <w:shd w:fill="1B2A56" w:val="clear"/>
            <w:tcMar>
              <w:top w:type="dxa" w:w="80"/>
              <w:left w:type="dxa" w:w="100"/>
              <w:bottom w:type="dxa" w:w="80"/>
              <w:right w:type="dxa" w:w="100"/>
            </w:tcMar>
            <w:vAlign w:val="center"/>
          </w:tcPr>
          <w:p>
            <w:pPr>
              <w:jc w:val="left"/>
            </w:pPr>
            <w:r>
              <w:rPr>
                <w:b/>
                <w:bCs/>
                <w:color w:val="FFFFFF"/>
                <w:sz w:val="19"/>
                <w:szCs w:val="19"/>
              </w:rPr>
              <w:t xml:space="preserve">Entity</w:t>
            </w:r>
          </w:p>
        </w:tc>
        <w:tc>
          <w:tcPr>
            <w:tcW w:type="dxa" w:w="2400"/>
            <w:shd w:fill="1B2A56" w:val="clear"/>
            <w:tcMar>
              <w:top w:type="dxa" w:w="80"/>
              <w:left w:type="dxa" w:w="100"/>
              <w:bottom w:type="dxa" w:w="80"/>
              <w:right w:type="dxa" w:w="100"/>
            </w:tcMar>
            <w:vAlign w:val="center"/>
          </w:tcPr>
          <w:p>
            <w:pPr>
              <w:jc w:val="left"/>
            </w:pPr>
            <w:r>
              <w:rPr>
                <w:b/>
                <w:bCs/>
                <w:color w:val="FFFFFF"/>
                <w:sz w:val="19"/>
                <w:szCs w:val="19"/>
              </w:rPr>
              <w:t xml:space="preserve">User Experience</w:t>
            </w:r>
          </w:p>
        </w:tc>
        <w:tc>
          <w:tcPr>
            <w:tcW w:type="dxa" w:w="2400"/>
            <w:shd w:fill="1B2A56" w:val="clear"/>
            <w:tcMar>
              <w:top w:type="dxa" w:w="80"/>
              <w:left w:type="dxa" w:w="100"/>
              <w:bottom w:type="dxa" w:w="80"/>
              <w:right w:type="dxa" w:w="100"/>
            </w:tcMar>
            <w:vAlign w:val="center"/>
          </w:tcPr>
          <w:p>
            <w:pPr>
              <w:jc w:val="left"/>
            </w:pPr>
            <w:r>
              <w:rPr>
                <w:b/>
                <w:bCs/>
                <w:color w:val="FFFFFF"/>
                <w:sz w:val="19"/>
                <w:szCs w:val="19"/>
              </w:rPr>
              <w:t xml:space="preserve">Operational</w:t>
            </w:r>
          </w:p>
        </w:tc>
        <w:tc>
          <w:tcPr>
            <w:tcW w:type="dxa" w:w="2400"/>
            <w:shd w:fill="1B2A56" w:val="clear"/>
            <w:tcMar>
              <w:top w:type="dxa" w:w="80"/>
              <w:left w:type="dxa" w:w="100"/>
              <w:bottom w:type="dxa" w:w="80"/>
              <w:right w:type="dxa" w:w="100"/>
            </w:tcMar>
            <w:vAlign w:val="center"/>
          </w:tcPr>
          <w:p>
            <w:pPr>
              <w:jc w:val="left"/>
            </w:pPr>
            <w:r>
              <w:rPr>
                <w:b/>
                <w:bCs/>
                <w:color w:val="FFFFFF"/>
                <w:sz w:val="19"/>
                <w:szCs w:val="19"/>
              </w:rPr>
              <w:t xml:space="preserve">Compliance</w:t>
            </w:r>
          </w:p>
        </w:tc>
      </w:tr>
      <w:tr>
        <w:tc>
          <w:tcPr>
            <w:tcW w:type="dxa" w:w="2000"/>
            <w:tcMar>
              <w:top w:type="dxa" w:w="80"/>
              <w:left w:type="dxa" w:w="100"/>
              <w:bottom w:type="dxa" w:w="80"/>
              <w:right w:type="dxa" w:w="100"/>
            </w:tcMar>
            <w:vAlign w:val="center"/>
          </w:tcPr>
          <w:p>
            <w:pPr>
              <w:jc w:val="left"/>
            </w:pPr>
            <w:r>
              <w:rPr>
                <w:b/>
                <w:bCs/>
                <w:color w:val="000000"/>
                <w:sz w:val="19"/>
                <w:szCs w:val="19"/>
              </w:rPr>
              <w:t xml:space="preserve">ARTE (Agency for the Technological Reform of the State)</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 original survey data</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(partial) — foot-traffic/demand only</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 5 services, questionnaire-based</w:t>
            </w:r>
          </w:p>
        </w:tc>
      </w:tr>
      <w:tr>
        <w:tc>
          <w:tcPr>
            <w:tcW w:type="dxa" w:w="2000"/>
            <w:tcMar>
              <w:top w:type="dxa" w:w="80"/>
              <w:left w:type="dxa" w:w="100"/>
              <w:bottom w:type="dxa" w:w="80"/>
              <w:right w:type="dxa" w:w="100"/>
            </w:tcMar>
            <w:vAlign w:val="center"/>
          </w:tcPr>
          <w:p>
            <w:pPr>
              <w:jc w:val="left"/>
            </w:pPr>
            <w:r>
              <w:rPr>
                <w:b/>
                <w:bCs/>
                <w:color w:val="000000"/>
                <w:sz w:val="19"/>
                <w:szCs w:val="19"/>
              </w:rPr>
              <w:t xml:space="preserve">AT (Tax and Customs Authority)</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 same survey wave as ARTE</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(partial) — foot-traffic/demand only</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Provisional — placeholder data, incl. full channel-level test dataset</w:t>
            </w:r>
          </w:p>
        </w:tc>
      </w:tr>
      <w:tr>
        <w:tc>
          <w:tcPr>
            <w:tcW w:type="dxa" w:w="2000"/>
            <w:tcMar>
              <w:top w:type="dxa" w:w="80"/>
              <w:left w:type="dxa" w:w="100"/>
              <w:bottom w:type="dxa" w:w="80"/>
              <w:right w:type="dxa" w:w="100"/>
            </w:tcMar>
            <w:vAlign w:val="center"/>
          </w:tcPr>
          <w:p>
            <w:pPr>
              <w:jc w:val="left"/>
            </w:pPr>
            <w:r>
              <w:rPr>
                <w:b/>
                <w:bCs/>
                <w:color w:val="000000"/>
                <w:sz w:val="19"/>
                <w:szCs w:val="19"/>
              </w:rPr>
              <w:t xml:space="preserve">ISS (Institute of Social Security)</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 dedicated multichannel questionnaire</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(partial) — foot-traffic/demand only</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Mixed — 4 of 22 services real, remainder provisional</w:t>
            </w:r>
          </w:p>
        </w:tc>
      </w:tr>
      <w:tr>
        <w:tc>
          <w:tcPr>
            <w:tcW w:type="dxa" w:w="2000"/>
            <w:tcMar>
              <w:top w:type="dxa" w:w="80"/>
              <w:left w:type="dxa" w:w="100"/>
              <w:bottom w:type="dxa" w:w="80"/>
              <w:right w:type="dxa" w:w="100"/>
            </w:tcMar>
            <w:vAlign w:val="center"/>
          </w:tcPr>
          <w:p>
            <w:pPr>
              <w:jc w:val="left"/>
            </w:pPr>
            <w:r>
              <w:rPr>
                <w:b/>
                <w:bCs/>
                <w:color w:val="000000"/>
                <w:sz w:val="19"/>
                <w:szCs w:val="19"/>
              </w:rPr>
              <w:t xml:space="preserve">CML (Lisbon City Council)</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for 3 of 5 services; remainder provisional</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for 3 of 5 services; remainder provisional</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Provisional — pending real submission</w:t>
            </w:r>
          </w:p>
        </w:tc>
      </w:tr>
      <w:tr>
        <w:tc>
          <w:tcPr>
            <w:tcW w:type="dxa" w:w="2000"/>
            <w:tcMar>
              <w:top w:type="dxa" w:w="80"/>
              <w:left w:type="dxa" w:w="100"/>
              <w:bottom w:type="dxa" w:w="80"/>
              <w:right w:type="dxa" w:w="100"/>
            </w:tcMar>
            <w:vAlign w:val="center"/>
          </w:tcPr>
          <w:p>
            <w:pPr>
              <w:jc w:val="left"/>
            </w:pPr>
            <w:r>
              <w:rPr>
                <w:b/>
                <w:bCs/>
                <w:color w:val="000000"/>
                <w:sz w:val="19"/>
                <w:szCs w:val="19"/>
              </w:rPr>
              <w:t xml:space="preserve">AD&amp;C (Agency for Development and Cohesion)</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 dedicated questionnaire, 108 usable responses</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Not yet ingested</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Real (self-reported) — entity-level, applied to both services</w:t>
            </w:r>
          </w:p>
        </w:tc>
      </w:tr>
    </w:tbl>
    <w:p>
      <w:pPr>
        <w:spacing w:after="160"/>
      </w:pPr>
      <w:r>
        <w:rPr>
          <w:sz w:val="21"/>
          <w:szCs w:val="21"/>
        </w:rPr>
        <w:t xml:space="preserve"/>
      </w:r>
    </w:p>
    <w:p>
      <w:pPr>
        <w:spacing w:after="160"/>
      </w:pPr>
      <w:r>
        <w:rPr>
          <w:sz w:val="21"/>
          <w:szCs w:val="21"/>
        </w:rPr>
        <w:t xml:space="preserve">Note on the Tax and Customs Authority (AT): the testing guidance shared by OECD flagged that the services listed for AT in the original use-case brief are no longer the services planned for the next testing round, pending an updated list. This is a coordination point to confirm before the next session, not a platform defect.</w:t>
      </w:r>
    </w:p>
    <w:p>
      <w:pPr>
        <w:pStyle w:val="Heading2"/>
        <w:spacing w:after="140" w:before="260"/>
      </w:pPr>
      <w:r>
        <w:rPr>
          <w:b/>
          <w:bCs/>
          <w:color w:val="2455A4"/>
          <w:sz w:val="23"/>
          <w:szCs w:val="23"/>
        </w:rPr>
        <w:t xml:space="preserve">Quality and validation</w:t>
      </w:r>
    </w:p>
    <w:p>
      <w:pPr>
        <w:pStyle w:val="ListParagraph"/>
        <w:numPr>
          <w:ilvl w:val="0"/>
          <w:numId w:val="2"/>
        </w:numPr>
        <w:spacing w:after="100"/>
      </w:pPr>
      <w:r>
        <w:rPr>
          <w:sz w:val="21"/>
          <w:szCs w:val="21"/>
        </w:rPr>
        <w:t xml:space="preserve">All real-data ingestion runs through Python scripts with an explicit dry-run/reporting mode; unmapped survey labels are reported for manual review rather than guessed or silently dropped.</w:t>
      </w:r>
    </w:p>
    <w:p>
      <w:pPr>
        <w:pStyle w:val="ListParagraph"/>
        <w:numPr>
          <w:ilvl w:val="0"/>
          <w:numId w:val="2"/>
        </w:numPr>
        <w:spacing w:after="100"/>
      </w:pPr>
      <w:r>
        <w:rPr>
          <w:sz w:val="21"/>
          <w:szCs w:val="21"/>
        </w:rPr>
        <w:t xml:space="preserve">Each ingestion is paired with a dedicated, reviewable SQL migration — there is a full, auditable trail of what was loaded, when, and from which source file.</w:t>
      </w:r>
    </w:p>
    <w:p>
      <w:pPr>
        <w:pStyle w:val="ListParagraph"/>
        <w:numPr>
          <w:ilvl w:val="0"/>
          <w:numId w:val="2"/>
        </w:numPr>
        <w:spacing w:after="100"/>
      </w:pPr>
      <w:r>
        <w:rPr>
          <w:sz w:val="21"/>
          <w:szCs w:val="21"/>
        </w:rPr>
        <w:t xml:space="preserve">Duplicate or inconsistent service names across source files (e.g. two different names for the same service) were identified and consolidated during ingestion rather than left as silent duplicates.</w:t>
      </w:r>
    </w:p>
    <w:p>
      <w:pPr>
        <w:spacing w:after="160"/>
      </w:pPr>
      <w:r>
        <w:rPr>
          <w:b/>
          <w:bCs/>
          <w:color w:val="595959"/>
          <w:sz w:val="20"/>
          <w:szCs w:val="20"/>
        </w:rPr>
        <w:t xml:space="preserve">Maturity: </w:t>
      </w:r>
      <w:r>
        <w:rPr>
          <w:b/>
          <w:bCs/>
          <w:color w:val="2455A4"/>
          <w:sz w:val="20"/>
          <w:szCs w:val="20"/>
        </w:rPr>
        <w:t xml:space="preserve">Developing.</w:t>
      </w:r>
    </w:p>
    <w:p>
      <w:pPr>
        <w:spacing w:after="160"/>
      </w:pPr>
      <w:r>
        <w:rPr>
          <w:sz w:val="21"/>
          <w:szCs w:val="21"/>
        </w:rPr>
        <w:t xml:space="preserve">Three of five entities now have real user-experience data and partial real operational data; compliance data is real for two entities and provisional for the rest. The data model itself (9 dimensions, indicator taxonomy) is stable and finalized. The main gap to “mature” status is closing the provisional placeholders with real submissions and confirming the measurement-upload format.</w:t>
      </w:r>
    </w:p>
    <w:p>
      <w:pPr>
        <w:pStyle w:val="Heading1"/>
        <w:pBdr>
          <w:bottom w:val="single" w:color="2455A4" w:sz="6" w:space="4"/>
        </w:pBdr>
        <w:spacing w:after="200" w:before="380"/>
      </w:pPr>
      <w:r>
        <w:rPr>
          <w:b/>
          <w:bCs/>
          <w:color w:val="1B2A56"/>
          <w:sz w:val="28"/>
          <w:szCs w:val="28"/>
        </w:rPr>
        <w:t xml:space="preserve">4. Design and Technology</w:t>
      </w:r>
    </w:p>
    <w:p>
      <w:pPr>
        <w:pStyle w:val="Heading2"/>
        <w:spacing w:after="140" w:before="260"/>
      </w:pPr>
      <w:r>
        <w:rPr>
          <w:b/>
          <w:bCs/>
          <w:color w:val="2455A4"/>
          <w:sz w:val="23"/>
          <w:szCs w:val="23"/>
        </w:rPr>
        <w:t xml:space="preserve">Architecture</w:t>
      </w:r>
    </w:p>
    <w:p>
      <w:pPr>
        <w:pStyle w:val="ListParagraph"/>
        <w:numPr>
          <w:ilvl w:val="0"/>
          <w:numId w:val="2"/>
        </w:numPr>
        <w:spacing w:after="100"/>
      </w:pPr>
      <w:r>
        <w:rPr>
          <w:sz w:val="21"/>
          <w:szCs w:val="21"/>
        </w:rPr>
        <w:t xml:space="preserve">Next.js 16 (App Router) with React 19 and TypeScript 5, styled with Tailwind CSS v4.</w:t>
      </w:r>
    </w:p>
    <w:p>
      <w:pPr>
        <w:pStyle w:val="ListParagraph"/>
        <w:numPr>
          <w:ilvl w:val="0"/>
          <w:numId w:val="2"/>
        </w:numPr>
        <w:spacing w:after="100"/>
      </w:pPr>
      <w:r>
        <w:rPr>
          <w:sz w:val="21"/>
          <w:szCs w:val="21"/>
        </w:rPr>
        <w:t xml:space="preserve">Supabase (managed PostgreSQL + PostgREST) as the data layer; the front end reads via a public, read-only anonymous key — writes are reserved for the ingestion scripts, not exposed to the browser.</w:t>
      </w:r>
    </w:p>
    <w:p>
      <w:pPr>
        <w:pStyle w:val="ListParagraph"/>
        <w:numPr>
          <w:ilvl w:val="0"/>
          <w:numId w:val="2"/>
        </w:numPr>
        <w:spacing w:after="100"/>
      </w:pPr>
      <w:r>
        <w:rPr>
          <w:sz w:val="21"/>
          <w:szCs w:val="21"/>
        </w:rPr>
        <w:t xml:space="preserve">Continuous deployment configured on Railway, auto-deploying from the main branch, contingent on Supabase environment variables being present in the deploy environment.</w:t>
      </w:r>
    </w:p>
    <w:p>
      <w:pPr>
        <w:pStyle w:val="Heading2"/>
        <w:spacing w:after="140" w:before="260"/>
      </w:pPr>
      <w:r>
        <w:rPr>
          <w:b/>
          <w:bCs/>
          <w:color w:val="2455A4"/>
          <w:sz w:val="23"/>
          <w:szCs w:val="23"/>
        </w:rPr>
        <w:t xml:space="preserve">Design system</w:t>
      </w:r>
    </w:p>
    <w:p>
      <w:pPr>
        <w:spacing w:after="160"/>
      </w:pPr>
      <w:r>
        <w:rPr>
          <w:sz w:val="21"/>
          <w:szCs w:val="21"/>
        </w:rPr>
        <w:t xml:space="preserve">The Ágora Design System is implemented at the token level only — typography (Noto Sans), the full colour scale, and a locally-generated 174-icon set extracted from the official Ágora icon library — rather than via the official @ama-pt/agora-design-system component package. All interactive components (cards, buttons, filters, modals) are hand-built in Tailwind on top of those tokens. This was a deliberate, documented adaptation agreed during Phase 0, not a silent deviation, and keeps the interface visually consistent with Ágora while giving full control over component behaviour.</w:t>
      </w:r>
    </w:p>
    <w:p>
      <w:pPr>
        <w:pStyle w:val="Heading2"/>
        <w:spacing w:after="140" w:before="260"/>
      </w:pPr>
      <w:r>
        <w:rPr>
          <w:b/>
          <w:bCs/>
          <w:color w:val="2455A4"/>
          <w:sz w:val="23"/>
          <w:szCs w:val="23"/>
        </w:rPr>
        <w:t xml:space="preserve">Access</w:t>
      </w:r>
    </w:p>
    <w:p>
      <w:pPr>
        <w:pStyle w:val="ListParagraph"/>
        <w:numPr>
          <w:ilvl w:val="0"/>
          <w:numId w:val="2"/>
        </w:numPr>
        <w:spacing w:after="100"/>
      </w:pPr>
      <w:r>
        <w:rPr>
          <w:sz w:val="21"/>
          <w:szCs w:val="21"/>
        </w:rPr>
        <w:t xml:space="preserve">Deployed in a closed, non-public environment, matching the agreed delivery model for this testing phase.</w:t>
      </w:r>
    </w:p>
    <w:p>
      <w:pPr>
        <w:pStyle w:val="ListParagraph"/>
        <w:numPr>
          <w:ilvl w:val="0"/>
          <w:numId w:val="2"/>
        </w:numPr>
        <w:spacing w:after="100"/>
      </w:pPr>
      <w:r>
        <w:rPr>
          <w:sz w:val="21"/>
          <w:szCs w:val="21"/>
        </w:rPr>
        <w:t xml:space="preserve">No authentication layer exists yet; entity selection provides data scoping, not identity or access control. This was agreed as acceptable for a controlled pilot of 1–5 concurrent testers, and is flagged again in Section 6 as a pre-scale-up requirement.</w:t>
      </w:r>
    </w:p>
    <w:p>
      <w:pPr>
        <w:pStyle w:val="Heading2"/>
        <w:spacing w:after="140" w:before="260"/>
      </w:pPr>
      <w:r>
        <w:rPr>
          <w:b/>
          <w:bCs/>
          <w:color w:val="2455A4"/>
          <w:sz w:val="23"/>
          <w:szCs w:val="23"/>
        </w:rPr>
        <w:t xml:space="preserve">Accessibility</w:t>
      </w:r>
    </w:p>
    <w:p>
      <w:pPr>
        <w:pStyle w:val="ListParagraph"/>
        <w:numPr>
          <w:ilvl w:val="0"/>
          <w:numId w:val="2"/>
        </w:numPr>
        <w:spacing w:after="100"/>
      </w:pPr>
      <w:r>
        <w:rPr>
          <w:sz w:val="21"/>
          <w:szCs w:val="21"/>
        </w:rPr>
        <w:t xml:space="preserve">The full colour palette was audited for WCAG AA contrast at the token level (documented ratios in the design-system reference), and known low-contrast combinations (e.g. certain warning tones as foreground text) were explicitly flagged and avoided in components.</w:t>
      </w:r>
    </w:p>
    <w:p>
      <w:pPr>
        <w:pStyle w:val="ListParagraph"/>
        <w:numPr>
          <w:ilvl w:val="0"/>
          <w:numId w:val="2"/>
        </w:numPr>
        <w:spacing w:after="100"/>
      </w:pPr>
      <w:r>
        <w:rPr>
          <w:sz w:val="21"/>
          <w:szCs w:val="21"/>
        </w:rPr>
        <w:t xml:space="preserve">Status is consistently communicated with an icon-plus-colour pairing throughout the interface (compliance grid, KPI deltas, ranking flags), not colour alone — good practice already in place.</w:t>
      </w:r>
    </w:p>
    <w:p>
      <w:pPr>
        <w:pStyle w:val="ListParagraph"/>
        <w:numPr>
          <w:ilvl w:val="0"/>
          <w:numId w:val="2"/>
        </w:numPr>
        <w:spacing w:after="100"/>
      </w:pPr>
      <w:r>
        <w:rPr>
          <w:sz w:val="21"/>
          <w:szCs w:val="21"/>
        </w:rPr>
        <w:t xml:space="preserve">No end-to-end accessibility audit (keyboard navigation, screen-reader behaviour) has been carried out yet; only the design-token layer has been verified so far.</w:t>
      </w:r>
    </w:p>
    <w:p>
      <w:pPr>
        <w:pStyle w:val="Heading2"/>
        <w:spacing w:after="140" w:before="260"/>
      </w:pPr>
      <w:r>
        <w:rPr>
          <w:b/>
          <w:bCs/>
          <w:color w:val="2455A4"/>
          <w:sz w:val="23"/>
          <w:szCs w:val="23"/>
        </w:rPr>
        <w:t xml:space="preserve">Performance</w:t>
      </w:r>
    </w:p>
    <w:p>
      <w:pPr>
        <w:pStyle w:val="ListParagraph"/>
        <w:numPr>
          <w:ilvl w:val="0"/>
          <w:numId w:val="2"/>
        </w:numPr>
        <w:spacing w:after="100"/>
      </w:pPr>
      <w:r>
        <w:rPr>
          <w:sz w:val="21"/>
          <w:szCs w:val="21"/>
        </w:rPr>
        <w:t xml:space="preserve">No formal load testing has been performed; this matches the agreed scale assumption of 1–5 concurrent testers for this phase.</w:t>
      </w:r>
    </w:p>
    <w:p>
      <w:pPr>
        <w:pStyle w:val="ListParagraph"/>
        <w:numPr>
          <w:ilvl w:val="0"/>
          <w:numId w:val="2"/>
        </w:numPr>
        <w:spacing w:after="100"/>
      </w:pPr>
      <w:r>
        <w:rPr>
          <w:sz w:val="21"/>
          <w:szCs w:val="21"/>
        </w:rPr>
        <w:t xml:space="preserve">The dashboard’s data layer already handles Supabase/PostgREST’s 1,000-row response cap by paginating through results — an early, proactive scale consideration rather than a reactive fix.</w:t>
      </w:r>
    </w:p>
    <w:p>
      <w:pPr>
        <w:spacing w:after="160"/>
      </w:pPr>
      <w:r>
        <w:rPr>
          <w:b/>
          <w:bCs/>
          <w:color w:val="595959"/>
          <w:sz w:val="20"/>
          <w:szCs w:val="20"/>
        </w:rPr>
        <w:t xml:space="preserve">Maturity: </w:t>
      </w:r>
      <w:r>
        <w:rPr>
          <w:b/>
          <w:bCs/>
          <w:color w:val="1E7A34"/>
          <w:sz w:val="20"/>
          <w:szCs w:val="20"/>
        </w:rPr>
        <w:t xml:space="preserve">Stable.</w:t>
      </w:r>
    </w:p>
    <w:p>
      <w:pPr>
        <w:spacing w:after="160"/>
      </w:pPr>
      <w:r>
        <w:rPr>
          <w:sz w:val="21"/>
          <w:szCs w:val="21"/>
        </w:rPr>
        <w:t xml:space="preserve">The architecture is coherent and consistent across all screens, with one documented and agreed design-system adaptation. The two structural gaps — authentication and a data-ingestion UI — are scoped exclusions for this phase rather than defects, and are carried into the recommendations below.</w:t>
      </w:r>
    </w:p>
    <w:p>
      <w:pPr>
        <w:pStyle w:val="Heading1"/>
        <w:pBdr>
          <w:bottom w:val="single" w:color="2455A4" w:sz="6" w:space="4"/>
        </w:pBdr>
        <w:spacing w:after="200" w:before="380"/>
      </w:pPr>
      <w:r>
        <w:rPr>
          <w:b/>
          <w:bCs/>
          <w:color w:val="1B2A56"/>
          <w:sz w:val="28"/>
          <w:szCs w:val="28"/>
        </w:rPr>
        <w:t xml:space="preserve">5. Capabilities and Features</w:t>
      </w:r>
    </w:p>
    <w:p>
      <w:pPr>
        <w:pStyle w:val="Heading2"/>
        <w:spacing w:after="140" w:before="260"/>
      </w:pPr>
      <w:r>
        <w:rPr>
          <w:b/>
          <w:bCs/>
          <w:color w:val="2455A4"/>
          <w:sz w:val="23"/>
          <w:szCs w:val="23"/>
        </w:rPr>
        <w:t xml:space="preserve">Functionalities delivered</w:t>
      </w:r>
    </w:p>
    <w:p>
      <w:pPr>
        <w:pStyle w:val="ListParagraph"/>
        <w:numPr>
          <w:ilvl w:val="0"/>
          <w:numId w:val="2"/>
        </w:numPr>
        <w:spacing w:after="100"/>
      </w:pPr>
      <w:r>
        <w:rPr>
          <w:sz w:val="21"/>
          <w:szCs w:val="21"/>
        </w:rPr>
        <w:t xml:space="preserve">Dimensions: an overview of all 9 Matrix dimensions with per-dimension flags for missing data, non-compliance, and operational/UX underperformance, plus a full filter-and-sort toolbar (search, metric, indicator type, Matrix-indicator flag, legal non-compliance, missing data, sort).</w:t>
      </w:r>
    </w:p>
    <w:p>
      <w:pPr>
        <w:pStyle w:val="ListParagraph"/>
        <w:numPr>
          <w:ilvl w:val="0"/>
          <w:numId w:val="2"/>
        </w:numPr>
        <w:spacing w:after="100"/>
      </w:pPr>
      <w:r>
        <w:rPr>
          <w:sz w:val="21"/>
          <w:szCs w:val="21"/>
        </w:rPr>
        <w:t xml:space="preserve">Indicators: a searchable, filterable catalog and a detailed indicator view with four visualization modes — a gauge/simple view, district-level view, and channel-level view, all driven by real measurement data, plus legal-basis reference and a technical datasheet.</w:t>
      </w:r>
    </w:p>
    <w:p>
      <w:pPr>
        <w:pStyle w:val="ListParagraph"/>
        <w:numPr>
          <w:ilvl w:val="0"/>
          <w:numId w:val="2"/>
        </w:numPr>
        <w:spacing w:after="100"/>
      </w:pPr>
      <w:r>
        <w:rPr>
          <w:sz w:val="21"/>
          <w:szCs w:val="21"/>
        </w:rPr>
        <w:t xml:space="preserve">Service Catalog: per-entity service listing with CSAT scores, search, sort, and the same compliance/missing-data filters, plus a service detail page surfacing relevant innovation suggestions and OPSI case studies.</w:t>
      </w:r>
    </w:p>
    <w:p>
      <w:pPr>
        <w:pStyle w:val="ListParagraph"/>
        <w:numPr>
          <w:ilvl w:val="0"/>
          <w:numId w:val="2"/>
        </w:numPr>
        <w:spacing w:after="100"/>
      </w:pPr>
      <w:r>
        <w:rPr>
          <w:sz w:val="21"/>
          <w:szCs w:val="21"/>
        </w:rPr>
        <w:t xml:space="preserve">Dashboard: eight composed analytics views per entity — KPI tiles, a data-completeness panel, a 9-dimension performance profile, a service ranking that separates low-sample services, a per-channel breakdown, an indicator trend view, a district choropleth map of Portugal, and a compliance scorecard grid — all built from real rows with graceful empty states.</w:t>
      </w:r>
    </w:p>
    <w:p>
      <w:pPr>
        <w:pStyle w:val="ListParagraph"/>
        <w:numPr>
          <w:ilvl w:val="0"/>
          <w:numId w:val="2"/>
        </w:numPr>
        <w:spacing w:after="100"/>
      </w:pPr>
      <w:r>
        <w:rPr>
          <w:sz w:val="21"/>
          <w:szCs w:val="21"/>
        </w:rPr>
        <w:t xml:space="preserve">Innovation Resources: OPSI case studies and innovation suggestions organized by dimension, a reference to the Innovation Accelerator toolkit, and a link to the “Livro Amarelo” public-complaints platform.</w:t>
      </w:r>
    </w:p>
    <w:p>
      <w:pPr>
        <w:pStyle w:val="ListParagraph"/>
        <w:numPr>
          <w:ilvl w:val="0"/>
          <w:numId w:val="2"/>
        </w:numPr>
        <w:spacing w:after="100"/>
      </w:pPr>
      <w:r>
        <w:rPr>
          <w:sz w:val="21"/>
          <w:szCs w:val="21"/>
        </w:rPr>
        <w:t xml:space="preserve">Global Search: cross-entity search across services, indicators, and dimensions.</w:t>
      </w:r>
    </w:p>
    <w:p>
      <w:pPr>
        <w:pStyle w:val="Heading2"/>
        <w:spacing w:after="140" w:before="260"/>
      </w:pPr>
      <w:r>
        <w:rPr>
          <w:b/>
          <w:bCs/>
          <w:color w:val="2455A4"/>
          <w:sz w:val="23"/>
          <w:szCs w:val="23"/>
        </w:rPr>
        <w:t xml:space="preserve">Analytics and “alerts”</w:t>
      </w:r>
    </w:p>
    <w:p>
      <w:pPr>
        <w:spacing w:after="160"/>
      </w:pPr>
      <w:r>
        <w:rPr>
          <w:sz w:val="21"/>
          <w:szCs w:val="21"/>
        </w:rPr>
        <w:t xml:space="preserve">There is no active alerting system (e.g. email or push notifications) at this stage. What exists instead is a consistent set of in-app visual flags: missing-data flags, legal-non-compliance flags, a “needs attention” marker for the bottom-performing services, and a low-sample-size warning wherever a score is based on fewer than five responses. This is a meaningful analytical layer, but it is passive — a user has to open the platform to see it, which is worth naming clearly for the client so “alerts” is understood as “in-app flags” rather than “notifications.”</w:t>
      </w:r>
    </w:p>
    <w:p>
      <w:pPr>
        <w:pStyle w:val="Heading2"/>
        <w:spacing w:after="140" w:before="260"/>
      </w:pPr>
      <w:r>
        <w:rPr>
          <w:b/>
          <w:bCs/>
          <w:color w:val="2455A4"/>
          <w:sz w:val="23"/>
          <w:szCs w:val="23"/>
        </w:rPr>
        <w:t xml:space="preserve">Response to the 15 July testing feedback</w:t>
      </w:r>
    </w:p>
    <w:p>
      <w:pPr>
        <w:spacing w:after="160"/>
      </w:pPr>
      <w:r>
        <w:rPr>
          <w:sz w:val="21"/>
          <w:szCs w:val="21"/>
        </w:rPr>
        <w:t xml:space="preserve">The client’s first formal feedback document (15 July) framed most items as clarifications of existing requirements rather than new asks. The table below reflects what is verifiably in the current build against each item raised.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3600"/>
      </w:tblGrid>
      <w:tr>
        <w:trPr>
          <w:tblHeader/>
        </w:trPr>
        <w:tc>
          <w:tcPr>
            <w:tcW w:type="dxa" w:w="5600"/>
            <w:shd w:fill="1B2A56" w:val="clear"/>
            <w:tcMar>
              <w:top w:type="dxa" w:w="80"/>
              <w:left w:type="dxa" w:w="100"/>
              <w:bottom w:type="dxa" w:w="80"/>
              <w:right w:type="dxa" w:w="100"/>
            </w:tcMar>
            <w:vAlign w:val="center"/>
          </w:tcPr>
          <w:p>
            <w:pPr>
              <w:jc w:val="left"/>
            </w:pPr>
            <w:r>
              <w:rPr>
                <w:b/>
                <w:bCs/>
                <w:color w:val="FFFFFF"/>
                <w:sz w:val="19"/>
                <w:szCs w:val="19"/>
              </w:rPr>
              <w:t xml:space="preserve">Client feedback item (15 July testing round)</w:t>
            </w:r>
          </w:p>
        </w:tc>
        <w:tc>
          <w:tcPr>
            <w:tcW w:type="dxa" w:w="3600"/>
            <w:shd w:fill="1B2A56" w:val="clear"/>
            <w:tcMar>
              <w:top w:type="dxa" w:w="80"/>
              <w:left w:type="dxa" w:w="100"/>
              <w:bottom w:type="dxa" w:w="80"/>
              <w:right w:type="dxa" w:w="100"/>
            </w:tcMar>
            <w:vAlign w:val="center"/>
          </w:tcPr>
          <w:p>
            <w:pPr>
              <w:jc w:val="left"/>
            </w:pPr>
            <w:r>
              <w:rPr>
                <w:b/>
                <w:bCs/>
                <w:color w:val="FFFFFF"/>
                <w:sz w:val="19"/>
                <w:szCs w:val="19"/>
              </w:rPr>
              <w:t xml:space="preserve">Current status in the build</w:t>
            </w:r>
          </w:p>
        </w:tc>
      </w:tr>
      <w:tr>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Always display all 9 Matrix dimensions, flagging those without data</w:t>
            </w:r>
          </w:p>
        </w:tc>
        <w:tc>
          <w:tcPr>
            <w:tcW w:type="dxa" w:w="3600"/>
            <w:tcMar>
              <w:top w:type="dxa" w:w="80"/>
              <w:left w:type="dxa" w:w="100"/>
              <w:bottom w:type="dxa" w:w="80"/>
              <w:right w:type="dxa" w:w="100"/>
            </w:tcMar>
            <w:vAlign w:val="center"/>
          </w:tcPr>
          <w:p>
            <w:pPr>
              <w:jc w:val="left"/>
            </w:pPr>
            <w:r>
              <w:rPr>
                <w:b w:val="false"/>
                <w:bCs w:val="false"/>
                <w:color w:val="1E7A34"/>
                <w:sz w:val="19"/>
                <w:szCs w:val="19"/>
              </w:rPr>
              <w:t xml:space="preserve">Addressed — dimensions render unconditionally with explicit no-data handling</w:t>
            </w:r>
          </w:p>
        </w:tc>
      </w:tr>
      <w:tr>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Finalize dimension names/definitions per client-supplied table</w:t>
            </w:r>
          </w:p>
        </w:tc>
        <w:tc>
          <w:tcPr>
            <w:tcW w:type="dxa" w:w="3600"/>
            <w:tcMar>
              <w:top w:type="dxa" w:w="80"/>
              <w:left w:type="dxa" w:w="100"/>
              <w:bottom w:type="dxa" w:w="80"/>
              <w:right w:type="dxa" w:w="100"/>
            </w:tcMar>
            <w:vAlign w:val="center"/>
          </w:tcPr>
          <w:p>
            <w:pPr>
              <w:jc w:val="left"/>
            </w:pPr>
            <w:r>
              <w:rPr>
                <w:b w:val="false"/>
                <w:bCs w:val="false"/>
                <w:color w:val="1E7A34"/>
                <w:sz w:val="19"/>
                <w:szCs w:val="19"/>
              </w:rPr>
              <w:t xml:space="preserve">Addressed — terminology updated across the platform and the data model</w:t>
            </w:r>
          </w:p>
        </w:tc>
      </w:tr>
      <w:tr>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Add Innovation to the main navigation menu</w:t>
            </w:r>
          </w:p>
        </w:tc>
        <w:tc>
          <w:tcPr>
            <w:tcW w:type="dxa" w:w="3600"/>
            <w:tcMar>
              <w:top w:type="dxa" w:w="80"/>
              <w:left w:type="dxa" w:w="100"/>
              <w:bottom w:type="dxa" w:w="80"/>
              <w:right w:type="dxa" w:w="100"/>
            </w:tcMar>
            <w:vAlign w:val="center"/>
          </w:tcPr>
          <w:p>
            <w:pPr>
              <w:jc w:val="left"/>
            </w:pPr>
            <w:r>
              <w:rPr>
                <w:b w:val="false"/>
                <w:bCs w:val="false"/>
                <w:color w:val="1E7A34"/>
                <w:sz w:val="19"/>
                <w:szCs w:val="19"/>
              </w:rPr>
              <w:t xml:space="preserve">Addressed — present in the sidebar for all users</w:t>
            </w:r>
          </w:p>
        </w:tc>
      </w:tr>
      <w:tr>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Remove duplicate ARTE indicator in the Simplicity dimension</w:t>
            </w:r>
          </w:p>
        </w:tc>
        <w:tc>
          <w:tcPr>
            <w:tcW w:type="dxa" w:w="3600"/>
            <w:tcMar>
              <w:top w:type="dxa" w:w="80"/>
              <w:left w:type="dxa" w:w="100"/>
              <w:bottom w:type="dxa" w:w="80"/>
              <w:right w:type="dxa" w:w="100"/>
            </w:tcMar>
            <w:vAlign w:val="center"/>
          </w:tcPr>
          <w:p>
            <w:pPr>
              <w:jc w:val="left"/>
            </w:pPr>
            <w:r>
              <w:rPr>
                <w:b w:val="false"/>
                <w:bCs w:val="false"/>
                <w:color w:val="1E7A34"/>
                <w:sz w:val="19"/>
                <w:szCs w:val="19"/>
              </w:rPr>
              <w:t xml:space="preserve">Addressed — duplicate indicator removed</w:t>
            </w:r>
          </w:p>
        </w:tc>
      </w:tr>
      <w:tr>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Aggregate-vs-channel and service-vs-all-services view selector</w:t>
            </w:r>
          </w:p>
        </w:tc>
        <w:tc>
          <w:tcPr>
            <w:tcW w:type="dxa" w:w="3600"/>
            <w:tcMar>
              <w:top w:type="dxa" w:w="80"/>
              <w:left w:type="dxa" w:w="100"/>
              <w:bottom w:type="dxa" w:w="80"/>
              <w:right w:type="dxa" w:w="100"/>
            </w:tcMar>
            <w:vAlign w:val="center"/>
          </w:tcPr>
          <w:p>
            <w:pPr>
              <w:jc w:val="left"/>
            </w:pPr>
            <w:r>
              <w:rPr>
                <w:b w:val="false"/>
                <w:bCs w:val="false"/>
                <w:color w:val="1E7A34"/>
                <w:sz w:val="19"/>
                <w:szCs w:val="19"/>
              </w:rPr>
              <w:t xml:space="preserve">Addressed — implemented as a global channel selector in the top bar</w:t>
            </w:r>
          </w:p>
        </w:tc>
      </w:tr>
      <w:tr>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Rename “Obrigatórios” filter to “Indicador da Matriz”</w:t>
            </w:r>
          </w:p>
        </w:tc>
        <w:tc>
          <w:tcPr>
            <w:tcW w:type="dxa" w:w="3600"/>
            <w:tcMar>
              <w:top w:type="dxa" w:w="80"/>
              <w:left w:type="dxa" w:w="100"/>
              <w:bottom w:type="dxa" w:w="80"/>
              <w:right w:type="dxa" w:w="100"/>
            </w:tcMar>
            <w:vAlign w:val="center"/>
          </w:tcPr>
          <w:p>
            <w:pPr>
              <w:jc w:val="left"/>
            </w:pPr>
            <w:r>
              <w:rPr>
                <w:b w:val="false"/>
                <w:bCs w:val="false"/>
                <w:color w:val="1E7A34"/>
                <w:sz w:val="19"/>
                <w:szCs w:val="19"/>
              </w:rPr>
              <w:t xml:space="preserve">Addressed — filter label updated</w:t>
            </w:r>
          </w:p>
        </w:tc>
      </w:tr>
      <w:tr>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Add an Innovation Resources button ahead of the OPSI external link</w:t>
            </w:r>
          </w:p>
        </w:tc>
        <w:tc>
          <w:tcPr>
            <w:tcW w:type="dxa" w:w="3600"/>
            <w:tcMar>
              <w:top w:type="dxa" w:w="80"/>
              <w:left w:type="dxa" w:w="100"/>
              <w:bottom w:type="dxa" w:w="80"/>
              <w:right w:type="dxa" w:w="100"/>
            </w:tcMar>
            <w:vAlign w:val="center"/>
          </w:tcPr>
          <w:p>
            <w:pPr>
              <w:jc w:val="left"/>
            </w:pPr>
            <w:r>
              <w:rPr>
                <w:b w:val="false"/>
                <w:bCs w:val="false"/>
                <w:color w:val="1E7A34"/>
                <w:sz w:val="19"/>
                <w:szCs w:val="19"/>
              </w:rPr>
              <w:t xml:space="preserve">Addressed — new item added to the Innovation page</w:t>
            </w:r>
          </w:p>
        </w:tc>
      </w:tr>
      <w:tr>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Connect the Innovation Booster / Accelerator to an access point</w:t>
            </w:r>
          </w:p>
        </w:tc>
        <w:tc>
          <w:tcPr>
            <w:tcW w:type="dxa" w:w="3600"/>
            <w:tcMar>
              <w:top w:type="dxa" w:w="80"/>
              <w:left w:type="dxa" w:w="100"/>
              <w:bottom w:type="dxa" w:w="80"/>
              <w:right w:type="dxa" w:w="100"/>
            </w:tcMar>
            <w:vAlign w:val="center"/>
          </w:tcPr>
          <w:p>
            <w:pPr>
              <w:jc w:val="left"/>
            </w:pPr>
            <w:r>
              <w:rPr>
                <w:b w:val="false"/>
                <w:bCs w:val="false"/>
                <w:color w:val="1E7A34"/>
                <w:sz w:val="19"/>
                <w:szCs w:val="19"/>
              </w:rPr>
              <w:t xml:space="preserve">Addressed — Accelerator section links out to the external toolkit</w:t>
            </w:r>
          </w:p>
        </w:tc>
      </w:tr>
      <w:tr>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Add a Matrix-adoption status filter to the Indicators page</w:t>
            </w:r>
          </w:p>
        </w:tc>
        <w:tc>
          <w:tcPr>
            <w:tcW w:type="dxa" w:w="3600"/>
            <w:tcMar>
              <w:top w:type="dxa" w:w="80"/>
              <w:left w:type="dxa" w:w="100"/>
              <w:bottom w:type="dxa" w:w="80"/>
              <w:right w:type="dxa" w:w="100"/>
            </w:tcMar>
            <w:vAlign w:val="center"/>
          </w:tcPr>
          <w:p>
            <w:pPr>
              <w:jc w:val="left"/>
            </w:pPr>
            <w:r>
              <w:rPr>
                <w:b w:val="false"/>
                <w:bCs w:val="false"/>
                <w:color w:val="1E7A34"/>
                <w:sz w:val="19"/>
                <w:szCs w:val="19"/>
              </w:rPr>
              <w:t xml:space="preserve">Addressed — filter implemented</w:t>
            </w:r>
          </w:p>
        </w:tc>
      </w:tr>
    </w:tbl>
    <w:p>
      <w:pPr>
        <w:spacing w:after="160"/>
      </w:pPr>
      <w:r>
        <w:rPr>
          <w:sz w:val="21"/>
          <w:szCs w:val="21"/>
        </w:rPr>
        <w:t xml:space="preserve"/>
      </w:r>
    </w:p>
    <w:p>
      <w:pPr>
        <w:pStyle w:val="Heading2"/>
        <w:spacing w:after="140" w:before="260"/>
      </w:pPr>
      <w:r>
        <w:rPr>
          <w:b/>
          <w:bCs/>
          <w:color w:val="2455A4"/>
          <w:sz w:val="23"/>
          <w:szCs w:val="23"/>
        </w:rPr>
        <w:t xml:space="preserve">Known feature stubs (visible but not yet functional)</w:t>
      </w:r>
    </w:p>
    <w:p>
      <w:pPr>
        <w:spacing w:after="160"/>
      </w:pPr>
      <w:r>
        <w:rPr>
          <w:sz w:val="21"/>
          <w:szCs w:val="21"/>
        </w:rPr>
        <w:t xml:space="preserve">These exist as UI affordances — present in the design, wired for future logic — but do not yet perform an action. They are flagged here so they are read as “not yet built” rather than “broken” in the next testing round.</w:t>
      </w:r>
    </w:p>
    <w:p>
      <w:pPr>
        <w:pStyle w:val="ListParagraph"/>
        <w:numPr>
          <w:ilvl w:val="0"/>
          <w:numId w:val="2"/>
        </w:numPr>
        <w:spacing w:after="100"/>
      </w:pPr>
      <w:r>
        <w:rPr>
          <w:sz w:val="21"/>
          <w:szCs w:val="21"/>
        </w:rPr>
        <w:t xml:space="preserve">“Os Meus Serviços” screen still runs entirely on static mock data, not the live database.</w:t>
      </w:r>
    </w:p>
    <w:p>
      <w:pPr>
        <w:pStyle w:val="ListParagraph"/>
        <w:numPr>
          <w:ilvl w:val="0"/>
          <w:numId w:val="2"/>
        </w:numPr>
        <w:spacing w:after="100"/>
      </w:pPr>
      <w:r>
        <w:rPr>
          <w:sz w:val="21"/>
          <w:szCs w:val="21"/>
        </w:rPr>
        <w:t xml:space="preserve">Favourites (the star/bookmark control) appears on several screens but has no working logic behind it anywhere.</w:t>
      </w:r>
    </w:p>
    <w:p>
      <w:pPr>
        <w:pStyle w:val="ListParagraph"/>
        <w:numPr>
          <w:ilvl w:val="0"/>
          <w:numId w:val="2"/>
        </w:numPr>
        <w:spacing w:after="100"/>
      </w:pPr>
      <w:r>
        <w:rPr>
          <w:sz w:val="21"/>
          <w:szCs w:val="21"/>
        </w:rPr>
        <w:t xml:space="preserve">Export, Share, and the cross-service/indicator Compare button on the indicator detail page are present but disabled.</w:t>
      </w:r>
    </w:p>
    <w:p>
      <w:pPr>
        <w:pStyle w:val="ListParagraph"/>
        <w:numPr>
          <w:ilvl w:val="0"/>
          <w:numId w:val="2"/>
        </w:numPr>
        <w:spacing w:after="100"/>
      </w:pPr>
      <w:r>
        <w:rPr>
          <w:sz w:val="21"/>
          <w:szCs w:val="21"/>
        </w:rPr>
        <w:t xml:space="preserve">The single-indicator time-series tab (“Visualização ao Longo do Tempo”) is currently disabled platform-wide, even though monthly real data now exists for at least one entity — see recommendations.</w:t>
      </w:r>
    </w:p>
    <w:p>
      <w:pPr>
        <w:spacing w:after="160"/>
      </w:pPr>
      <w:r>
        <w:rPr>
          <w:b/>
          <w:bCs/>
          <w:color w:val="595959"/>
          <w:sz w:val="20"/>
          <w:szCs w:val="20"/>
        </w:rPr>
        <w:t xml:space="preserve">Maturity: </w:t>
      </w:r>
      <w:r>
        <w:rPr>
          <w:b/>
          <w:bCs/>
          <w:color w:val="2455A4"/>
          <w:sz w:val="20"/>
          <w:szCs w:val="20"/>
        </w:rPr>
        <w:t xml:space="preserve">Developing, with a clear and mostly-closed feedback loop.</w:t>
      </w:r>
    </w:p>
    <w:p>
      <w:pPr>
        <w:spacing w:after="160"/>
      </w:pPr>
      <w:r>
        <w:rPr>
          <w:sz w:val="21"/>
          <w:szCs w:val="21"/>
        </w:rPr>
        <w:t xml:space="preserve">Core reporting and analytics functionality is in place and data-driven end to end. The remaining gap to full maturity is closing the visible stubs above and continuing the same fast feedback-to-fix cycle demonstrated on 15 July.</w:t>
      </w:r>
    </w:p>
    <w:p>
      <w:pPr>
        <w:pStyle w:val="Heading1"/>
        <w:pBdr>
          <w:bottom w:val="single" w:color="2455A4" w:sz="6" w:space="4"/>
        </w:pBdr>
        <w:spacing w:after="200" w:before="380"/>
      </w:pPr>
      <w:r>
        <w:rPr>
          <w:b/>
          <w:bCs/>
          <w:color w:val="1B2A56"/>
          <w:sz w:val="28"/>
          <w:szCs w:val="28"/>
        </w:rPr>
        <w:t xml:space="preserve">6. Key Limitations and Risks</w:t>
      </w:r>
    </w:p>
    <w:p>
      <w:pPr>
        <w:pStyle w:val="ListParagraph"/>
        <w:numPr>
          <w:ilvl w:val="0"/>
          <w:numId w:val="2"/>
        </w:numPr>
        <w:spacing w:after="100"/>
      </w:pPr>
      <w:r>
        <w:rPr>
          <w:sz w:val="21"/>
          <w:szCs w:val="21"/>
        </w:rPr>
        <w:t xml:space="preserve">No authentication. Acceptable for a closed pilot of 1–5 testers, but a hard blocker before any wider rollout or handover to entities operating independently.</w:t>
      </w:r>
    </w:p>
    <w:p>
      <w:pPr>
        <w:pStyle w:val="ListParagraph"/>
        <w:numPr>
          <w:ilvl w:val="0"/>
          <w:numId w:val="2"/>
        </w:numPr>
        <w:spacing w:after="100"/>
      </w:pPr>
      <w:r>
        <w:rPr>
          <w:sz w:val="21"/>
          <w:szCs w:val="21"/>
        </w:rPr>
        <w:t xml:space="preserve">No self-service data ingestion. Every new entity, service, or measurement currently requires an engineer to run a script or write a migration directly against the database — a real operational bottleneck once entities are expected to submit data on their own.</w:t>
      </w:r>
    </w:p>
    <w:p>
      <w:pPr>
        <w:pStyle w:val="ListParagraph"/>
        <w:numPr>
          <w:ilvl w:val="0"/>
          <w:numId w:val="2"/>
        </w:numPr>
        <w:spacing w:after="100"/>
      </w:pPr>
      <w:r>
        <w:rPr>
          <w:sz w:val="21"/>
          <w:szCs w:val="21"/>
        </w:rPr>
        <w:t xml:space="preserve">Provisional data is not visually distinguished from real data in the interface. Data is correctly flagged is_provisional in the database, but a tester looking at the screen has no on-screen indication that, for example, an entity’s compliance scores are placeholders rather than real submissions. This is a trust risk worth closing before broader testing, even though it does not affect data integrity.</w:t>
      </w:r>
    </w:p>
    <w:p>
      <w:pPr>
        <w:pStyle w:val="ListParagraph"/>
        <w:numPr>
          <w:ilvl w:val="0"/>
          <w:numId w:val="2"/>
        </w:numPr>
        <w:spacing w:after="100"/>
      </w:pPr>
      <w:r>
        <w:rPr>
          <w:sz w:val="21"/>
          <w:szCs w:val="21"/>
        </w:rPr>
        <w:t xml:space="preserve">Visible, disabled controls (Export, Share, Compare, Favourites, single-indicator time-series) may read as broken functionality to a non-technical tester rather than “not yet built,” unless addressed before the next round.</w:t>
      </w:r>
    </w:p>
    <w:p>
      <w:pPr>
        <w:pStyle w:val="ListParagraph"/>
        <w:numPr>
          <w:ilvl w:val="0"/>
          <w:numId w:val="2"/>
        </w:numPr>
        <w:spacing w:after="100"/>
      </w:pPr>
      <w:r>
        <w:rPr>
          <w:sz w:val="21"/>
          <w:szCs w:val="21"/>
        </w:rPr>
        <w:t xml:space="preserve">A quick win appears to be currently unclaimed: the single-indicator time-series view is disabled everywhere, even where multiple months of real data now exist for at least one entity.</w:t>
      </w:r>
    </w:p>
    <w:p>
      <w:pPr>
        <w:pStyle w:val="ListParagraph"/>
        <w:numPr>
          <w:ilvl w:val="0"/>
          <w:numId w:val="2"/>
        </w:numPr>
        <w:spacing w:after="100"/>
      </w:pPr>
      <w:r>
        <w:rPr>
          <w:sz w:val="21"/>
          <w:szCs w:val="21"/>
        </w:rPr>
        <w:t xml:space="preserve">Accessibility has only been verified at the design-token/contrast level; no keyboard-navigation or screen-reader testing has been performed yet.</w:t>
      </w:r>
    </w:p>
    <w:p>
      <w:pPr>
        <w:pStyle w:val="ListParagraph"/>
        <w:numPr>
          <w:ilvl w:val="0"/>
          <w:numId w:val="2"/>
        </w:numPr>
        <w:spacing w:after="100"/>
      </w:pPr>
      <w:r>
        <w:rPr>
          <w:sz w:val="21"/>
          <w:szCs w:val="21"/>
        </w:rPr>
        <w:t xml:space="preserve">No load or performance testing has been done; acceptable at the current 1–5 user scale, but will need validating before user or entity counts grow.</w:t>
      </w:r>
    </w:p>
    <w:p>
      <w:pPr>
        <w:pStyle w:val="Heading1"/>
        <w:pBdr>
          <w:bottom w:val="single" w:color="2455A4" w:sz="6" w:space="4"/>
        </w:pBdr>
        <w:spacing w:after="200" w:before="380"/>
      </w:pPr>
      <w:r>
        <w:rPr>
          <w:b/>
          <w:bCs/>
          <w:color w:val="1B2A56"/>
          <w:sz w:val="28"/>
          <w:szCs w:val="28"/>
        </w:rPr>
        <w:t xml:space="preserve">7. Recommendations and Next Steps</w:t>
      </w:r>
    </w:p>
    <w:p>
      <w:pPr>
        <w:pStyle w:val="Heading2"/>
        <w:spacing w:after="140" w:before="260"/>
      </w:pPr>
      <w:r>
        <w:rPr>
          <w:b/>
          <w:bCs/>
          <w:color w:val="2455A4"/>
          <w:sz w:val="23"/>
          <w:szCs w:val="23"/>
        </w:rPr>
        <w:t xml:space="preserve">Structural, for Phase 2 planning</w:t>
      </w:r>
    </w:p>
    <w:p>
      <w:pPr>
        <w:pStyle w:val="ListParagraph"/>
        <w:numPr>
          <w:ilvl w:val="0"/>
          <w:numId w:val="2"/>
        </w:numPr>
        <w:spacing w:after="100"/>
      </w:pPr>
      <w:r>
        <w:rPr>
          <w:sz w:val="21"/>
          <w:szCs w:val="21"/>
        </w:rPr>
        <w:t xml:space="preserve">Scope an authentication approach appropriate for scaling beyond the current 1–5-tester pilot.</w:t>
      </w:r>
    </w:p>
    <w:p>
      <w:pPr>
        <w:pStyle w:val="ListParagraph"/>
        <w:numPr>
          <w:ilvl w:val="0"/>
          <w:numId w:val="2"/>
        </w:numPr>
        <w:spacing w:after="100"/>
      </w:pPr>
      <w:r>
        <w:rPr>
          <w:sz w:val="21"/>
          <w:szCs w:val="21"/>
        </w:rPr>
        <w:t xml:space="preserve">Scope a minimal, even internal-only, data-ingestion interface to reduce reliance on engineer-run scripts as more entities and data cycles are added.</w:t>
      </w:r>
    </w:p>
    <w:p>
      <w:pPr>
        <w:pStyle w:val="ListParagraph"/>
        <w:numPr>
          <w:ilvl w:val="0"/>
          <w:numId w:val="2"/>
        </w:numPr>
        <w:spacing w:after="100"/>
      </w:pPr>
      <w:r>
        <w:rPr>
          <w:sz w:val="21"/>
          <w:szCs w:val="21"/>
        </w:rPr>
        <w:t xml:space="preserve">Schedule a full accessibility pass (keyboard navigation, screen reader) building on the contrast work already completed at the token level.</w:t>
      </w:r>
    </w:p>
    <w:p>
      <w:pPr>
        <w:pStyle w:val="Heading2"/>
        <w:spacing w:after="140" w:before="260"/>
      </w:pPr>
      <w:r>
        <w:rPr>
          <w:b/>
          <w:bCs/>
          <w:color w:val="2455A4"/>
          <w:sz w:val="23"/>
          <w:szCs w:val="23"/>
        </w:rPr>
        <w:t xml:space="preserve">Process</w:t>
      </w:r>
    </w:p>
    <w:p>
      <w:pPr>
        <w:spacing w:after="160"/>
      </w:pPr>
      <w:r>
        <w:rPr>
          <w:sz w:val="21"/>
          <w:szCs w:val="21"/>
        </w:rPr>
        <w:t xml:space="preserve">The 15 July feedback cycle showed the project can absorb client testing feedback quickly and traceably — items raised were, within the same cycle, either implemented, confirmed as already covered, or explicitly deferred with the client’s agreement. We recommend formalizing this as a short changelog delivered alongside each testing round, so OCDE and ARTE can see precisely what shipped in direct response to their notes.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Matriz para a Avaliação nos Serviços Públicos — MVP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2026-07-20T09:43:02.884Z</dcterms:created>
  <dcterms:modified xsi:type="dcterms:W3CDTF">2026-07-20T09:43:02.885Z</dcterms:modified>
</cp:coreProperties>
</file>

<file path=docProps/custom.xml><?xml version="1.0" encoding="utf-8"?>
<Properties xmlns="http://schemas.openxmlformats.org/officeDocument/2006/custom-properties" xmlns:vt="http://schemas.openxmlformats.org/officeDocument/2006/docPropsVTypes"/>
</file>