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76" w:lineRule="auto"/>
        <w:jc w:val="center"/>
        <w:rPr/>
      </w:pPr>
      <w:r w:rsidDel="00000000" w:rsidR="00000000" w:rsidRPr="00000000">
        <w:rPr>
          <w:rFonts w:ascii="Play" w:cs="Play" w:eastAsia="Play" w:hAnsi="Play"/>
          <w:sz w:val="28"/>
          <w:szCs w:val="28"/>
          <w:u w:val="none"/>
          <w:rtl w:val="0"/>
        </w:rPr>
        <w:t xml:space="preserve">Guidance on planning testing sessions tailored to entities’ use cases</w:t>
      </w:r>
      <w:r w:rsidDel="00000000" w:rsidR="00000000" w:rsidRPr="00000000">
        <w:rPr>
          <w:rtl w:val="0"/>
        </w:rPr>
      </w:r>
    </w:p>
    <w:p w:rsidR="00000000" w:rsidDel="00000000" w:rsidP="00000000" w:rsidRDefault="00000000" w:rsidRPr="00000000" w14:paraId="00000002">
      <w:pPr>
        <w:spacing w:after="80" w:line="276" w:lineRule="auto"/>
        <w:jc w:val="center"/>
        <w:rPr>
          <w:rFonts w:ascii="Play" w:cs="Play" w:eastAsia="Play" w:hAnsi="Play"/>
          <w:sz w:val="28"/>
          <w:szCs w:val="28"/>
          <w:u w:val="none"/>
        </w:rPr>
      </w:pPr>
      <w:r w:rsidDel="00000000" w:rsidR="00000000" w:rsidRPr="00000000">
        <w:rPr>
          <w:rtl w:val="0"/>
        </w:rPr>
      </w:r>
    </w:p>
    <w:p w:rsidR="00000000" w:rsidDel="00000000" w:rsidP="00000000" w:rsidRDefault="00000000" w:rsidRPr="00000000" w14:paraId="00000003">
      <w:pPr>
        <w:spacing w:after="80" w:line="276" w:lineRule="auto"/>
        <w:jc w:val="both"/>
        <w:rPr/>
      </w:pPr>
      <w:r w:rsidDel="00000000" w:rsidR="00000000" w:rsidRPr="00000000">
        <w:rPr>
          <w:rFonts w:ascii="Play" w:cs="Play" w:eastAsia="Play" w:hAnsi="Play"/>
          <w:b w:val="0"/>
          <w:bCs w:val="0"/>
          <w:i w:val="0"/>
          <w:iCs w:val="0"/>
          <w:smallCaps w:val="0"/>
          <w:color w:val="000000"/>
          <w:sz w:val="24"/>
          <w:szCs w:val="24"/>
          <w:rtl w:val="0"/>
        </w:rPr>
        <w:t xml:space="preserve">Testing would aim to address specific use cases or challenges for services and would use the tool to explore and interpret data and make decisions about service innovation. </w:t>
      </w:r>
      <w:r w:rsidDel="00000000" w:rsidR="00000000" w:rsidRPr="00000000">
        <w:rPr>
          <w:rtl w:val="0"/>
        </w:rPr>
      </w:r>
    </w:p>
    <w:p w:rsidR="00000000" w:rsidDel="00000000" w:rsidP="00000000" w:rsidRDefault="00000000" w:rsidRPr="00000000" w14:paraId="00000004">
      <w:pPr>
        <w:spacing w:after="80" w:line="276" w:lineRule="auto"/>
        <w:jc w:val="both"/>
        <w:rPr>
          <w:rFonts w:ascii="Play" w:cs="Play" w:eastAsia="Play" w:hAnsi="Play"/>
          <w:sz w:val="24"/>
          <w:szCs w:val="24"/>
        </w:rPr>
      </w:pPr>
      <w:r w:rsidDel="00000000" w:rsidR="00000000" w:rsidRPr="00000000">
        <w:rPr>
          <w:rtl w:val="0"/>
        </w:rPr>
      </w:r>
    </w:p>
    <w:p w:rsidR="00000000" w:rsidDel="00000000" w:rsidP="00000000" w:rsidRDefault="00000000" w:rsidRPr="00000000" w14:paraId="00000005">
      <w:pPr>
        <w:spacing w:after="80" w:line="276" w:lineRule="auto"/>
        <w:jc w:val="both"/>
        <w:rPr>
          <w:rFonts w:ascii="Play" w:cs="Play" w:eastAsia="Play" w:hAnsi="Play"/>
          <w:sz w:val="24"/>
          <w:szCs w:val="24"/>
        </w:rPr>
      </w:pPr>
      <w:r w:rsidDel="00000000" w:rsidR="00000000" w:rsidRPr="00000000">
        <w:rPr>
          <w:rFonts w:ascii="Play" w:cs="Play" w:eastAsia="Play" w:hAnsi="Play"/>
          <w:sz w:val="24"/>
          <w:szCs w:val="24"/>
          <w:rtl w:val="0"/>
        </w:rPr>
        <w:t xml:space="preserve">The current use cases by entities are the following:</w:t>
      </w:r>
    </w:p>
    <w:tbl>
      <w:tblPr>
        <w:tblStyle w:val="Table1"/>
        <w:tblW w:w="9137.0" w:type="dxa"/>
        <w:jc w:val="left"/>
        <w:tblLayout w:type="fixed"/>
        <w:tblLook w:val="0600"/>
      </w:tblPr>
      <w:tblGrid>
        <w:gridCol w:w="2790"/>
        <w:gridCol w:w="6347"/>
        <w:tblGridChange w:id="0">
          <w:tblGrid>
            <w:gridCol w:w="2790"/>
            <w:gridCol w:w="6347"/>
          </w:tblGrid>
        </w:tblGridChange>
      </w:tblGrid>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06">
            <w:pPr>
              <w:spacing w:after="0" w:before="0" w:line="300"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07">
            <w:pPr>
              <w:spacing w:after="0" w:before="0" w:line="300" w:lineRule="auto"/>
              <w:jc w:val="center"/>
              <w:rPr/>
            </w:pPr>
            <w:r w:rsidDel="00000000" w:rsidR="00000000" w:rsidRPr="00000000">
              <w:rPr>
                <w:b w:val="1"/>
                <w:bCs w:val="1"/>
                <w:rtl w:val="0"/>
              </w:rPr>
              <w:t xml:space="preserve">Key Challenges</w:t>
            </w:r>
            <w:r w:rsidDel="00000000" w:rsidR="00000000" w:rsidRPr="00000000">
              <w:rPr>
                <w:rtl w:val="0"/>
              </w:rPr>
            </w:r>
          </w:p>
        </w:tc>
      </w:tr>
      <w:tr>
        <w:trPr>
          <w:cantSplit w:val="0"/>
          <w:trHeight w:val="300" w:hRule="atLeast"/>
          <w:tblHeader w:val="0"/>
        </w:trPr>
        <w:tc>
          <w:tcPr>
            <w:gridSpan w:val="2"/>
            <w:tcBorders>
              <w:top w:color="e6e6e6" w:space="0" w:sz="6" w:val="single"/>
              <w:left w:color="e6e6e6" w:space="0" w:sz="6" w:val="single"/>
              <w:bottom w:color="e6e6e6" w:space="0" w:sz="6" w:val="single"/>
              <w:right w:color="e6e6e6" w:space="0" w:sz="6" w:val="single"/>
            </w:tcBorders>
            <w:shd w:fill="dae8f8" w:val="clear"/>
            <w:vAlign w:val="center"/>
          </w:tcPr>
          <w:p w:rsidR="00000000" w:rsidDel="00000000" w:rsidP="00000000" w:rsidRDefault="00000000" w:rsidRPr="00000000" w14:paraId="00000008">
            <w:pPr>
              <w:spacing w:after="0" w:before="0" w:line="300" w:lineRule="auto"/>
              <w:rPr/>
            </w:pPr>
            <w:r w:rsidDel="00000000" w:rsidR="00000000" w:rsidRPr="00000000">
              <w:rPr>
                <w:rtl w:val="0"/>
              </w:rPr>
              <w:t xml:space="preserve">Agency for Development &amp; Cohesion</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0A">
            <w:pPr>
              <w:spacing w:after="0" w:before="0" w:line="300" w:lineRule="auto"/>
              <w:rPr/>
            </w:pPr>
            <w:r w:rsidDel="00000000" w:rsidR="00000000" w:rsidRPr="00000000">
              <w:rPr>
                <w:rtl w:val="0"/>
              </w:rPr>
              <w:t xml:space="preserve">Apoio ao Balcão dos Fundos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0B">
            <w:pPr>
              <w:spacing w:after="0" w:before="0" w:line="300" w:lineRule="auto"/>
              <w:rPr/>
            </w:pPr>
            <w:r w:rsidDel="00000000" w:rsidR="00000000" w:rsidRPr="00000000">
              <w:rPr>
                <w:rtl w:val="0"/>
              </w:rPr>
              <w:t xml:space="preserve">Maximising use of existing data through better data integration; improving understanding of factors influencing user satisfaction</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0C">
            <w:pPr>
              <w:spacing w:after="0" w:before="0" w:line="300" w:lineRule="auto"/>
              <w:rPr/>
            </w:pPr>
            <w:r w:rsidDel="00000000" w:rsidR="00000000" w:rsidRPr="00000000">
              <w:rPr>
                <w:rtl w:val="0"/>
              </w:rPr>
              <w:t xml:space="preserve">Registo no Balcão dos Fundos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0D">
            <w:pPr>
              <w:spacing w:after="0" w:before="0" w:line="300" w:lineRule="auto"/>
              <w:rPr/>
            </w:pPr>
            <w:r w:rsidDel="00000000" w:rsidR="00000000" w:rsidRPr="00000000">
              <w:rPr>
                <w:rtl w:val="0"/>
              </w:rPr>
              <w:t xml:space="preserve">Increasing capacity to use existing data for service improvements; improving understanding of user experience and accessibility</w:t>
            </w:r>
          </w:p>
        </w:tc>
      </w:tr>
      <w:tr>
        <w:trPr>
          <w:cantSplit w:val="0"/>
          <w:trHeight w:val="300" w:hRule="atLeast"/>
          <w:tblHeader w:val="0"/>
        </w:trPr>
        <w:tc>
          <w:tcPr>
            <w:gridSpan w:val="2"/>
            <w:tcBorders>
              <w:top w:color="e6e6e6" w:space="0" w:sz="6" w:val="single"/>
              <w:left w:color="e6e6e6" w:space="0" w:sz="6" w:val="single"/>
              <w:bottom w:color="e6e6e6" w:space="0" w:sz="6" w:val="single"/>
              <w:right w:color="e6e6e6" w:space="0" w:sz="6" w:val="single"/>
            </w:tcBorders>
            <w:shd w:fill="dae8f8" w:val="clear"/>
            <w:vAlign w:val="center"/>
          </w:tcPr>
          <w:p w:rsidR="00000000" w:rsidDel="00000000" w:rsidP="00000000" w:rsidRDefault="00000000" w:rsidRPr="00000000" w14:paraId="0000000E">
            <w:pPr>
              <w:spacing w:after="0" w:before="0" w:line="300" w:lineRule="auto"/>
              <w:rPr/>
            </w:pPr>
            <w:r w:rsidDel="00000000" w:rsidR="00000000" w:rsidRPr="00000000">
              <w:rPr>
                <w:rtl w:val="0"/>
              </w:rPr>
              <w:t xml:space="preserve">Lisbon City Council</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0">
            <w:pPr>
              <w:spacing w:after="0" w:before="0" w:line="300" w:lineRule="auto"/>
              <w:rPr/>
            </w:pPr>
            <w:r w:rsidDel="00000000" w:rsidR="00000000" w:rsidRPr="00000000">
              <w:rPr>
                <w:rtl w:val="0"/>
              </w:rPr>
              <w:t xml:space="preserve">Certidão de Licença de Utilização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1">
            <w:pPr>
              <w:spacing w:after="0" w:before="0" w:line="300" w:lineRule="auto"/>
              <w:rPr/>
            </w:pPr>
            <w:r w:rsidDel="00000000" w:rsidR="00000000" w:rsidRPr="00000000">
              <w:rPr>
                <w:rtl w:val="0"/>
              </w:rPr>
              <w:t xml:space="preserve">Ensuring timely delivery despite reliance on external entities; legal 10-day deadline; monitoring focused mainly on responsiveness rather than satisfaction/impact</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2">
            <w:pPr>
              <w:spacing w:after="0" w:before="0" w:line="300" w:lineRule="auto"/>
              <w:rPr/>
            </w:pPr>
            <w:r w:rsidDel="00000000" w:rsidR="00000000" w:rsidRPr="00000000">
              <w:rPr>
                <w:rtl w:val="0"/>
              </w:rPr>
              <w:t xml:space="preserve">Pedido de Recolha de Monstros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3">
            <w:pPr>
              <w:spacing w:after="0" w:before="0" w:line="300" w:lineRule="auto"/>
              <w:rPr/>
            </w:pPr>
            <w:r w:rsidDel="00000000" w:rsidR="00000000" w:rsidRPr="00000000">
              <w:rPr>
                <w:rtl w:val="0"/>
              </w:rPr>
              <w:t xml:space="preserve">High volume of phone requests vs platform use; unclear reasons for channel preference; fragmented data and user journey; limited visibility of end-to-end process</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4">
            <w:pPr>
              <w:spacing w:after="0" w:before="0" w:line="300" w:lineRule="auto"/>
              <w:rPr/>
            </w:pPr>
            <w:r w:rsidDel="00000000" w:rsidR="00000000" w:rsidRPr="00000000">
              <w:rPr>
                <w:rtl w:val="0"/>
              </w:rPr>
              <w:t xml:space="preserve">Serviço de Recolha de Monstros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5">
            <w:pPr>
              <w:spacing w:after="0" w:before="0" w:line="300" w:lineRule="auto"/>
              <w:rPr/>
            </w:pPr>
            <w:r w:rsidDel="00000000" w:rsidR="00000000" w:rsidRPr="00000000">
              <w:rPr>
                <w:rtl w:val="0"/>
              </w:rPr>
              <w:t xml:space="preserve">Fragmentation of monitoring practices and data across the user journey</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6">
            <w:pPr>
              <w:spacing w:after="0" w:before="0" w:line="300" w:lineRule="auto"/>
              <w:rPr/>
            </w:pPr>
            <w:r w:rsidDel="00000000" w:rsidR="00000000" w:rsidRPr="00000000">
              <w:rPr>
                <w:rtl w:val="0"/>
              </w:rPr>
              <w:t xml:space="preserve">Pedido de Certificado de Registo de Cidadão da União Europeia</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7">
            <w:pPr>
              <w:spacing w:after="0" w:before="0" w:line="300" w:lineRule="auto"/>
              <w:rPr/>
            </w:pPr>
            <w:r w:rsidDel="00000000" w:rsidR="00000000" w:rsidRPr="00000000">
              <w:rPr>
                <w:rtl w:val="0"/>
              </w:rPr>
              <w:t xml:space="preserve">Lack of measures to understand user satisfaction</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8">
            <w:pPr>
              <w:spacing w:after="0" w:before="0" w:line="300" w:lineRule="auto"/>
              <w:rPr/>
            </w:pPr>
            <w:r w:rsidDel="00000000" w:rsidR="00000000" w:rsidRPr="00000000">
              <w:rPr>
                <w:rtl w:val="0"/>
              </w:rPr>
              <w:t xml:space="preserve">Solicitação de Lugar em Feira</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9">
            <w:pPr>
              <w:spacing w:after="0" w:before="0" w:line="300" w:lineRule="auto"/>
              <w:rPr/>
            </w:pPr>
            <w:r w:rsidDel="00000000" w:rsidR="00000000" w:rsidRPr="00000000">
              <w:rPr>
                <w:rtl w:val="0"/>
              </w:rPr>
              <w:t xml:space="preserve">Limited pre-service information for users; difficulty managing expectations; imbalance in demand; need for better user satisfaction insights</w:t>
            </w:r>
          </w:p>
        </w:tc>
      </w:tr>
      <w:tr>
        <w:trPr>
          <w:cantSplit w:val="0"/>
          <w:trHeight w:val="300" w:hRule="atLeast"/>
          <w:tblHeader w:val="0"/>
        </w:trPr>
        <w:tc>
          <w:tcPr>
            <w:gridSpan w:val="2"/>
            <w:tcBorders>
              <w:top w:color="e6e6e6" w:space="0" w:sz="6" w:val="single"/>
              <w:left w:color="e6e6e6" w:space="0" w:sz="6" w:val="single"/>
              <w:bottom w:color="e6e6e6" w:space="0" w:sz="6" w:val="single"/>
              <w:right w:color="e6e6e6" w:space="0" w:sz="6" w:val="single"/>
            </w:tcBorders>
            <w:shd w:fill="dae8f8" w:val="clear"/>
            <w:vAlign w:val="center"/>
          </w:tcPr>
          <w:p w:rsidR="00000000" w:rsidDel="00000000" w:rsidP="00000000" w:rsidRDefault="00000000" w:rsidRPr="00000000" w14:paraId="0000001A">
            <w:pPr>
              <w:spacing w:after="0" w:before="0" w:line="300" w:lineRule="auto"/>
              <w:rPr/>
            </w:pPr>
            <w:r w:rsidDel="00000000" w:rsidR="00000000" w:rsidRPr="00000000">
              <w:rPr>
                <w:rtl w:val="0"/>
              </w:rPr>
              <w:t xml:space="preserve">Institute of Social Security</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C">
            <w:pPr>
              <w:spacing w:after="0" w:before="0" w:line="300" w:lineRule="auto"/>
              <w:rPr/>
            </w:pPr>
            <w:r w:rsidDel="00000000" w:rsidR="00000000" w:rsidRPr="00000000">
              <w:rPr>
                <w:rtl w:val="0"/>
              </w:rPr>
              <w:t xml:space="preserve">Abono de Família</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D">
            <w:pPr>
              <w:spacing w:after="0" w:before="0" w:line="300" w:lineRule="auto"/>
              <w:rPr/>
            </w:pPr>
            <w:r w:rsidDel="00000000" w:rsidR="00000000" w:rsidRPr="00000000">
              <w:rPr>
                <w:rtl w:val="0"/>
              </w:rPr>
              <w:t xml:space="preserve">Improving user understanding of decision-making process for benefit allocation</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E">
            <w:pPr>
              <w:spacing w:after="0" w:before="0" w:line="300" w:lineRule="auto"/>
              <w:rPr/>
            </w:pPr>
            <w:r w:rsidDel="00000000" w:rsidR="00000000" w:rsidRPr="00000000">
              <w:rPr>
                <w:rtl w:val="0"/>
              </w:rPr>
              <w:t xml:space="preserve">Pensão de Invalidez</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1F">
            <w:pPr>
              <w:spacing w:after="0" w:before="0" w:line="300" w:lineRule="auto"/>
              <w:rPr/>
            </w:pPr>
            <w:r w:rsidDel="00000000" w:rsidR="00000000" w:rsidRPr="00000000">
              <w:rPr>
                <w:rtl w:val="0"/>
              </w:rPr>
              <w:t xml:space="preserve">Lack of monitoring practices to identify application pain points or customer satisfaction; impacts ability to address processing time</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0">
            <w:pPr>
              <w:spacing w:after="0" w:before="0" w:line="300" w:lineRule="auto"/>
              <w:rPr/>
            </w:pPr>
            <w:r w:rsidDel="00000000" w:rsidR="00000000" w:rsidRPr="00000000">
              <w:rPr>
                <w:rtl w:val="0"/>
              </w:rPr>
              <w:t xml:space="preserve">Pensão de Velhice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1">
            <w:pPr>
              <w:spacing w:after="0" w:before="0" w:line="300" w:lineRule="auto"/>
              <w:rPr/>
            </w:pPr>
            <w:r w:rsidDel="00000000" w:rsidR="00000000" w:rsidRPr="00000000">
              <w:rPr>
                <w:rtl w:val="0"/>
              </w:rPr>
              <w:t xml:space="preserve">Long waiting times due to verification delays; incomplete digitisation; manual processes; importance of status tracking and complaint analysis (“yellow book”)</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2">
            <w:pPr>
              <w:spacing w:after="0" w:before="0" w:line="300" w:lineRule="auto"/>
              <w:rPr/>
            </w:pPr>
            <w:r w:rsidDel="00000000" w:rsidR="00000000" w:rsidRPr="00000000">
              <w:rPr>
                <w:rtl w:val="0"/>
              </w:rPr>
              <w:t xml:space="preserve">Subsídio Parental Inicial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3">
            <w:pPr>
              <w:spacing w:after="0" w:before="0" w:line="300" w:lineRule="auto"/>
              <w:rPr/>
            </w:pPr>
            <w:r w:rsidDel="00000000" w:rsidR="00000000" w:rsidRPr="00000000">
              <w:rPr>
                <w:rtl w:val="0"/>
              </w:rPr>
              <w:t xml:space="preserve">Complexity of rules and options; user confusion regarding application process and eligibility</w:t>
            </w:r>
          </w:p>
        </w:tc>
      </w:tr>
      <w:tr>
        <w:trPr>
          <w:cantSplit w:val="0"/>
          <w:trHeight w:val="300" w:hRule="atLeast"/>
          <w:tblHeader w:val="0"/>
        </w:trPr>
        <w:tc>
          <w:tcPr>
            <w:gridSpan w:val="2"/>
            <w:tcBorders>
              <w:top w:color="e6e6e6" w:space="0" w:sz="6" w:val="single"/>
              <w:left w:color="e6e6e6" w:space="0" w:sz="6" w:val="single"/>
              <w:bottom w:color="e6e6e6" w:space="0" w:sz="6" w:val="single"/>
              <w:right w:color="e6e6e6" w:space="0" w:sz="6" w:val="single"/>
            </w:tcBorders>
            <w:shd w:fill="dae8f8" w:val="clear"/>
            <w:vAlign w:val="center"/>
          </w:tcPr>
          <w:p w:rsidR="00000000" w:rsidDel="00000000" w:rsidP="00000000" w:rsidRDefault="00000000" w:rsidRPr="00000000" w14:paraId="00000024">
            <w:pPr>
              <w:spacing w:after="0" w:before="0" w:line="300" w:lineRule="auto"/>
              <w:ind w:left="0" w:right="0" w:firstLine="0"/>
              <w:jc w:val="left"/>
              <w:rPr/>
            </w:pPr>
            <w:r w:rsidDel="00000000" w:rsidR="00000000" w:rsidRPr="00000000">
              <w:rPr>
                <w:rtl w:val="0"/>
              </w:rPr>
              <w:t xml:space="preserve">Tax and Customs Authority* (Please note that due to data availability, these are no longer the services we will be testing with. The updated list has been provided in the slide deck for the last meeting between OECD and BV. However, we can draw inspiration from these challenges when planning the testing scenarios).</w:t>
            </w:r>
          </w:p>
          <w:p w:rsidR="00000000" w:rsidDel="00000000" w:rsidP="00000000" w:rsidRDefault="00000000" w:rsidRPr="00000000" w14:paraId="00000025">
            <w:pPr>
              <w:spacing w:after="0" w:before="0" w:line="300" w:lineRule="auto"/>
              <w:ind w:left="0" w:right="0" w:firstLine="0"/>
              <w:jc w:val="left"/>
              <w:rPr/>
            </w:pPr>
            <w:r w:rsidDel="00000000" w:rsidR="00000000" w:rsidRPr="00000000">
              <w:rPr>
                <w:rtl w:val="0"/>
              </w:rPr>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7">
            <w:pPr>
              <w:spacing w:after="0" w:before="0" w:line="300" w:lineRule="auto"/>
              <w:rPr/>
            </w:pPr>
            <w:r w:rsidDel="00000000" w:rsidR="00000000" w:rsidRPr="00000000">
              <w:rPr>
                <w:rtl w:val="0"/>
              </w:rPr>
              <w:t xml:space="preserve">Atendimento Telefónico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8">
            <w:pPr>
              <w:spacing w:after="0" w:before="0" w:line="300" w:lineRule="auto"/>
              <w:rPr/>
            </w:pPr>
            <w:r w:rsidDel="00000000" w:rsidR="00000000" w:rsidRPr="00000000">
              <w:rPr>
                <w:rtl w:val="0"/>
              </w:rPr>
              <w:t xml:space="preserve">Need for real-time satisfaction insights; lack of service-level feedback; no full visibility of user journey or resolution outcomes</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9">
            <w:pPr>
              <w:spacing w:after="0" w:before="0" w:line="300" w:lineRule="auto"/>
              <w:rPr/>
            </w:pPr>
            <w:r w:rsidDel="00000000" w:rsidR="00000000" w:rsidRPr="00000000">
              <w:rPr>
                <w:rtl w:val="0"/>
              </w:rPr>
              <w:t xml:space="preserve">Presencial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A">
            <w:pPr>
              <w:spacing w:after="0" w:before="0" w:line="300" w:lineRule="auto"/>
              <w:rPr/>
            </w:pPr>
            <w:r w:rsidDel="00000000" w:rsidR="00000000" w:rsidRPr="00000000">
              <w:rPr>
                <w:rtl w:val="0"/>
              </w:rPr>
              <w:t xml:space="preserve">Multiple systems and manual logging; possible underreporting; no full visibility of outcomes (resolution, redirection, repeat contact)</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B">
            <w:pPr>
              <w:spacing w:after="0" w:before="0" w:line="300" w:lineRule="auto"/>
              <w:rPr/>
            </w:pPr>
            <w:r w:rsidDel="00000000" w:rsidR="00000000" w:rsidRPr="00000000">
              <w:rPr>
                <w:rtl w:val="0"/>
              </w:rPr>
              <w:t xml:space="preserve">Portal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C">
            <w:pPr>
              <w:spacing w:after="0" w:before="0" w:line="300" w:lineRule="auto"/>
              <w:rPr/>
            </w:pPr>
            <w:r w:rsidDel="00000000" w:rsidR="00000000" w:rsidRPr="00000000">
              <w:rPr>
                <w:rtl w:val="0"/>
              </w:rPr>
              <w:t xml:space="preserve">Difficulty assessing first-contact resolution; limited understanding of user experience (ease of use, clarity, support needs)</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D">
            <w:pPr>
              <w:spacing w:after="0" w:before="0" w:line="300" w:lineRule="auto"/>
              <w:rPr/>
            </w:pPr>
            <w:r w:rsidDel="00000000" w:rsidR="00000000" w:rsidRPr="00000000">
              <w:rPr>
                <w:rtl w:val="0"/>
              </w:rPr>
              <w:t xml:space="preserve">E-balcão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E">
            <w:pPr>
              <w:spacing w:after="0" w:before="0" w:line="300" w:lineRule="auto"/>
              <w:rPr/>
            </w:pPr>
            <w:r w:rsidDel="00000000" w:rsidR="00000000" w:rsidRPr="00000000">
              <w:rPr>
                <w:rtl w:val="0"/>
              </w:rPr>
              <w:t xml:space="preserve">Lack of metrics on query resolution and follow-up needs</w:t>
            </w:r>
          </w:p>
        </w:tc>
      </w:tr>
      <w:tr>
        <w:trPr>
          <w:cantSplit w:val="0"/>
          <w:trHeight w:val="30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F">
            <w:pPr>
              <w:spacing w:after="0" w:before="0" w:line="300" w:lineRule="auto"/>
              <w:rPr/>
            </w:pPr>
            <w:r w:rsidDel="00000000" w:rsidR="00000000" w:rsidRPr="00000000">
              <w:rPr>
                <w:rtl w:val="0"/>
              </w:rPr>
              <w:t xml:space="preserve">Justiça</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0">
            <w:pPr>
              <w:spacing w:after="0" w:before="0" w:line="300" w:lineRule="auto"/>
              <w:rPr/>
            </w:pPr>
            <w:r w:rsidDel="00000000" w:rsidR="00000000" w:rsidRPr="00000000">
              <w:rPr>
                <w:rtl w:val="0"/>
              </w:rPr>
              <w:t xml:space="preserve">No key challenges reported with very few indicators mapped as part of the monitoring practices of this service (all pertained to responsiveness and efficiency). Across all services, it would be important for them to integrate more opportunities to measure user experience and satisfaction.</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both"/>
        <w:rPr>
          <w:rFonts w:ascii="Play" w:cs="Play" w:eastAsia="Play" w:hAnsi="Play"/>
          <w:sz w:val="24"/>
          <w:szCs w:val="24"/>
        </w:rPr>
      </w:pPr>
      <w:r w:rsidDel="00000000" w:rsidR="00000000" w:rsidRPr="00000000">
        <w:rPr>
          <w:rFonts w:ascii="Play" w:cs="Play" w:eastAsia="Play" w:hAnsi="Play"/>
          <w:sz w:val="24"/>
          <w:szCs w:val="24"/>
          <w:rtl w:val="0"/>
        </w:rPr>
        <w:t xml:space="preserve">The OECD is still awaiting ARTE’s key challenges. However, given the range of issues already identified—along with some clear common themes and patterns—we can begin to outline potential testing scenarios for ARTE in the meantime.</w:t>
      </w:r>
    </w:p>
    <w:p w:rsidR="00000000" w:rsidDel="00000000" w:rsidP="00000000" w:rsidRDefault="00000000" w:rsidRPr="00000000" w14:paraId="00000033">
      <w:pPr>
        <w:jc w:val="both"/>
        <w:rPr>
          <w:rFonts w:ascii="Play" w:cs="Play" w:eastAsia="Play" w:hAnsi="Play"/>
          <w:highlight w:val="yellow"/>
        </w:rPr>
      </w:pPr>
      <w:r w:rsidDel="00000000" w:rsidR="00000000" w:rsidRPr="00000000">
        <w:rPr>
          <w:rFonts w:ascii="Play" w:cs="Play" w:eastAsia="Play" w:hAnsi="Play"/>
          <w:highlight w:val="yellow"/>
          <w:rtl w:val="0"/>
        </w:rPr>
        <w:t xml:space="preserve">Update: 1.07.26 UC Arte</w:t>
      </w:r>
    </w:p>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Below I am sending ARTE's use cases. Unfortunately, the use cases were not very explicit from the audit, perhaps something we should improve on for next time. However, I believe we can work with what we gathered. At the end of the text, we have compiled whole-of-ARTE challenges such as 1) Data fragmentation, 2) Lack of UX Data overall and we can add a 3rd) Lack of visibility on user's journey. I believe these should provide us with good starting points for testing.</w:t>
      </w:r>
    </w:p>
    <w:p w:rsidR="00000000" w:rsidDel="00000000" w:rsidP="00000000" w:rsidRDefault="00000000" w:rsidRPr="00000000" w14:paraId="0000003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rPr>
      </w:pPr>
      <w:r w:rsidDel="00000000" w:rsidR="00000000" w:rsidRPr="00000000">
        <w:rPr>
          <w:rFonts w:ascii="Calibri" w:cs="Calibri" w:eastAsia="Calibri" w:hAnsi="Calibri"/>
          <w:rtl w:val="0"/>
        </w:rPr>
        <w:t xml:space="preserve">Right now, we are working on gathering information from other channels besides Lcs like App,</w:t>
      </w:r>
      <w:hyperlink r:id="rId7">
        <w:r w:rsidDel="00000000" w:rsidR="00000000" w:rsidRPr="00000000">
          <w:rPr>
            <w:rFonts w:ascii="Calibri" w:cs="Calibri" w:eastAsia="Calibri" w:hAnsi="Calibri"/>
            <w:color w:val="1155cc"/>
            <w:u w:val="single"/>
            <w:rtl w:val="0"/>
          </w:rPr>
          <w:t xml:space="preserve">gov.pt</w:t>
        </w:r>
      </w:hyperlink>
      <w:r w:rsidDel="00000000" w:rsidR="00000000" w:rsidRPr="00000000">
        <w:rPr>
          <w:rFonts w:ascii="Calibri" w:cs="Calibri" w:eastAsia="Calibri" w:hAnsi="Calibri"/>
          <w:rtl w:val="0"/>
        </w:rPr>
        <w:t xml:space="preserve"> and phone, however, is not certain we will be able to gather it on time. </w:t>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 Ativação da CMD</w:t>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1 — Dependência do canal presencial</w:t>
      </w:r>
    </w:p>
    <w:p w:rsidR="00000000" w:rsidDel="00000000" w:rsidP="00000000" w:rsidRDefault="00000000" w:rsidRPr="00000000" w14:paraId="0000003C">
      <w:pPr>
        <w:spacing w:after="220" w:before="220" w:lineRule="auto"/>
        <w:jc w:val="both"/>
        <w:rPr>
          <w:rFonts w:ascii="Calibri" w:cs="Calibri" w:eastAsia="Calibri" w:hAnsi="Calibri"/>
        </w:rPr>
      </w:pPr>
      <w:r w:rsidDel="00000000" w:rsidR="00000000" w:rsidRPr="00000000">
        <w:rPr>
          <w:rFonts w:ascii="Calibri" w:cs="Calibri" w:eastAsia="Calibri" w:hAnsi="Calibri"/>
          <w:rtl w:val="0"/>
        </w:rPr>
        <w:t xml:space="preserve">A equipa enfrenta dificuldades em compreender a elevada procura do atendimento presencial para a ativação da CMD, especialmente em comparação com o canal digital. Atualmente, monitoriza volumes de atendimento e tempos de espera através do SIGA e CRM, mas não consegue cruzar esta informação com dados de experiência do utilizador nem identificar claramente os fatores que levam os cidadãos a recorrer ao presencial. Com a nova ferramenta, gostaria de conseguir analisar de forma integrada os dados de utilização por canal, identificar segmentos de utilizadores com maior dificuldade (ex.: baixa literacia digital) e perceber que pontos do processo digital estão a gerar abandono ou migração para o presencial.</w:t>
      </w:r>
    </w:p>
    <w:p w:rsidR="00000000" w:rsidDel="00000000" w:rsidP="00000000" w:rsidRDefault="00000000" w:rsidRPr="00000000" w14:paraId="0000003D">
      <w:pPr>
        <w:jc w:val="both"/>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2 — Complexidade no processo de cidadãos estrangeiros</w:t>
      </w:r>
    </w:p>
    <w:p w:rsidR="00000000" w:rsidDel="00000000" w:rsidP="00000000" w:rsidRDefault="00000000" w:rsidRPr="00000000" w14:paraId="0000003F">
      <w:pPr>
        <w:spacing w:after="220" w:before="220" w:lineRule="auto"/>
        <w:jc w:val="both"/>
        <w:rPr>
          <w:rFonts w:ascii="Calibri" w:cs="Calibri" w:eastAsia="Calibri" w:hAnsi="Calibri"/>
        </w:rPr>
      </w:pPr>
      <w:r w:rsidDel="00000000" w:rsidR="00000000" w:rsidRPr="00000000">
        <w:rPr>
          <w:rFonts w:ascii="Calibri" w:cs="Calibri" w:eastAsia="Calibri" w:hAnsi="Calibri"/>
          <w:rtl w:val="0"/>
        </w:rPr>
        <w:t xml:space="preserve">O processo de ativação da CMD para cidadãos estrangeiros é mais complexo e manual, envolvendo introdução de dados em back-office e maior risco de erro. Atualmente, não existe uma monitorização estruturada que permita comparar tempos, erros ou retrabalho entre perfis de utilizador. A equipa faz análises pontuais com base em perceção e dados dispersos. Com a Matriz, gostaria de conseguir diferenciar o desempenho do serviço por tipologia de utilizador, medir impacto dessa complexidade (tempos, número de interações, erros) e apoiar decisões de simplificação do processo.</w:t>
      </w:r>
    </w:p>
    <w:p w:rsidR="00000000" w:rsidDel="00000000" w:rsidP="00000000" w:rsidRDefault="00000000" w:rsidRPr="00000000" w14:paraId="00000040">
      <w:pPr>
        <w:jc w:val="both"/>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Desbloqueio da CMD</w:t>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 Transferência entre canais e dependência do presencial</w:t>
      </w:r>
    </w:p>
    <w:p w:rsidR="00000000" w:rsidDel="00000000" w:rsidP="00000000" w:rsidRDefault="00000000" w:rsidRPr="00000000" w14:paraId="00000043">
      <w:pPr>
        <w:spacing w:after="220" w:before="220" w:lineRule="auto"/>
        <w:jc w:val="both"/>
        <w:rPr>
          <w:rFonts w:ascii="Calibri" w:cs="Calibri" w:eastAsia="Calibri" w:hAnsi="Calibri"/>
        </w:rPr>
      </w:pPr>
      <w:r w:rsidDel="00000000" w:rsidR="00000000" w:rsidRPr="00000000">
        <w:rPr>
          <w:rFonts w:ascii="Calibri" w:cs="Calibri" w:eastAsia="Calibri" w:hAnsi="Calibri"/>
          <w:rtl w:val="0"/>
        </w:rPr>
        <w:t xml:space="preserve">O serviço de desbloqueio da CMD está limitado em termos de canais, sendo frequentemente necessário recorrer ao presencial quando o cidadão não consegue resolver digitalmente. Atualmente, não existe uma visão integrada do percurso do utilizador entre canais, sendo difícil perceber quantos utilizadores tentam o canal digital antes de recorrer ao presencial. A equipa baseia-se sobretudo em dados operacionais de atendimento. Com a nova ferramenta, gostaria de conseguir acompanhar o percurso do utilizador entre canais, identificar falhas no canal digital e quantificar a pressão adicional gerada no atendimento presencial.</w:t>
      </w:r>
    </w:p>
    <w:p w:rsidR="00000000" w:rsidDel="00000000" w:rsidP="00000000" w:rsidRDefault="00000000" w:rsidRPr="00000000" w14:paraId="00000044">
      <w:pPr>
        <w:jc w:val="both"/>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Cancelamento da CMD</w:t>
      </w:r>
    </w:p>
    <w:p w:rsidR="00000000" w:rsidDel="00000000" w:rsidP="00000000" w:rsidRDefault="00000000" w:rsidRPr="00000000" w14:paraId="00000046">
      <w:pPr>
        <w:spacing w:after="220" w:before="220" w:lineRule="auto"/>
        <w:jc w:val="both"/>
        <w:rPr>
          <w:rFonts w:ascii="Calibri" w:cs="Calibri" w:eastAsia="Calibri" w:hAnsi="Calibri"/>
        </w:rPr>
      </w:pPr>
      <w:r w:rsidDel="00000000" w:rsidR="00000000" w:rsidRPr="00000000">
        <w:rPr>
          <w:rFonts w:ascii="Calibri" w:cs="Calibri" w:eastAsia="Calibri" w:hAnsi="Calibri"/>
          <w:rtl w:val="0"/>
        </w:rPr>
        <w:t xml:space="preserve">Sem caso de uso específico identificado</w:t>
      </w:r>
    </w:p>
    <w:p w:rsidR="00000000" w:rsidDel="00000000" w:rsidP="00000000" w:rsidRDefault="00000000" w:rsidRPr="00000000" w14:paraId="00000047">
      <w:pPr>
        <w:jc w:val="both"/>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Pedido de alteração da morada</w:t>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1 — Falhas no processo externo </w:t>
      </w:r>
    </w:p>
    <w:p w:rsidR="00000000" w:rsidDel="00000000" w:rsidP="00000000" w:rsidRDefault="00000000" w:rsidRPr="00000000" w14:paraId="0000004A">
      <w:pPr>
        <w:spacing w:after="220" w:before="220" w:lineRule="auto"/>
        <w:jc w:val="both"/>
        <w:rPr>
          <w:rFonts w:ascii="Calibri" w:cs="Calibri" w:eastAsia="Calibri" w:hAnsi="Calibri"/>
        </w:rPr>
      </w:pPr>
      <w:r w:rsidDel="00000000" w:rsidR="00000000" w:rsidRPr="00000000">
        <w:rPr>
          <w:rFonts w:ascii="Calibri" w:cs="Calibri" w:eastAsia="Calibri" w:hAnsi="Calibri"/>
          <w:rtl w:val="0"/>
        </w:rPr>
        <w:t xml:space="preserve">Este serviço depende de entidades externas (IRN e CTT), o que introduz variabilidade e falhas no processo (atrasos, extravios de cartas, falhas de sistemas). Atualmente, a equipa tem dificuldade em monitorizar o impacto destas dependências externas, não conseguindo distinguir claramente falhas internas de externas. A análise é feita com base em dados dispersos e reclamações. Com a Matriz, gostaria de identificar em que fases do processo ocorrem as falhas, relacionar reclamações com etapas específicas e obter uma visão mais completa do desempenho end-to-end do serviço.</w:t>
      </w:r>
    </w:p>
    <w:p w:rsidR="00000000" w:rsidDel="00000000" w:rsidP="00000000" w:rsidRDefault="00000000" w:rsidRPr="00000000" w14:paraId="0000004B">
      <w:pPr>
        <w:jc w:val="both"/>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2 — Falta de visibilidade do percurso do utilizador</w:t>
      </w:r>
    </w:p>
    <w:p w:rsidR="00000000" w:rsidDel="00000000" w:rsidP="00000000" w:rsidRDefault="00000000" w:rsidRPr="00000000" w14:paraId="0000004D">
      <w:pPr>
        <w:spacing w:after="220" w:before="220" w:lineRule="auto"/>
        <w:jc w:val="both"/>
        <w:rPr>
          <w:rFonts w:ascii="Calibri" w:cs="Calibri" w:eastAsia="Calibri" w:hAnsi="Calibri"/>
        </w:rPr>
      </w:pPr>
      <w:r w:rsidDel="00000000" w:rsidR="00000000" w:rsidRPr="00000000">
        <w:rPr>
          <w:rFonts w:ascii="Calibri" w:cs="Calibri" w:eastAsia="Calibri" w:hAnsi="Calibri"/>
          <w:rtl w:val="0"/>
        </w:rPr>
        <w:t xml:space="preserve">Não existe um mecanismo estruturado para acompanhar o percurso do cidadão entre canais no processo de alteração de morada. A equipa não consegue perceber se os utilizadores iniciam o processo digitalmente e acabam por recorrer ao presencial, nem quais são os pontos de abandono. Atualmente, os dados estão fragmentados entre sistemas (SIGA, CRM, etc.). Com a ferramenta, gostaria de visualizar o percurso dos utilizadores ao longo dos diferentes canais, identificar pontos de fricção e reduzir a necessidade de intervenção presencial.</w:t>
      </w:r>
    </w:p>
    <w:p w:rsidR="00000000" w:rsidDel="00000000" w:rsidP="00000000" w:rsidRDefault="00000000" w:rsidRPr="00000000" w14:paraId="0000004E">
      <w:pPr>
        <w:jc w:val="both"/>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5. Transversal ARTE – monitorização</w:t>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1 — Fragmentação de dados e esforço manual</w:t>
      </w:r>
    </w:p>
    <w:p w:rsidR="00000000" w:rsidDel="00000000" w:rsidP="00000000" w:rsidRDefault="00000000" w:rsidRPr="00000000" w14:paraId="00000051">
      <w:pPr>
        <w:spacing w:after="220" w:before="220" w:lineRule="auto"/>
        <w:jc w:val="both"/>
        <w:rPr>
          <w:rFonts w:ascii="Calibri" w:cs="Calibri" w:eastAsia="Calibri" w:hAnsi="Calibri"/>
        </w:rPr>
      </w:pPr>
      <w:r w:rsidDel="00000000" w:rsidR="00000000" w:rsidRPr="00000000">
        <w:rPr>
          <w:rFonts w:ascii="Calibri" w:cs="Calibri" w:eastAsia="Calibri" w:hAnsi="Calibri"/>
          <w:rtl w:val="0"/>
        </w:rPr>
        <w:t xml:space="preserve">A equipa depende de múltiplos sistemas (SIGA, CRM, LAE, Power BI) para monitorizar o desempenho dos serviços, sendo necessário exportar e tratar dados manualmente em Excel para produzir análises. Esta fragmentação dificulta a obtenção de uma visão integrada e atualizada, além de consumir tempo significativo das equipas. Com a nova ferramenta, gostaria de aceder a uma visão consolidada dos diferentes indicadores (operacionais, UX e compliance), reduzir o esforço manual de tratamento de dados e apoiar análises mais rápidas e consistentes.</w:t>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2 — Dados UX</w:t>
      </w:r>
    </w:p>
    <w:p w:rsidR="00000000" w:rsidDel="00000000" w:rsidP="00000000" w:rsidRDefault="00000000" w:rsidRPr="00000000" w14:paraId="00000053">
      <w:pPr>
        <w:spacing w:after="220" w:before="220" w:lineRule="auto"/>
        <w:jc w:val="both"/>
        <w:rPr>
          <w:rFonts w:ascii="Calibri" w:cs="Calibri" w:eastAsia="Calibri" w:hAnsi="Calibri"/>
        </w:rPr>
      </w:pPr>
      <w:r w:rsidDel="00000000" w:rsidR="00000000" w:rsidRPr="00000000">
        <w:rPr>
          <w:rFonts w:ascii="Calibri" w:cs="Calibri" w:eastAsia="Calibri" w:hAnsi="Calibri"/>
          <w:rtl w:val="0"/>
        </w:rPr>
        <w:t xml:space="preserve">A equipas destes serviços não têm acesso a dados de experiência de utilizador. O QR Code na loja presencial ou o feedback no final da página do serviço não respondem às necessidades das equipas o que dificulta para perceber a real prestação dos erviço.</w:t>
      </w:r>
    </w:p>
    <w:p w:rsidR="00000000" w:rsidDel="00000000" w:rsidP="00000000" w:rsidRDefault="00000000" w:rsidRPr="00000000" w14:paraId="00000054">
      <w:pPr>
        <w:jc w:val="both"/>
        <w:rPr>
          <w:rFonts w:ascii="Play" w:cs="Play" w:eastAsia="Play" w:hAnsi="Play"/>
        </w:rPr>
      </w:pPr>
      <w:r w:rsidDel="00000000" w:rsidR="00000000" w:rsidRPr="00000000">
        <w:rPr>
          <w:rtl w:val="0"/>
        </w:rPr>
      </w:r>
    </w:p>
    <w:p w:rsidR="00000000" w:rsidDel="00000000" w:rsidP="00000000" w:rsidRDefault="00000000" w:rsidRPr="00000000" w14:paraId="00000055">
      <w:pPr>
        <w:jc w:val="both"/>
        <w:rPr>
          <w:rFonts w:ascii="Play" w:cs="Play" w:eastAsia="Play" w:hAnsi="Play"/>
        </w:rPr>
      </w:pPr>
      <w:r w:rsidDel="00000000" w:rsidR="00000000" w:rsidRPr="00000000">
        <w:rPr>
          <w:rtl w:val="0"/>
        </w:rPr>
      </w:r>
    </w:p>
    <w:sectPr>
      <w:headerReference r:id="rId8" w:type="default"/>
      <w:footerReference r:id="rId9" w:type="default"/>
      <w:footerReference r:id="rId10" w:type="first"/>
      <w:footerReference r:id="rId11"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1065530</wp:posOffset>
              </wp:positionH>
              <wp:positionV relativeFrom="paragraph">
                <wp:posOffset>-10058979</wp:posOffset>
              </wp:positionV>
              <wp:extent cx="1771650" cy="381000"/>
              <wp:effectExtent b="0" l="0" r="0" t="0"/>
              <wp:wrapNone/>
              <wp:docPr descr="Restricted Use - À usage restreint" id="1" name=""/>
              <a:graphic>
                <a:graphicData uri="http://schemas.microsoft.com/office/word/2010/wordprocessingShape">
                  <wps:wsp>
                    <wps:cNvSpPr/>
                    <wps:cNvPr id="2" name="Shape 2"/>
                    <wps:spPr>
                      <a:xfrm>
                        <a:off x="4464938" y="3594263"/>
                        <a:ext cx="1762125" cy="371475"/>
                      </a:xfrm>
                      <a:prstGeom prst="rect">
                        <a:avLst/>
                      </a:prstGeom>
                      <a:noFill/>
                      <a:ln>
                        <a:noFill/>
                      </a:ln>
                    </wps:spPr>
                    <wps:txbx>
                      <w:txbxContent>
                        <w:p w:rsidR="00000000" w:rsidDel="00000000" w:rsidP="00000000" w:rsidRDefault="00000000" w:rsidRPr="00000000">
                          <w:pPr>
                            <w:spacing w:after="0" w:before="0" w:line="279.0000057220459"/>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Restricted Use - À usage restreint</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1065530</wp:posOffset>
              </wp:positionH>
              <wp:positionV relativeFrom="paragraph">
                <wp:posOffset>-10058979</wp:posOffset>
              </wp:positionV>
              <wp:extent cx="1771650" cy="381000"/>
              <wp:effectExtent b="0" l="0" r="0" t="0"/>
              <wp:wrapNone/>
              <wp:docPr descr="Restricted Use - À usage restreint" id="1" name="image1.png"/>
              <a:graphic>
                <a:graphicData uri="http://schemas.openxmlformats.org/drawingml/2006/picture">
                  <pic:pic>
                    <pic:nvPicPr>
                      <pic:cNvPr descr="Restricted Use - À usage restreint" id="0" name="image1.png"/>
                      <pic:cNvPicPr preferRelativeResize="0"/>
                    </pic:nvPicPr>
                    <pic:blipFill>
                      <a:blip r:embed="rId1"/>
                      <a:srcRect/>
                      <a:stretch>
                        <a:fillRect/>
                      </a:stretch>
                    </pic:blipFill>
                    <pic:spPr>
                      <a:xfrm>
                        <a:off x="0" y="0"/>
                        <a:ext cx="1771650" cy="3810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1065530</wp:posOffset>
              </wp:positionH>
              <wp:positionV relativeFrom="paragraph">
                <wp:posOffset>-10058979</wp:posOffset>
              </wp:positionV>
              <wp:extent cx="1771650" cy="381000"/>
              <wp:effectExtent b="0" l="0" r="0" t="0"/>
              <wp:wrapNone/>
              <wp:docPr descr="Restricted Use - À usage restreint" id="3" name=""/>
              <a:graphic>
                <a:graphicData uri="http://schemas.microsoft.com/office/word/2010/wordprocessingShape">
                  <wps:wsp>
                    <wps:cNvSpPr/>
                    <wps:cNvPr id="4" name="Shape 4"/>
                    <wps:spPr>
                      <a:xfrm>
                        <a:off x="4464938" y="3594263"/>
                        <a:ext cx="1762125" cy="371475"/>
                      </a:xfrm>
                      <a:prstGeom prst="rect">
                        <a:avLst/>
                      </a:prstGeom>
                      <a:noFill/>
                      <a:ln>
                        <a:noFill/>
                      </a:ln>
                    </wps:spPr>
                    <wps:txbx>
                      <w:txbxContent>
                        <w:p w:rsidR="00000000" w:rsidDel="00000000" w:rsidP="00000000" w:rsidRDefault="00000000" w:rsidRPr="00000000">
                          <w:pPr>
                            <w:spacing w:after="0" w:before="0" w:line="279.0000057220459"/>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Restricted Use - À usage restreint</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1065530</wp:posOffset>
              </wp:positionH>
              <wp:positionV relativeFrom="paragraph">
                <wp:posOffset>-10058979</wp:posOffset>
              </wp:positionV>
              <wp:extent cx="1771650" cy="381000"/>
              <wp:effectExtent b="0" l="0" r="0" t="0"/>
              <wp:wrapNone/>
              <wp:docPr descr="Restricted Use - À usage restreint" id="3" name="image3.png"/>
              <a:graphic>
                <a:graphicData uri="http://schemas.openxmlformats.org/drawingml/2006/picture">
                  <pic:pic>
                    <pic:nvPicPr>
                      <pic:cNvPr descr="Restricted Use - À usage restreint" id="0" name="image3.png"/>
                      <pic:cNvPicPr preferRelativeResize="0"/>
                    </pic:nvPicPr>
                    <pic:blipFill>
                      <a:blip r:embed="rId1"/>
                      <a:srcRect/>
                      <a:stretch>
                        <a:fillRect/>
                      </a:stretch>
                    </pic:blipFill>
                    <pic:spPr>
                      <a:xfrm>
                        <a:off x="0" y="0"/>
                        <a:ext cx="1771650" cy="3810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1065530</wp:posOffset>
              </wp:positionH>
              <wp:positionV relativeFrom="paragraph">
                <wp:posOffset>-10058979</wp:posOffset>
              </wp:positionV>
              <wp:extent cx="1771650" cy="381000"/>
              <wp:effectExtent b="0" l="0" r="0" t="0"/>
              <wp:wrapNone/>
              <wp:docPr descr="Restricted Use - À usage restreint" id="2" name=""/>
              <a:graphic>
                <a:graphicData uri="http://schemas.microsoft.com/office/word/2010/wordprocessingShape">
                  <wps:wsp>
                    <wps:cNvSpPr/>
                    <wps:cNvPr id="3" name="Shape 3"/>
                    <wps:spPr>
                      <a:xfrm>
                        <a:off x="4464938" y="3594263"/>
                        <a:ext cx="1762125" cy="371475"/>
                      </a:xfrm>
                      <a:prstGeom prst="rect">
                        <a:avLst/>
                      </a:prstGeom>
                      <a:noFill/>
                      <a:ln>
                        <a:noFill/>
                      </a:ln>
                    </wps:spPr>
                    <wps:txbx>
                      <w:txbxContent>
                        <w:p w:rsidR="00000000" w:rsidDel="00000000" w:rsidP="00000000" w:rsidRDefault="00000000" w:rsidRPr="00000000">
                          <w:pPr>
                            <w:spacing w:after="0" w:before="0" w:line="279.0000057220459"/>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Restricted Use - À usage restreint</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1065530</wp:posOffset>
              </wp:positionH>
              <wp:positionV relativeFrom="paragraph">
                <wp:posOffset>-10058979</wp:posOffset>
              </wp:positionV>
              <wp:extent cx="1771650" cy="381000"/>
              <wp:effectExtent b="0" l="0" r="0" t="0"/>
              <wp:wrapNone/>
              <wp:docPr descr="Restricted Use - À usage restreint" id="2" name="image2.png"/>
              <a:graphic>
                <a:graphicData uri="http://schemas.openxmlformats.org/drawingml/2006/picture">
                  <pic:pic>
                    <pic:nvPicPr>
                      <pic:cNvPr descr="Restricted Use - À usage restreint" id="0" name="image2.png"/>
                      <pic:cNvPicPr preferRelativeResize="0"/>
                    </pic:nvPicPr>
                    <pic:blipFill>
                      <a:blip r:embed="rId1"/>
                      <a:srcRect/>
                      <a:stretch>
                        <a:fillRect/>
                      </a:stretch>
                    </pic:blipFill>
                    <pic:spPr>
                      <a:xfrm>
                        <a:off x="0" y="0"/>
                        <a:ext cx="1771650" cy="3810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sz w:val="24"/>
        <w:szCs w:val="24"/>
      </w:rPr>
    </w:pPr>
    <w:r w:rsidDel="00000000" w:rsidR="00000000" w:rsidRPr="00000000">
      <w:rPr>
        <w:rtl w:val="0"/>
      </w:rPr>
    </w:r>
  </w:p>
  <w:tbl>
    <w:tblPr>
      <w:tblStyle w:val="Table2"/>
      <w:tblW w:w="9015.0" w:type="dxa"/>
      <w:jc w:val="left"/>
      <w:tblLayout w:type="fixed"/>
      <w:tblLook w:val="0600"/>
    </w:tblPr>
    <w:tblGrid>
      <w:gridCol w:w="3005"/>
      <w:gridCol w:w="3630"/>
      <w:gridCol w:w="2380"/>
      <w:tblGridChange w:id="0">
        <w:tblGrid>
          <w:gridCol w:w="3005"/>
          <w:gridCol w:w="3630"/>
          <w:gridCol w:w="2380"/>
        </w:tblGrid>
      </w:tblGridChange>
    </w:tblGrid>
    <w:tr>
      <w:trPr>
        <w:cantSplit w:val="0"/>
        <w:trHeight w:val="300"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DRAFT FOR DISCUSSION ONLY</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ov.p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E/vR5wRryZ+VMT9/SuB8PP6YA==">CgMxLjA4AHIhMUNTR2dxRThhZVlaYy16UTI2RlRKdWRmXzl5V202Y1dI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0x010100D0860E564F03A64A99CCF2DAF43D66B9</vt:lpwstr>
  </property>
  <property fmtid="{D5CDD505-2E9C-101B-9397-08002B2CF9AE}" pid="3" name="ClassificationContentMarkingFooterShapeIds">
    <vt:lpwstr>2cd58e4a,6ff2f1a,36f90db</vt:lpwstr>
  </property>
  <property fmtid="{D5CDD505-2E9C-101B-9397-08002B2CF9AE}" pid="4" name="ClassificationContentMarkingFooterFontProps">
    <vt:lpwstr>#0000ff,10,Aptos</vt:lpwstr>
  </property>
  <property fmtid="{D5CDD505-2E9C-101B-9397-08002B2CF9AE}" pid="5" name="ClassificationContentMarkingFooterText">
    <vt:lpwstr>Restricted Use - À usage restreint</vt:lpwstr>
  </property>
  <property fmtid="{D5CDD505-2E9C-101B-9397-08002B2CF9AE}" pid="6" name="MSIP_Label_0e5510b0-e729-4ef0-a3dd-4ba0dfe56c99_Enabled">
    <vt:lpwstr>true</vt:lpwstr>
  </property>
  <property fmtid="{D5CDD505-2E9C-101B-9397-08002B2CF9AE}" pid="7" name="MSIP_Label_0e5510b0-e729-4ef0-a3dd-4ba0dfe56c99_SetDate">
    <vt:lpwstr>2026-05-29T12:05:51Z</vt:lpwstr>
  </property>
  <property fmtid="{D5CDD505-2E9C-101B-9397-08002B2CF9AE}" pid="8" name="MSIP_Label_0e5510b0-e729-4ef0-a3dd-4ba0dfe56c99_Method">
    <vt:lpwstr>Standard</vt:lpwstr>
  </property>
  <property fmtid="{D5CDD505-2E9C-101B-9397-08002B2CF9AE}" pid="9" name="MSIP_Label_0e5510b0-e729-4ef0-a3dd-4ba0dfe56c99_Name">
    <vt:lpwstr>Restricted Use</vt:lpwstr>
  </property>
  <property fmtid="{D5CDD505-2E9C-101B-9397-08002B2CF9AE}" pid="10" name="MSIP_Label_0e5510b0-e729-4ef0-a3dd-4ba0dfe56c99_SiteId">
    <vt:lpwstr>ac41c7d4-1f61-460d-b0f4-fc925a2b471c</vt:lpwstr>
  </property>
  <property fmtid="{D5CDD505-2E9C-101B-9397-08002B2CF9AE}" pid="11" name="MSIP_Label_0e5510b0-e729-4ef0-a3dd-4ba0dfe56c99_ActionId">
    <vt:lpwstr>29f695ba-c962-4f63-8e9d-f395e651b925</vt:lpwstr>
  </property>
  <property fmtid="{D5CDD505-2E9C-101B-9397-08002B2CF9AE}" pid="12" name="MSIP_Label_0e5510b0-e729-4ef0-a3dd-4ba0dfe56c99_ContentBits">
    <vt:lpwstr>2</vt:lpwstr>
  </property>
  <property fmtid="{D5CDD505-2E9C-101B-9397-08002B2CF9AE}" pid="13" name="MSIP_Label_0e5510b0-e729-4ef0-a3dd-4ba0dfe56c99_Tag">
    <vt:lpwstr>10, 3, 0, 2</vt:lpwstr>
  </property>
</Properties>
</file>