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52"/>
          <w:szCs w:val="52"/>
          <w:lang w:val="en-US" w:eastAsia="zh-CN"/>
        </w:rPr>
        <w:t>Vue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1.如何定义一个基本的vue代码结构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2.插值表达式 和 v-text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3. v-cloak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4. v-html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5. v-bind    vue 提供的属性绑定机制  缩写是  ：   ，只能实现数据的单向绑定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6. v-on       vue提供的时间绑定机制   缩写是  @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7.  .stop 组织冒泡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8.  .prevent 阻止默认事件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9.  .capture 添加事件侦听器时使用事件捕获模式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10.  .self  只当事件在该元素本身（比如不是子元素）触发时触发回调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11.  .once  事件只触发一次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  <w:t>12.   v-model  能够实现数据的双向绑定，只能用在表单元素中</w:t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5420" cy="3377565"/>
            <wp:effectExtent l="0" t="0" r="1143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66690" cy="4848860"/>
            <wp:effectExtent l="0" t="0" r="1016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2532C"/>
    <w:rsid w:val="3D513D6E"/>
    <w:rsid w:val="6C22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2019-03-18T13:42:00Z</dcterms:created>
  <dc:creator>f"hmily</dc:creator>
  <cp:lastModifiedBy>f"hmily</cp:lastModifiedBy>
  <dcterms:modified xsi:type="dcterms:W3CDTF">2019-03-18T14:17:25Z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