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Comparative DCF: Incremental GDP Impact</w:t>
      </w:r>
    </w:p>
    <w:p>
      <w:r>
        <w:rPr>
          <w:b/>
          <w:sz w:val="24"/>
        </w:rPr>
        <w:t>AI vs. Trump 2.0 vs. US-Iran War (illustrative, order-of-magnitude)</w:t>
      </w:r>
    </w:p>
    <w:p>
      <w:r>
        <w:rPr>
          <w:i/>
          <w:color w:val="808080"/>
          <w:sz w:val="18"/>
        </w:rPr>
        <w:t>Author: Claude (Opus 4.7)    Date: 2026-05-03    Units: real USD trillions, ex-inflation discount rates</w:t>
      </w:r>
    </w:p>
    <w:p>
      <w:r>
        <w:rPr>
          <w:b/>
          <w:sz w:val="30"/>
        </w:rPr>
        <w:t>Executive summary</w:t>
      </w:r>
    </w:p>
    <w:p>
      <w:r>
        <w:rPr>
          <w:i w:val="0"/>
          <w:sz w:val="20"/>
        </w:rPr>
        <w:t>Under central-case assumptions: AI's incremental GDP has a present value of $48.68T (global, 30-year explicit + Gordon terminal, discount rate 6%). Trump 2.0's incremental US GDP has a present value of -$1.24T (20-year horizon, discount rate 5%). A US-Iran kinetic war has a present value of -$2.05T in incremental global GDP (10-year horizon, discount rate 5%, conditional on the war occurring — not probability-weighted).</w:t>
      </w:r>
    </w:p>
    <w:p>
      <w:r>
        <w:rPr>
          <w:i w:val="0"/>
          <w:sz w:val="20"/>
        </w:rPr>
        <w:t>The order of magnitude is the headline: AI's PV is roughly 39x the absolute size of Trump 2.0's net GDP impact and 24x the absolute size of an Iran war shock. Even after loosening AI assumptions toward Acemoglu-style skepticism, AI dominates by at least one order of magnitude in our central case — because it is a long-duration productivity shock compounded over decades, while political and geopolitical shocks act on shorter horizons with bounded amplitude.</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shd w:val="clear" w:color="auto" w:fill="222222"/>
          </w:tcPr>
          <w:p>
            <w:r>
              <w:rPr>
                <w:b/>
                <w:color w:val="FFFFFF"/>
                <w:sz w:val="20"/>
              </w:rPr>
              <w:t>Scenario</w:t>
            </w:r>
          </w:p>
        </w:tc>
        <w:tc>
          <w:tcPr>
            <w:tcW w:type="dxa" w:w="1656"/>
            <w:shd w:val="clear" w:color="auto" w:fill="222222"/>
          </w:tcPr>
          <w:p>
            <w:r>
              <w:rPr>
                <w:b/>
                <w:color w:val="FFFFFF"/>
                <w:sz w:val="20"/>
              </w:rPr>
              <w:t>Horizon</w:t>
            </w:r>
          </w:p>
        </w:tc>
        <w:tc>
          <w:tcPr>
            <w:tcW w:type="dxa" w:w="1656"/>
            <w:shd w:val="clear" w:color="auto" w:fill="222222"/>
          </w:tcPr>
          <w:p>
            <w:r>
              <w:rPr>
                <w:b/>
                <w:color w:val="FFFFFF"/>
                <w:sz w:val="20"/>
              </w:rPr>
              <w:t>Discount</w:t>
            </w:r>
          </w:p>
        </w:tc>
        <w:tc>
          <w:tcPr>
            <w:tcW w:type="dxa" w:w="1656"/>
            <w:shd w:val="clear" w:color="auto" w:fill="222222"/>
          </w:tcPr>
          <w:p>
            <w:r>
              <w:rPr>
                <w:b/>
                <w:color w:val="FFFFFF"/>
                <w:sz w:val="20"/>
              </w:rPr>
              <w:t>Explicit PV</w:t>
            </w:r>
          </w:p>
        </w:tc>
        <w:tc>
          <w:tcPr>
            <w:tcW w:type="dxa" w:w="1656"/>
            <w:shd w:val="clear" w:color="auto" w:fill="222222"/>
          </w:tcPr>
          <w:p>
            <w:r>
              <w:rPr>
                <w:b/>
                <w:color w:val="FFFFFF"/>
                <w:sz w:val="20"/>
              </w:rPr>
              <w:t>Terminal PV</w:t>
            </w:r>
          </w:p>
        </w:tc>
        <w:tc>
          <w:tcPr>
            <w:tcW w:type="dxa" w:w="1656"/>
            <w:shd w:val="clear" w:color="auto" w:fill="222222"/>
          </w:tcPr>
          <w:p>
            <w:r>
              <w:rPr>
                <w:b/>
                <w:color w:val="FFFFFF"/>
                <w:sz w:val="20"/>
              </w:rPr>
              <w:t>Total PV</w:t>
            </w:r>
          </w:p>
        </w:tc>
      </w:tr>
      <w:tr>
        <w:tc>
          <w:tcPr>
            <w:tcW w:type="dxa" w:w="1656"/>
          </w:tcPr>
          <w:p>
            <w:r>
              <w:rPr>
                <w:sz w:val="18"/>
              </w:rPr>
              <w:t>AI (global)</w:t>
            </w:r>
          </w:p>
        </w:tc>
        <w:tc>
          <w:tcPr>
            <w:tcW w:type="dxa" w:w="1656"/>
          </w:tcPr>
          <w:p>
            <w:r>
              <w:rPr>
                <w:sz w:val="18"/>
              </w:rPr>
              <w:t>30 y</w:t>
            </w:r>
          </w:p>
        </w:tc>
        <w:tc>
          <w:tcPr>
            <w:tcW w:type="dxa" w:w="1656"/>
          </w:tcPr>
          <w:p>
            <w:r>
              <w:rPr>
                <w:sz w:val="18"/>
              </w:rPr>
              <w:t>6%</w:t>
            </w:r>
          </w:p>
        </w:tc>
        <w:tc>
          <w:tcPr>
            <w:tcW w:type="dxa" w:w="1656"/>
          </w:tcPr>
          <w:p>
            <w:r>
              <w:rPr>
                <w:sz w:val="18"/>
              </w:rPr>
              <w:t>$25.02T</w:t>
            </w:r>
          </w:p>
        </w:tc>
        <w:tc>
          <w:tcPr>
            <w:tcW w:type="dxa" w:w="1656"/>
          </w:tcPr>
          <w:p>
            <w:r>
              <w:rPr>
                <w:sz w:val="18"/>
              </w:rPr>
              <w:t>$23.67T</w:t>
            </w:r>
          </w:p>
        </w:tc>
        <w:tc>
          <w:tcPr>
            <w:tcW w:type="dxa" w:w="1656"/>
          </w:tcPr>
          <w:p>
            <w:r>
              <w:rPr>
                <w:sz w:val="18"/>
              </w:rPr>
              <w:t>$48.68T</w:t>
            </w:r>
          </w:p>
        </w:tc>
      </w:tr>
      <w:tr>
        <w:tc>
          <w:tcPr>
            <w:tcW w:type="dxa" w:w="1656"/>
          </w:tcPr>
          <w:p>
            <w:r>
              <w:rPr>
                <w:sz w:val="18"/>
              </w:rPr>
              <w:t>Trump 2.0 (US)</w:t>
            </w:r>
          </w:p>
        </w:tc>
        <w:tc>
          <w:tcPr>
            <w:tcW w:type="dxa" w:w="1656"/>
          </w:tcPr>
          <w:p>
            <w:r>
              <w:rPr>
                <w:sz w:val="18"/>
              </w:rPr>
              <w:t>20 y</w:t>
            </w:r>
          </w:p>
        </w:tc>
        <w:tc>
          <w:tcPr>
            <w:tcW w:type="dxa" w:w="1656"/>
          </w:tcPr>
          <w:p>
            <w:r>
              <w:rPr>
                <w:sz w:val="18"/>
              </w:rPr>
              <w:t>5%</w:t>
            </w:r>
          </w:p>
        </w:tc>
        <w:tc>
          <w:tcPr>
            <w:tcW w:type="dxa" w:w="1656"/>
          </w:tcPr>
          <w:p>
            <w:r>
              <w:rPr>
                <w:sz w:val="18"/>
              </w:rPr>
              <w:t>-$1.24T</w:t>
            </w:r>
          </w:p>
        </w:tc>
        <w:tc>
          <w:tcPr>
            <w:tcW w:type="dxa" w:w="1656"/>
          </w:tcPr>
          <w:p>
            <w:r>
              <w:rPr>
                <w:sz w:val="18"/>
              </w:rPr>
              <w:t>$0.00T</w:t>
            </w:r>
          </w:p>
        </w:tc>
        <w:tc>
          <w:tcPr>
            <w:tcW w:type="dxa" w:w="1656"/>
          </w:tcPr>
          <w:p>
            <w:r>
              <w:rPr>
                <w:sz w:val="18"/>
              </w:rPr>
              <w:t>-$1.24T</w:t>
            </w:r>
          </w:p>
        </w:tc>
      </w:tr>
      <w:tr>
        <w:tc>
          <w:tcPr>
            <w:tcW w:type="dxa" w:w="1656"/>
          </w:tcPr>
          <w:p>
            <w:r>
              <w:rPr>
                <w:sz w:val="18"/>
              </w:rPr>
              <w:t>US-Iran war (global)</w:t>
            </w:r>
          </w:p>
        </w:tc>
        <w:tc>
          <w:tcPr>
            <w:tcW w:type="dxa" w:w="1656"/>
          </w:tcPr>
          <w:p>
            <w:r>
              <w:rPr>
                <w:sz w:val="18"/>
              </w:rPr>
              <w:t>10 y</w:t>
            </w:r>
          </w:p>
        </w:tc>
        <w:tc>
          <w:tcPr>
            <w:tcW w:type="dxa" w:w="1656"/>
          </w:tcPr>
          <w:p>
            <w:r>
              <w:rPr>
                <w:sz w:val="18"/>
              </w:rPr>
              <w:t>5%</w:t>
            </w:r>
          </w:p>
        </w:tc>
        <w:tc>
          <w:tcPr>
            <w:tcW w:type="dxa" w:w="1656"/>
          </w:tcPr>
          <w:p>
            <w:r>
              <w:rPr>
                <w:sz w:val="18"/>
              </w:rPr>
              <w:t>-$2.05T</w:t>
            </w:r>
          </w:p>
        </w:tc>
        <w:tc>
          <w:tcPr>
            <w:tcW w:type="dxa" w:w="1656"/>
          </w:tcPr>
          <w:p>
            <w:r>
              <w:rPr>
                <w:sz w:val="18"/>
              </w:rPr>
              <w:t>$0.00T</w:t>
            </w:r>
          </w:p>
        </w:tc>
        <w:tc>
          <w:tcPr>
            <w:tcW w:type="dxa" w:w="1656"/>
          </w:tcPr>
          <w:p>
            <w:r>
              <w:rPr>
                <w:sz w:val="18"/>
              </w:rPr>
              <w:t>-$2.05T</w:t>
            </w:r>
          </w:p>
        </w:tc>
      </w:tr>
    </w:tbl>
    <w:p/>
    <w:p>
      <w:r>
        <w:drawing>
          <wp:inline xmlns:a="http://schemas.openxmlformats.org/drawingml/2006/main" xmlns:pic="http://schemas.openxmlformats.org/drawingml/2006/picture">
            <wp:extent cx="5669280" cy="3239589"/>
            <wp:docPr id="1" name="Picture 1"/>
            <wp:cNvGraphicFramePr>
              <a:graphicFrameLocks noChangeAspect="1"/>
            </wp:cNvGraphicFramePr>
            <a:graphic>
              <a:graphicData uri="http://schemas.openxmlformats.org/drawingml/2006/picture">
                <pic:pic>
                  <pic:nvPicPr>
                    <pic:cNvPr id="0" name="chart_total.png"/>
                    <pic:cNvPicPr/>
                  </pic:nvPicPr>
                  <pic:blipFill>
                    <a:blip r:embed="rId9"/>
                    <a:stretch>
                      <a:fillRect/>
                    </a:stretch>
                  </pic:blipFill>
                  <pic:spPr>
                    <a:xfrm>
                      <a:off x="0" y="0"/>
                      <a:ext cx="5669280" cy="3239589"/>
                    </a:xfrm>
                    <a:prstGeom prst="rect"/>
                  </pic:spPr>
                </pic:pic>
              </a:graphicData>
            </a:graphic>
          </wp:inline>
        </w:drawing>
      </w:r>
    </w:p>
    <w:p>
      <w:r>
        <w:br w:type="page"/>
      </w:r>
    </w:p>
    <w:p>
      <w:r>
        <w:rPr>
          <w:b/>
          <w:sz w:val="30"/>
        </w:rPr>
        <w:t>Methodology</w:t>
      </w:r>
    </w:p>
    <w:p>
      <w:r>
        <w:rPr>
          <w:i w:val="0"/>
          <w:sz w:val="20"/>
        </w:rPr>
        <w:t>I model each scenario as an annual stream of incremental GDP relative to a no-event counterfactual, then discount to a present value using a real (ex-inflation) discount rate. PV = Σ ΔGDP_t / (1+r)^t, with a Gordon-growth terminal value where economic fundamentals justify it (only AI). For the political and war scenarios, the impact decays inside the explicit horizon, so no terminal value is added.</w:t>
      </w:r>
    </w:p>
    <w:p>
      <w:r>
        <w:rPr>
          <w:i w:val="0"/>
          <w:sz w:val="20"/>
        </w:rPr>
        <w:t>Three deliberate choices shape the comparison: (1) AI is global and very long-horizon, while Trump 2.0 is mostly US and 4-20y, while the Iran war shock is global but front-loaded and short. (2) The discount rate is held between 5-6% real to keep magnitudes comparable, then varied in sensitivity tables. (3) War PV is conditional on occurrence, not probability-weighted; if you assign a probability p, multiply by p for an expected value.</w:t>
      </w:r>
    </w:p>
    <w:p>
      <w:r>
        <w:rPr>
          <w:b/>
          <w:sz w:val="24"/>
        </w:rPr>
        <w:t>Charts</w:t>
      </w:r>
    </w:p>
    <w:p>
      <w:r>
        <w:drawing>
          <wp:inline xmlns:a="http://schemas.openxmlformats.org/drawingml/2006/main" xmlns:pic="http://schemas.openxmlformats.org/drawingml/2006/picture">
            <wp:extent cx="5669280" cy="3239589"/>
            <wp:docPr id="2" name="Picture 2"/>
            <wp:cNvGraphicFramePr>
              <a:graphicFrameLocks noChangeAspect="1"/>
            </wp:cNvGraphicFramePr>
            <a:graphic>
              <a:graphicData uri="http://schemas.openxmlformats.org/drawingml/2006/picture">
                <pic:pic>
                  <pic:nvPicPr>
                    <pic:cNvPr id="0" name="chart_annual.png"/>
                    <pic:cNvPicPr/>
                  </pic:nvPicPr>
                  <pic:blipFill>
                    <a:blip r:embed="rId10"/>
                    <a:stretch>
                      <a:fillRect/>
                    </a:stretch>
                  </pic:blipFill>
                  <pic:spPr>
                    <a:xfrm>
                      <a:off x="0" y="0"/>
                      <a:ext cx="5669280" cy="3239589"/>
                    </a:xfrm>
                    <a:prstGeom prst="rect"/>
                  </pic:spPr>
                </pic:pic>
              </a:graphicData>
            </a:graphic>
          </wp:inline>
        </w:drawing>
      </w:r>
    </w:p>
    <w:p/>
    <w:p>
      <w:r>
        <w:drawing>
          <wp:inline xmlns:a="http://schemas.openxmlformats.org/drawingml/2006/main" xmlns:pic="http://schemas.openxmlformats.org/drawingml/2006/picture">
            <wp:extent cx="5669280" cy="3239589"/>
            <wp:docPr id="3" name="Picture 3"/>
            <wp:cNvGraphicFramePr>
              <a:graphicFrameLocks noChangeAspect="1"/>
            </wp:cNvGraphicFramePr>
            <a:graphic>
              <a:graphicData uri="http://schemas.openxmlformats.org/drawingml/2006/picture">
                <pic:pic>
                  <pic:nvPicPr>
                    <pic:cNvPr id="0" name="chart_cumulative.png"/>
                    <pic:cNvPicPr/>
                  </pic:nvPicPr>
                  <pic:blipFill>
                    <a:blip r:embed="rId11"/>
                    <a:stretch>
                      <a:fillRect/>
                    </a:stretch>
                  </pic:blipFill>
                  <pic:spPr>
                    <a:xfrm>
                      <a:off x="0" y="0"/>
                      <a:ext cx="5669280" cy="3239589"/>
                    </a:xfrm>
                    <a:prstGeom prst="rect"/>
                  </pic:spPr>
                </pic:pic>
              </a:graphicData>
            </a:graphic>
          </wp:inline>
        </w:drawing>
      </w:r>
    </w:p>
    <w:p>
      <w:r>
        <w:br w:type="page"/>
      </w:r>
    </w:p>
    <w:p>
      <w:r>
        <w:rPr>
          <w:b/>
          <w:sz w:val="30"/>
        </w:rPr>
        <w:t>1) AI — global incremental GDP</w:t>
      </w:r>
    </w:p>
    <w:p>
      <w:r>
        <w:rPr>
          <w:b/>
          <w:sz w:val="24"/>
        </w:rPr>
        <w:t>Assumptions</w:t>
      </w:r>
    </w:p>
    <w:tbl>
      <w:tblPr>
        <w:tblStyle w:val="LightGrid-Accent1"/>
        <w:tblW w:type="auto" w:w="0"/>
        <w:tblLook w:firstColumn="1" w:firstRow="1" w:lastColumn="0" w:lastRow="0" w:noHBand="0" w:noVBand="1" w:val="04A0"/>
      </w:tblPr>
      <w:tblGrid>
        <w:gridCol w:w="4968"/>
        <w:gridCol w:w="4968"/>
      </w:tblGrid>
      <w:tr>
        <w:tc>
          <w:tcPr>
            <w:tcW w:type="dxa" w:w="4968"/>
            <w:shd w:val="clear" w:color="auto" w:fill="1f77b4"/>
          </w:tcPr>
          <w:p>
            <w:r>
              <w:rPr>
                <w:b/>
                <w:color w:val="FFFFFF"/>
                <w:sz w:val="20"/>
              </w:rPr>
              <w:t>Parameter</w:t>
            </w:r>
          </w:p>
        </w:tc>
        <w:tc>
          <w:tcPr>
            <w:tcW w:type="dxa" w:w="4968"/>
            <w:shd w:val="clear" w:color="auto" w:fill="1f77b4"/>
          </w:tcPr>
          <w:p>
            <w:r>
              <w:rPr>
                <w:b/>
                <w:color w:val="FFFFFF"/>
                <w:sz w:val="20"/>
              </w:rPr>
              <w:t>Value</w:t>
            </w:r>
          </w:p>
        </w:tc>
      </w:tr>
      <w:tr>
        <w:tc>
          <w:tcPr>
            <w:tcW w:type="dxa" w:w="4968"/>
          </w:tcPr>
          <w:p>
            <w:r>
              <w:rPr>
                <w:sz w:val="18"/>
              </w:rPr>
              <w:t>Global GDP base (2025)</w:t>
            </w:r>
          </w:p>
        </w:tc>
        <w:tc>
          <w:tcPr>
            <w:tcW w:type="dxa" w:w="4968"/>
          </w:tcPr>
          <w:p>
            <w:r>
              <w:rPr>
                <w:sz w:val="18"/>
              </w:rPr>
              <w:t>$110T</w:t>
            </w:r>
          </w:p>
        </w:tc>
      </w:tr>
      <w:tr>
        <w:tc>
          <w:tcPr>
            <w:tcW w:type="dxa" w:w="4968"/>
          </w:tcPr>
          <w:p>
            <w:r>
              <w:rPr>
                <w:sz w:val="18"/>
              </w:rPr>
              <w:t>Adoption profile</w:t>
            </w:r>
          </w:p>
        </w:tc>
        <w:tc>
          <w:tcPr>
            <w:tcW w:type="dxa" w:w="4968"/>
          </w:tcPr>
          <w:p>
            <w:r>
              <w:rPr>
                <w:sz w:val="18"/>
              </w:rPr>
              <w:t>Logistic ramp; $0.2T (2025) -&gt; $4.5T (~2040)</w:t>
            </w:r>
          </w:p>
        </w:tc>
      </w:tr>
      <w:tr>
        <w:tc>
          <w:tcPr>
            <w:tcW w:type="dxa" w:w="4968"/>
          </w:tcPr>
          <w:p>
            <w:r>
              <w:rPr>
                <w:sz w:val="18"/>
              </w:rPr>
              <w:t>Post-peak growth</w:t>
            </w:r>
          </w:p>
        </w:tc>
        <w:tc>
          <w:tcPr>
            <w:tcW w:type="dxa" w:w="4968"/>
          </w:tcPr>
          <w:p>
            <w:r>
              <w:rPr>
                <w:sz w:val="18"/>
              </w:rPr>
              <w:t>+2%/yr through year 30</w:t>
            </w:r>
          </w:p>
        </w:tc>
      </w:tr>
      <w:tr>
        <w:tc>
          <w:tcPr>
            <w:tcW w:type="dxa" w:w="4968"/>
          </w:tcPr>
          <w:p>
            <w:r>
              <w:rPr>
                <w:sz w:val="18"/>
              </w:rPr>
              <w:t>Explicit horizon</w:t>
            </w:r>
          </w:p>
        </w:tc>
        <w:tc>
          <w:tcPr>
            <w:tcW w:type="dxa" w:w="4968"/>
          </w:tcPr>
          <w:p>
            <w:r>
              <w:rPr>
                <w:sz w:val="18"/>
              </w:rPr>
              <w:t>30 years</w:t>
            </w:r>
          </w:p>
        </w:tc>
      </w:tr>
      <w:tr>
        <w:tc>
          <w:tcPr>
            <w:tcW w:type="dxa" w:w="4968"/>
          </w:tcPr>
          <w:p>
            <w:r>
              <w:rPr>
                <w:sz w:val="18"/>
              </w:rPr>
              <w:t>Terminal growth</w:t>
            </w:r>
          </w:p>
        </w:tc>
        <w:tc>
          <w:tcPr>
            <w:tcW w:type="dxa" w:w="4968"/>
          </w:tcPr>
          <w:p>
            <w:r>
              <w:rPr>
                <w:sz w:val="18"/>
              </w:rPr>
              <w:t>1.5% real</w:t>
            </w:r>
          </w:p>
        </w:tc>
      </w:tr>
      <w:tr>
        <w:tc>
          <w:tcPr>
            <w:tcW w:type="dxa" w:w="4968"/>
          </w:tcPr>
          <w:p>
            <w:r>
              <w:rPr>
                <w:sz w:val="18"/>
              </w:rPr>
              <w:t>Real discount rate</w:t>
            </w:r>
          </w:p>
        </w:tc>
        <w:tc>
          <w:tcPr>
            <w:tcW w:type="dxa" w:w="4968"/>
          </w:tcPr>
          <w:p>
            <w:r>
              <w:rPr>
                <w:sz w:val="18"/>
              </w:rPr>
              <w:t>6%</w:t>
            </w:r>
          </w:p>
        </w:tc>
      </w:tr>
      <w:tr>
        <w:tc>
          <w:tcPr>
            <w:tcW w:type="dxa" w:w="4968"/>
          </w:tcPr>
          <w:p>
            <w:r>
              <w:rPr>
                <w:sz w:val="18"/>
              </w:rPr>
              <w:t>Anchors</w:t>
            </w:r>
          </w:p>
        </w:tc>
        <w:tc>
          <w:tcPr>
            <w:tcW w:type="dxa" w:w="4968"/>
          </w:tcPr>
          <w:p>
            <w:r>
              <w:rPr>
                <w:sz w:val="18"/>
              </w:rPr>
              <w:t>Goldman Sachs 2023 (~7% global GDP / 10y); McKinsey 2023 ($13-25T/yr by 2040); PwC 2017 ($15.7T by 2030)</w:t>
            </w:r>
          </w:p>
        </w:tc>
      </w:tr>
    </w:tbl>
    <w:p/>
    <w:p>
      <w:r>
        <w:rPr>
          <w:i w:val="0"/>
          <w:sz w:val="20"/>
        </w:rPr>
        <w:t>Result: Explicit-horizon PV $25.02T + terminal PV $23.67T = total PV $48.68T. The terminal value is large because a permanent productivity uplift compounds forever; even at 6% real discounting, a $7-8T perpetual annual delta is worth on the order of $100T+ in present value terms.</w:t>
      </w:r>
    </w:p>
    <w:p>
      <w:r>
        <w:rPr>
          <w:b/>
          <w:sz w:val="24"/>
        </w:rPr>
        <w:t>Sensitivity (total PV, $T)</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shd w:val="clear" w:color="auto" w:fill="1f77b4"/>
          </w:tcPr>
          <w:p>
            <w:r>
              <w:rPr>
                <w:b/>
                <w:color w:val="FFFFFF"/>
                <w:sz w:val="20"/>
              </w:rPr>
              <w:t>Peak $T/yr by 2040 \ Discount</w:t>
            </w:r>
          </w:p>
        </w:tc>
        <w:tc>
          <w:tcPr>
            <w:tcW w:type="dxa" w:w="1987"/>
            <w:shd w:val="clear" w:color="auto" w:fill="1f77b4"/>
          </w:tcPr>
          <w:p>
            <w:r>
              <w:rPr>
                <w:b/>
                <w:color w:val="FFFFFF"/>
                <w:sz w:val="20"/>
              </w:rPr>
              <w:t>4%</w:t>
            </w:r>
          </w:p>
        </w:tc>
        <w:tc>
          <w:tcPr>
            <w:tcW w:type="dxa" w:w="1987"/>
            <w:shd w:val="clear" w:color="auto" w:fill="1f77b4"/>
          </w:tcPr>
          <w:p>
            <w:r>
              <w:rPr>
                <w:b/>
                <w:color w:val="FFFFFF"/>
                <w:sz w:val="20"/>
              </w:rPr>
              <w:t>6%</w:t>
            </w:r>
          </w:p>
        </w:tc>
        <w:tc>
          <w:tcPr>
            <w:tcW w:type="dxa" w:w="1987"/>
            <w:shd w:val="clear" w:color="auto" w:fill="1f77b4"/>
          </w:tcPr>
          <w:p>
            <w:r>
              <w:rPr>
                <w:b/>
                <w:color w:val="FFFFFF"/>
                <w:sz w:val="20"/>
              </w:rPr>
              <w:t>8%</w:t>
            </w:r>
          </w:p>
        </w:tc>
        <w:tc>
          <w:tcPr>
            <w:tcW w:type="dxa" w:w="1987"/>
            <w:shd w:val="clear" w:color="auto" w:fill="1f77b4"/>
          </w:tcPr>
          <w:p>
            <w:r>
              <w:rPr>
                <w:b/>
                <w:color w:val="FFFFFF"/>
                <w:sz w:val="20"/>
              </w:rPr>
              <w:t>10%</w:t>
            </w:r>
          </w:p>
        </w:tc>
      </w:tr>
      <w:tr>
        <w:tc>
          <w:tcPr>
            <w:tcW w:type="dxa" w:w="1987"/>
            <w:shd w:val="clear" w:color="auto" w:fill="1f77b4"/>
          </w:tcPr>
          <w:p>
            <w:r>
              <w:rPr>
                <w:b/>
                <w:color w:val="FFFFFF"/>
                <w:sz w:val="18"/>
              </w:rPr>
              <w:t>$2.0T</w:t>
            </w:r>
          </w:p>
        </w:tc>
        <w:tc>
          <w:tcPr>
            <w:tcW w:type="dxa" w:w="1987"/>
          </w:tcPr>
          <w:p>
            <w:r>
              <w:rPr>
                <w:sz w:val="18"/>
              </w:rPr>
              <w:t>$50.96T</w:t>
            </w:r>
          </w:p>
        </w:tc>
        <w:tc>
          <w:tcPr>
            <w:tcW w:type="dxa" w:w="1987"/>
          </w:tcPr>
          <w:p>
            <w:r>
              <w:rPr>
                <w:sz w:val="18"/>
              </w:rPr>
              <w:t>$22.67T</w:t>
            </w:r>
          </w:p>
        </w:tc>
        <w:tc>
          <w:tcPr>
            <w:tcW w:type="dxa" w:w="1987"/>
          </w:tcPr>
          <w:p>
            <w:r>
              <w:rPr>
                <w:sz w:val="18"/>
              </w:rPr>
              <w:t>$12.85T</w:t>
            </w:r>
          </w:p>
        </w:tc>
        <w:tc>
          <w:tcPr>
            <w:tcW w:type="dxa" w:w="1987"/>
          </w:tcPr>
          <w:p>
            <w:r>
              <w:rPr>
                <w:sz w:val="18"/>
              </w:rPr>
              <w:t>$8.23T</w:t>
            </w:r>
          </w:p>
        </w:tc>
      </w:tr>
      <w:tr>
        <w:tc>
          <w:tcPr>
            <w:tcW w:type="dxa" w:w="1987"/>
            <w:shd w:val="clear" w:color="auto" w:fill="1f77b4"/>
          </w:tcPr>
          <w:p>
            <w:r>
              <w:rPr>
                <w:b/>
                <w:color w:val="FFFFFF"/>
                <w:sz w:val="18"/>
              </w:rPr>
              <w:t>$4.5T</w:t>
            </w:r>
          </w:p>
        </w:tc>
        <w:tc>
          <w:tcPr>
            <w:tcW w:type="dxa" w:w="1987"/>
          </w:tcPr>
          <w:p>
            <w:r>
              <w:rPr>
                <w:sz w:val="18"/>
              </w:rPr>
              <w:t>$111.99T</w:t>
            </w:r>
          </w:p>
        </w:tc>
        <w:tc>
          <w:tcPr>
            <w:tcW w:type="dxa" w:w="1987"/>
          </w:tcPr>
          <w:p>
            <w:r>
              <w:rPr>
                <w:sz w:val="18"/>
              </w:rPr>
              <w:t>$48.68T</w:t>
            </w:r>
          </w:p>
        </w:tc>
        <w:tc>
          <w:tcPr>
            <w:tcW w:type="dxa" w:w="1987"/>
          </w:tcPr>
          <w:p>
            <w:r>
              <w:rPr>
                <w:sz w:val="18"/>
              </w:rPr>
              <w:t>$26.89T</w:t>
            </w:r>
          </w:p>
        </w:tc>
        <w:tc>
          <w:tcPr>
            <w:tcW w:type="dxa" w:w="1987"/>
          </w:tcPr>
          <w:p>
            <w:r>
              <w:rPr>
                <w:sz w:val="18"/>
              </w:rPr>
              <w:t>$16.72T</w:t>
            </w:r>
          </w:p>
        </w:tc>
      </w:tr>
      <w:tr>
        <w:tc>
          <w:tcPr>
            <w:tcW w:type="dxa" w:w="1987"/>
            <w:shd w:val="clear" w:color="auto" w:fill="1f77b4"/>
          </w:tcPr>
          <w:p>
            <w:r>
              <w:rPr>
                <w:b/>
                <w:color w:val="FFFFFF"/>
                <w:sz w:val="18"/>
              </w:rPr>
              <w:t>$8.0T</w:t>
            </w:r>
          </w:p>
        </w:tc>
        <w:tc>
          <w:tcPr>
            <w:tcW w:type="dxa" w:w="1987"/>
          </w:tcPr>
          <w:p>
            <w:r>
              <w:rPr>
                <w:sz w:val="18"/>
              </w:rPr>
              <w:t>$197.43T</w:t>
            </w:r>
          </w:p>
        </w:tc>
        <w:tc>
          <w:tcPr>
            <w:tcW w:type="dxa" w:w="1987"/>
          </w:tcPr>
          <w:p>
            <w:r>
              <w:rPr>
                <w:sz w:val="18"/>
              </w:rPr>
              <w:t>$85.11T</w:t>
            </w:r>
          </w:p>
        </w:tc>
        <w:tc>
          <w:tcPr>
            <w:tcW w:type="dxa" w:w="1987"/>
          </w:tcPr>
          <w:p>
            <w:r>
              <w:rPr>
                <w:sz w:val="18"/>
              </w:rPr>
              <w:t>$46.54T</w:t>
            </w:r>
          </w:p>
        </w:tc>
        <w:tc>
          <w:tcPr>
            <w:tcW w:type="dxa" w:w="1987"/>
          </w:tcPr>
          <w:p>
            <w:r>
              <w:rPr>
                <w:sz w:val="18"/>
              </w:rPr>
              <w:t>$28.60T</w:t>
            </w:r>
          </w:p>
        </w:tc>
      </w:tr>
      <w:tr>
        <w:tc>
          <w:tcPr>
            <w:tcW w:type="dxa" w:w="1987"/>
            <w:shd w:val="clear" w:color="auto" w:fill="1f77b4"/>
          </w:tcPr>
          <w:p>
            <w:r>
              <w:rPr>
                <w:b/>
                <w:color w:val="FFFFFF"/>
                <w:sz w:val="18"/>
              </w:rPr>
              <w:t>$12.0T</w:t>
            </w:r>
          </w:p>
        </w:tc>
        <w:tc>
          <w:tcPr>
            <w:tcW w:type="dxa" w:w="1987"/>
          </w:tcPr>
          <w:p>
            <w:r>
              <w:rPr>
                <w:sz w:val="18"/>
              </w:rPr>
              <w:t>$295.08T</w:t>
            </w:r>
          </w:p>
        </w:tc>
        <w:tc>
          <w:tcPr>
            <w:tcW w:type="dxa" w:w="1987"/>
          </w:tcPr>
          <w:p>
            <w:r>
              <w:rPr>
                <w:sz w:val="18"/>
              </w:rPr>
              <w:t>$126.74T</w:t>
            </w:r>
          </w:p>
        </w:tc>
        <w:tc>
          <w:tcPr>
            <w:tcW w:type="dxa" w:w="1987"/>
          </w:tcPr>
          <w:p>
            <w:r>
              <w:rPr>
                <w:sz w:val="18"/>
              </w:rPr>
              <w:t>$69.00T</w:t>
            </w:r>
          </w:p>
        </w:tc>
        <w:tc>
          <w:tcPr>
            <w:tcW w:type="dxa" w:w="1987"/>
          </w:tcPr>
          <w:p>
            <w:r>
              <w:rPr>
                <w:sz w:val="18"/>
              </w:rPr>
              <w:t>$42.19T</w:t>
            </w:r>
          </w:p>
        </w:tc>
      </w:tr>
    </w:tbl>
    <w:p/>
    <w:p>
      <w:r>
        <w:rPr>
          <w:i/>
          <w:color w:val="808080"/>
          <w:sz w:val="18"/>
        </w:rPr>
        <w:t>Caveats: (i) Acemoglu (MIT, 2024) argues only 0.5% cumulative TFP gain over 10 years — an order of magnitude lower than the central case. (ii) Excludes distributional, employment, and existential-risk side effects, which are not GDP-additive but materially affect welfare. (iii) Capex needed to realize the gain (datacenters, energy, chips) is subtracted from output but not netted here.</w:t>
      </w:r>
    </w:p>
    <w:p>
      <w:r>
        <w:br w:type="page"/>
      </w:r>
    </w:p>
    <w:p>
      <w:r>
        <w:rPr>
          <w:b/>
          <w:sz w:val="30"/>
        </w:rPr>
        <w:t>2) Trump 2.0 — US incremental GDP</w:t>
      </w:r>
    </w:p>
    <w:p>
      <w:r>
        <w:rPr>
          <w:b/>
          <w:sz w:val="24"/>
        </w:rPr>
        <w:t>Assumptions (level effects on US GDP)</w:t>
      </w:r>
    </w:p>
    <w:tbl>
      <w:tblPr>
        <w:tblStyle w:val="LightGrid-Accent1"/>
        <w:tblW w:type="auto" w:w="0"/>
        <w:tblLook w:firstColumn="1" w:firstRow="1" w:lastColumn="0" w:lastRow="0" w:noHBand="0" w:noVBand="1" w:val="04A0"/>
      </w:tblPr>
      <w:tblGrid>
        <w:gridCol w:w="4968"/>
        <w:gridCol w:w="4968"/>
      </w:tblGrid>
      <w:tr>
        <w:tc>
          <w:tcPr>
            <w:tcW w:type="dxa" w:w="4968"/>
            <w:shd w:val="clear" w:color="auto" w:fill="d62728"/>
          </w:tcPr>
          <w:p>
            <w:r>
              <w:rPr>
                <w:b/>
                <w:color w:val="FFFFFF"/>
                <w:sz w:val="20"/>
              </w:rPr>
              <w:t>Parameter</w:t>
            </w:r>
          </w:p>
        </w:tc>
        <w:tc>
          <w:tcPr>
            <w:tcW w:type="dxa" w:w="4968"/>
            <w:shd w:val="clear" w:color="auto" w:fill="d62728"/>
          </w:tcPr>
          <w:p>
            <w:r>
              <w:rPr>
                <w:b/>
                <w:color w:val="FFFFFF"/>
                <w:sz w:val="20"/>
              </w:rPr>
              <w:t>Value</w:t>
            </w:r>
          </w:p>
        </w:tc>
      </w:tr>
      <w:tr>
        <w:tc>
          <w:tcPr>
            <w:tcW w:type="dxa" w:w="4968"/>
          </w:tcPr>
          <w:p>
            <w:r>
              <w:rPr>
                <w:sz w:val="18"/>
              </w:rPr>
              <w:t>TCJA extension / corporate tax</w:t>
            </w:r>
          </w:p>
        </w:tc>
        <w:tc>
          <w:tcPr>
            <w:tcW w:type="dxa" w:w="4968"/>
          </w:tcPr>
          <w:p>
            <w:r>
              <w:rPr>
                <w:sz w:val="18"/>
              </w:rPr>
              <w:t>+0.4% of US GDP (Tax Foundation)</w:t>
            </w:r>
          </w:p>
        </w:tc>
      </w:tr>
      <w:tr>
        <w:tc>
          <w:tcPr>
            <w:tcW w:type="dxa" w:w="4968"/>
          </w:tcPr>
          <w:p>
            <w:r>
              <w:rPr>
                <w:sz w:val="18"/>
              </w:rPr>
              <w:t>Tariffs (broad + targeted)</w:t>
            </w:r>
          </w:p>
        </w:tc>
        <w:tc>
          <w:tcPr>
            <w:tcW w:type="dxa" w:w="4968"/>
          </w:tcPr>
          <w:p>
            <w:r>
              <w:rPr>
                <w:sz w:val="18"/>
              </w:rPr>
              <w:t>-0.8% of US GDP (Penn Wharton, Yale Budget Lab)</w:t>
            </w:r>
          </w:p>
        </w:tc>
      </w:tr>
      <w:tr>
        <w:tc>
          <w:tcPr>
            <w:tcW w:type="dxa" w:w="4968"/>
          </w:tcPr>
          <w:p>
            <w:r>
              <w:rPr>
                <w:sz w:val="18"/>
              </w:rPr>
              <w:t>Immigration restriction</w:t>
            </w:r>
          </w:p>
        </w:tc>
        <w:tc>
          <w:tcPr>
            <w:tcW w:type="dxa" w:w="4968"/>
          </w:tcPr>
          <w:p>
            <w:r>
              <w:rPr>
                <w:sz w:val="18"/>
              </w:rPr>
              <w:t>-0.4% of US GDP (CBO labor force)</w:t>
            </w:r>
          </w:p>
        </w:tc>
      </w:tr>
      <w:tr>
        <w:tc>
          <w:tcPr>
            <w:tcW w:type="dxa" w:w="4968"/>
          </w:tcPr>
          <w:p>
            <w:r>
              <w:rPr>
                <w:sz w:val="18"/>
              </w:rPr>
              <w:t>Deregulation</w:t>
            </w:r>
          </w:p>
        </w:tc>
        <w:tc>
          <w:tcPr>
            <w:tcW w:type="dxa" w:w="4968"/>
          </w:tcPr>
          <w:p>
            <w:r>
              <w:rPr>
                <w:sz w:val="18"/>
              </w:rPr>
              <w:t>+0.3% of US GDP</w:t>
            </w:r>
          </w:p>
        </w:tc>
      </w:tr>
      <w:tr>
        <w:tc>
          <w:tcPr>
            <w:tcW w:type="dxa" w:w="4968"/>
          </w:tcPr>
          <w:p>
            <w:r>
              <w:rPr>
                <w:sz w:val="18"/>
              </w:rPr>
              <w:t>Deficit / higher real rates</w:t>
            </w:r>
          </w:p>
        </w:tc>
        <w:tc>
          <w:tcPr>
            <w:tcW w:type="dxa" w:w="4968"/>
          </w:tcPr>
          <w:p>
            <w:r>
              <w:rPr>
                <w:sz w:val="18"/>
              </w:rPr>
              <w:t>-0.2% of US GDP</w:t>
            </w:r>
          </w:p>
        </w:tc>
      </w:tr>
      <w:tr>
        <w:tc>
          <w:tcPr>
            <w:tcW w:type="dxa" w:w="4968"/>
          </w:tcPr>
          <w:p>
            <w:r>
              <w:rPr>
                <w:sz w:val="18"/>
              </w:rPr>
              <w:t>Net peak</w:t>
            </w:r>
          </w:p>
        </w:tc>
        <w:tc>
          <w:tcPr>
            <w:tcW w:type="dxa" w:w="4968"/>
          </w:tcPr>
          <w:p>
            <w:r>
              <w:rPr>
                <w:sz w:val="18"/>
              </w:rPr>
              <w:t>-0.7% of US GDP</w:t>
            </w:r>
          </w:p>
        </w:tc>
      </w:tr>
      <w:tr>
        <w:tc>
          <w:tcPr>
            <w:tcW w:type="dxa" w:w="4968"/>
          </w:tcPr>
          <w:p>
            <w:r>
              <w:rPr>
                <w:sz w:val="18"/>
              </w:rPr>
              <w:t>US GDP base</w:t>
            </w:r>
          </w:p>
        </w:tc>
        <w:tc>
          <w:tcPr>
            <w:tcW w:type="dxa" w:w="4968"/>
          </w:tcPr>
          <w:p>
            <w:r>
              <w:rPr>
                <w:sz w:val="18"/>
              </w:rPr>
              <w:t>$29T</w:t>
            </w:r>
          </w:p>
        </w:tc>
      </w:tr>
      <w:tr>
        <w:tc>
          <w:tcPr>
            <w:tcW w:type="dxa" w:w="4968"/>
          </w:tcPr>
          <w:p>
            <w:r>
              <w:rPr>
                <w:sz w:val="18"/>
              </w:rPr>
              <w:t>Profile</w:t>
            </w:r>
          </w:p>
        </w:tc>
        <w:tc>
          <w:tcPr>
            <w:tcW w:type="dxa" w:w="4968"/>
          </w:tcPr>
          <w:p>
            <w:r>
              <w:rPr>
                <w:sz w:val="18"/>
              </w:rPr>
              <w:t>Ramp y1, peak y2-4, decay y5-20</w:t>
            </w:r>
          </w:p>
        </w:tc>
      </w:tr>
      <w:tr>
        <w:tc>
          <w:tcPr>
            <w:tcW w:type="dxa" w:w="4968"/>
          </w:tcPr>
          <w:p>
            <w:r>
              <w:rPr>
                <w:sz w:val="18"/>
              </w:rPr>
              <w:t>Real discount rate</w:t>
            </w:r>
          </w:p>
        </w:tc>
        <w:tc>
          <w:tcPr>
            <w:tcW w:type="dxa" w:w="4968"/>
          </w:tcPr>
          <w:p>
            <w:r>
              <w:rPr>
                <w:sz w:val="18"/>
              </w:rPr>
              <w:t>5%</w:t>
            </w:r>
          </w:p>
        </w:tc>
      </w:tr>
    </w:tbl>
    <w:p/>
    <w:p>
      <w:r>
        <w:rPr>
          <w:i w:val="0"/>
          <w:sz w:val="20"/>
        </w:rPr>
        <w:t>Result: Total PV -$1.24T. The sign is negative in the central case but the magnitude is small relative to AI: a 0.7% level shock on a $29T economy that decays over 20 years is ~$2-2.5T undiscounted, ~$1-1.5T discounted. Reasonable bull cases (deregulation &gt; tariff drag) flip the sign without changing the order of magnitude.</w:t>
      </w:r>
    </w:p>
    <w:p>
      <w:r>
        <w:rPr>
          <w:b/>
          <w:sz w:val="24"/>
        </w:rPr>
        <w:t>Sensitivity (total PV, $T)</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shd w:val="clear" w:color="auto" w:fill="d62728"/>
          </w:tcPr>
          <w:p>
            <w:r>
              <w:rPr>
                <w:b/>
                <w:color w:val="FFFFFF"/>
                <w:sz w:val="20"/>
              </w:rPr>
              <w:t>Peak %GDP \ Discount</w:t>
            </w:r>
          </w:p>
        </w:tc>
        <w:tc>
          <w:tcPr>
            <w:tcW w:type="dxa" w:w="2484"/>
            <w:shd w:val="clear" w:color="auto" w:fill="d62728"/>
          </w:tcPr>
          <w:p>
            <w:r>
              <w:rPr>
                <w:b/>
                <w:color w:val="FFFFFF"/>
                <w:sz w:val="20"/>
              </w:rPr>
              <w:t>3%</w:t>
            </w:r>
          </w:p>
        </w:tc>
        <w:tc>
          <w:tcPr>
            <w:tcW w:type="dxa" w:w="2484"/>
            <w:shd w:val="clear" w:color="auto" w:fill="d62728"/>
          </w:tcPr>
          <w:p>
            <w:r>
              <w:rPr>
                <w:b/>
                <w:color w:val="FFFFFF"/>
                <w:sz w:val="20"/>
              </w:rPr>
              <w:t>5%</w:t>
            </w:r>
          </w:p>
        </w:tc>
        <w:tc>
          <w:tcPr>
            <w:tcW w:type="dxa" w:w="2484"/>
            <w:shd w:val="clear" w:color="auto" w:fill="d62728"/>
          </w:tcPr>
          <w:p>
            <w:r>
              <w:rPr>
                <w:b/>
                <w:color w:val="FFFFFF"/>
                <w:sz w:val="20"/>
              </w:rPr>
              <w:t>7%</w:t>
            </w:r>
          </w:p>
        </w:tc>
      </w:tr>
      <w:tr>
        <w:tc>
          <w:tcPr>
            <w:tcW w:type="dxa" w:w="2484"/>
            <w:shd w:val="clear" w:color="auto" w:fill="d62728"/>
          </w:tcPr>
          <w:p>
            <w:r>
              <w:rPr>
                <w:b/>
                <w:color w:val="FFFFFF"/>
                <w:sz w:val="18"/>
              </w:rPr>
              <w:t>-1.5% (bear)</w:t>
            </w:r>
          </w:p>
        </w:tc>
        <w:tc>
          <w:tcPr>
            <w:tcW w:type="dxa" w:w="2484"/>
          </w:tcPr>
          <w:p>
            <w:r>
              <w:rPr>
                <w:sz w:val="18"/>
              </w:rPr>
              <w:t>-$2.98T</w:t>
            </w:r>
          </w:p>
        </w:tc>
        <w:tc>
          <w:tcPr>
            <w:tcW w:type="dxa" w:w="2484"/>
          </w:tcPr>
          <w:p>
            <w:r>
              <w:rPr>
                <w:sz w:val="18"/>
              </w:rPr>
              <w:t>-$2.66T</w:t>
            </w:r>
          </w:p>
        </w:tc>
        <w:tc>
          <w:tcPr>
            <w:tcW w:type="dxa" w:w="2484"/>
          </w:tcPr>
          <w:p>
            <w:r>
              <w:rPr>
                <w:sz w:val="18"/>
              </w:rPr>
              <w:t>-$2.39T</w:t>
            </w:r>
          </w:p>
        </w:tc>
      </w:tr>
      <w:tr>
        <w:tc>
          <w:tcPr>
            <w:tcW w:type="dxa" w:w="2484"/>
            <w:shd w:val="clear" w:color="auto" w:fill="d62728"/>
          </w:tcPr>
          <w:p>
            <w:r>
              <w:rPr>
                <w:b/>
                <w:color w:val="FFFFFF"/>
                <w:sz w:val="18"/>
              </w:rPr>
              <w:t>-0.7% (base)</w:t>
            </w:r>
          </w:p>
        </w:tc>
        <w:tc>
          <w:tcPr>
            <w:tcW w:type="dxa" w:w="2484"/>
          </w:tcPr>
          <w:p>
            <w:r>
              <w:rPr>
                <w:sz w:val="18"/>
              </w:rPr>
              <w:t>-$1.39T</w:t>
            </w:r>
          </w:p>
        </w:tc>
        <w:tc>
          <w:tcPr>
            <w:tcW w:type="dxa" w:w="2484"/>
          </w:tcPr>
          <w:p>
            <w:r>
              <w:rPr>
                <w:sz w:val="18"/>
              </w:rPr>
              <w:t>-$1.24T</w:t>
            </w:r>
          </w:p>
        </w:tc>
        <w:tc>
          <w:tcPr>
            <w:tcW w:type="dxa" w:w="2484"/>
          </w:tcPr>
          <w:p>
            <w:r>
              <w:rPr>
                <w:sz w:val="18"/>
              </w:rPr>
              <w:t>-$1.11T</w:t>
            </w:r>
          </w:p>
        </w:tc>
      </w:tr>
      <w:tr>
        <w:tc>
          <w:tcPr>
            <w:tcW w:type="dxa" w:w="2484"/>
            <w:shd w:val="clear" w:color="auto" w:fill="d62728"/>
          </w:tcPr>
          <w:p>
            <w:r>
              <w:rPr>
                <w:b/>
                <w:color w:val="FFFFFF"/>
                <w:sz w:val="18"/>
              </w:rPr>
              <w:t>0%</w:t>
            </w:r>
          </w:p>
        </w:tc>
        <w:tc>
          <w:tcPr>
            <w:tcW w:type="dxa" w:w="2484"/>
          </w:tcPr>
          <w:p>
            <w:r>
              <w:rPr>
                <w:sz w:val="18"/>
              </w:rPr>
              <w:t>$0.00T</w:t>
            </w:r>
          </w:p>
        </w:tc>
        <w:tc>
          <w:tcPr>
            <w:tcW w:type="dxa" w:w="2484"/>
          </w:tcPr>
          <w:p>
            <w:r>
              <w:rPr>
                <w:sz w:val="18"/>
              </w:rPr>
              <w:t>$0.00T</w:t>
            </w:r>
          </w:p>
        </w:tc>
        <w:tc>
          <w:tcPr>
            <w:tcW w:type="dxa" w:w="2484"/>
          </w:tcPr>
          <w:p>
            <w:r>
              <w:rPr>
                <w:sz w:val="18"/>
              </w:rPr>
              <w:t>$0.00T</w:t>
            </w:r>
          </w:p>
        </w:tc>
      </w:tr>
      <w:tr>
        <w:tc>
          <w:tcPr>
            <w:tcW w:type="dxa" w:w="2484"/>
            <w:shd w:val="clear" w:color="auto" w:fill="d62728"/>
          </w:tcPr>
          <w:p>
            <w:r>
              <w:rPr>
                <w:b/>
                <w:color w:val="FFFFFF"/>
                <w:sz w:val="18"/>
              </w:rPr>
              <w:t>+0.7% (bull)</w:t>
            </w:r>
          </w:p>
        </w:tc>
        <w:tc>
          <w:tcPr>
            <w:tcW w:type="dxa" w:w="2484"/>
          </w:tcPr>
          <w:p>
            <w:r>
              <w:rPr>
                <w:sz w:val="18"/>
              </w:rPr>
              <w:t>$1.39T</w:t>
            </w:r>
          </w:p>
        </w:tc>
        <w:tc>
          <w:tcPr>
            <w:tcW w:type="dxa" w:w="2484"/>
          </w:tcPr>
          <w:p>
            <w:r>
              <w:rPr>
                <w:sz w:val="18"/>
              </w:rPr>
              <w:t>$1.24T</w:t>
            </w:r>
          </w:p>
        </w:tc>
        <w:tc>
          <w:tcPr>
            <w:tcW w:type="dxa" w:w="2484"/>
          </w:tcPr>
          <w:p>
            <w:r>
              <w:rPr>
                <w:sz w:val="18"/>
              </w:rPr>
              <w:t>$1.11T</w:t>
            </w:r>
          </w:p>
        </w:tc>
      </w:tr>
    </w:tbl>
    <w:p/>
    <w:p>
      <w:r>
        <w:rPr>
          <w:i/>
          <w:color w:val="808080"/>
          <w:sz w:val="18"/>
        </w:rPr>
        <w:t>Caveats: (i) Excludes spillovers to non-US economies (likely negative via tariff retaliation but partially offset by reshoring). (ii) Treats policy as a level shock; if Trump 2.0 alters the long-run global trade architecture (durable bloc-formation), the persistent drag could be larger and longer. (iii) Excludes any AI-policy interaction; deregulation around energy/datacenters could be a meaningful AI tailwind.</w:t>
      </w:r>
    </w:p>
    <w:p>
      <w:r>
        <w:br w:type="page"/>
      </w:r>
    </w:p>
    <w:p>
      <w:r>
        <w:rPr>
          <w:b/>
          <w:sz w:val="30"/>
        </w:rPr>
        <w:t>3) US-Iran war — global incremental GDP</w:t>
      </w:r>
    </w:p>
    <w:p>
      <w:r>
        <w:rPr>
          <w:b/>
          <w:sz w:val="24"/>
        </w:rPr>
        <w:t>Assumptions (conditional on conflict, central case)</w:t>
      </w:r>
    </w:p>
    <w:tbl>
      <w:tblPr>
        <w:tblStyle w:val="LightGrid-Accent1"/>
        <w:tblW w:type="auto" w:w="0"/>
        <w:tblLook w:firstColumn="1" w:firstRow="1" w:lastColumn="0" w:lastRow="0" w:noHBand="0" w:noVBand="1" w:val="04A0"/>
      </w:tblPr>
      <w:tblGrid>
        <w:gridCol w:w="4968"/>
        <w:gridCol w:w="4968"/>
      </w:tblGrid>
      <w:tr>
        <w:tc>
          <w:tcPr>
            <w:tcW w:type="dxa" w:w="4968"/>
            <w:shd w:val="clear" w:color="auto" w:fill="7f0e0e"/>
          </w:tcPr>
          <w:p>
            <w:r>
              <w:rPr>
                <w:b/>
                <w:color w:val="FFFFFF"/>
                <w:sz w:val="20"/>
              </w:rPr>
              <w:t>Parameter</w:t>
            </w:r>
          </w:p>
        </w:tc>
        <w:tc>
          <w:tcPr>
            <w:tcW w:type="dxa" w:w="4968"/>
            <w:shd w:val="clear" w:color="auto" w:fill="7f0e0e"/>
          </w:tcPr>
          <w:p>
            <w:r>
              <w:rPr>
                <w:b/>
                <w:color w:val="FFFFFF"/>
                <w:sz w:val="20"/>
              </w:rPr>
              <w:t>Value</w:t>
            </w:r>
          </w:p>
        </w:tc>
      </w:tr>
      <w:tr>
        <w:tc>
          <w:tcPr>
            <w:tcW w:type="dxa" w:w="4968"/>
          </w:tcPr>
          <w:p>
            <w:r>
              <w:rPr>
                <w:sz w:val="18"/>
              </w:rPr>
              <w:t>Oil price shock</w:t>
            </w:r>
          </w:p>
        </w:tc>
        <w:tc>
          <w:tcPr>
            <w:tcW w:type="dxa" w:w="4968"/>
          </w:tcPr>
          <w:p>
            <w:r>
              <w:rPr>
                <w:sz w:val="18"/>
              </w:rPr>
              <w:t>$75 -&gt; $120 for ~12m, decay over 3y</w:t>
            </w:r>
          </w:p>
        </w:tc>
      </w:tr>
      <w:tr>
        <w:tc>
          <w:tcPr>
            <w:tcW w:type="dxa" w:w="4968"/>
          </w:tcPr>
          <w:p>
            <w:r>
              <w:rPr>
                <w:sz w:val="18"/>
              </w:rPr>
              <w:t>Oil-to-GDP elasticity</w:t>
            </w:r>
          </w:p>
        </w:tc>
        <w:tc>
          <w:tcPr>
            <w:tcW w:type="dxa" w:w="4968"/>
          </w:tcPr>
          <w:p>
            <w:r>
              <w:rPr>
                <w:sz w:val="18"/>
              </w:rPr>
              <w:t>$10 sustained = ~0.15% global GDP drag</w:t>
            </w:r>
          </w:p>
        </w:tc>
      </w:tr>
      <w:tr>
        <w:tc>
          <w:tcPr>
            <w:tcW w:type="dxa" w:w="4968"/>
          </w:tcPr>
          <w:p>
            <w:r>
              <w:rPr>
                <w:sz w:val="18"/>
              </w:rPr>
              <w:t>Strait of Hormuz / shipping</w:t>
            </w:r>
          </w:p>
        </w:tc>
        <w:tc>
          <w:tcPr>
            <w:tcW w:type="dxa" w:w="4968"/>
          </w:tcPr>
          <w:p>
            <w:r>
              <w:rPr>
                <w:sz w:val="18"/>
              </w:rPr>
              <w:t>-0.2% of global GDP, year 1 only</w:t>
            </w:r>
          </w:p>
        </w:tc>
      </w:tr>
      <w:tr>
        <w:tc>
          <w:tcPr>
            <w:tcW w:type="dxa" w:w="4968"/>
          </w:tcPr>
          <w:p>
            <w:r>
              <w:rPr>
                <w:sz w:val="18"/>
              </w:rPr>
              <w:t>Direct US fiscal cost</w:t>
            </w:r>
          </w:p>
        </w:tc>
        <w:tc>
          <w:tcPr>
            <w:tcW w:type="dxa" w:w="4968"/>
          </w:tcPr>
          <w:p>
            <w:r>
              <w:rPr>
                <w:sz w:val="18"/>
              </w:rPr>
              <w:t>$300-700B over 5y (mid $500B)</w:t>
            </w:r>
          </w:p>
        </w:tc>
      </w:tr>
      <w:tr>
        <w:tc>
          <w:tcPr>
            <w:tcW w:type="dxa" w:w="4968"/>
          </w:tcPr>
          <w:p>
            <w:r>
              <w:rPr>
                <w:sz w:val="18"/>
              </w:rPr>
              <w:t>Financial conditions tightening</w:t>
            </w:r>
          </w:p>
        </w:tc>
        <w:tc>
          <w:tcPr>
            <w:tcW w:type="dxa" w:w="4968"/>
          </w:tcPr>
          <w:p>
            <w:r>
              <w:rPr>
                <w:sz w:val="18"/>
              </w:rPr>
              <w:t>-0.2% of global GDP, year 1 only</w:t>
            </w:r>
          </w:p>
        </w:tc>
      </w:tr>
      <w:tr>
        <w:tc>
          <w:tcPr>
            <w:tcW w:type="dxa" w:w="4968"/>
          </w:tcPr>
          <w:p>
            <w:r>
              <w:rPr>
                <w:sz w:val="18"/>
              </w:rPr>
              <w:t>Long-tail Mid-East instability</w:t>
            </w:r>
          </w:p>
        </w:tc>
        <w:tc>
          <w:tcPr>
            <w:tcW w:type="dxa" w:w="4968"/>
          </w:tcPr>
          <w:p>
            <w:r>
              <w:rPr>
                <w:sz w:val="18"/>
              </w:rPr>
              <w:t>-0.05% of global GDP, years 6-10</w:t>
            </w:r>
          </w:p>
        </w:tc>
      </w:tr>
      <w:tr>
        <w:tc>
          <w:tcPr>
            <w:tcW w:type="dxa" w:w="4968"/>
          </w:tcPr>
          <w:p>
            <w:r>
              <w:rPr>
                <w:sz w:val="18"/>
              </w:rPr>
              <w:t>Global GDP base</w:t>
            </w:r>
          </w:p>
        </w:tc>
        <w:tc>
          <w:tcPr>
            <w:tcW w:type="dxa" w:w="4968"/>
          </w:tcPr>
          <w:p>
            <w:r>
              <w:rPr>
                <w:sz w:val="18"/>
              </w:rPr>
              <w:t>$110T</w:t>
            </w:r>
          </w:p>
        </w:tc>
      </w:tr>
      <w:tr>
        <w:tc>
          <w:tcPr>
            <w:tcW w:type="dxa" w:w="4968"/>
          </w:tcPr>
          <w:p>
            <w:r>
              <w:rPr>
                <w:sz w:val="18"/>
              </w:rPr>
              <w:t>Real discount rate</w:t>
            </w:r>
          </w:p>
        </w:tc>
        <w:tc>
          <w:tcPr>
            <w:tcW w:type="dxa" w:w="4968"/>
          </w:tcPr>
          <w:p>
            <w:r>
              <w:rPr>
                <w:sz w:val="18"/>
              </w:rPr>
              <w:t>5%</w:t>
            </w:r>
          </w:p>
        </w:tc>
      </w:tr>
      <w:tr>
        <w:tc>
          <w:tcPr>
            <w:tcW w:type="dxa" w:w="4968"/>
          </w:tcPr>
          <w:p>
            <w:r>
              <w:rPr>
                <w:sz w:val="18"/>
              </w:rPr>
              <w:t>Probability weighting</w:t>
            </w:r>
          </w:p>
        </w:tc>
        <w:tc>
          <w:tcPr>
            <w:tcW w:type="dxa" w:w="4968"/>
          </w:tcPr>
          <w:p>
            <w:r>
              <w:rPr>
                <w:sz w:val="18"/>
              </w:rPr>
              <w:t>NOT applied (conditional PV)</w:t>
            </w:r>
          </w:p>
        </w:tc>
      </w:tr>
    </w:tbl>
    <w:p/>
    <w:p>
      <w:r>
        <w:rPr>
          <w:i w:val="0"/>
          <w:sz w:val="20"/>
        </w:rPr>
        <w:t>Result: Total PV -$2.05T. Front-loaded: ~70% of the loss falls in years 1-3. If you assign a 20% probability of an actual kinetic war over the next 4 years, the expected-value PV is roughly -$0.41T; at 5%, -$0.10T.</w:t>
      </w:r>
    </w:p>
    <w:p>
      <w:r>
        <w:rPr>
          <w:b/>
          <w:sz w:val="24"/>
        </w:rPr>
        <w:t>Sensitivity (total PV, $T) — conditional</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shd w:val="clear" w:color="auto" w:fill="7f0e0e"/>
          </w:tcPr>
          <w:p>
            <w:r>
              <w:rPr>
                <w:b/>
                <w:color w:val="FFFFFF"/>
                <w:sz w:val="20"/>
              </w:rPr>
              <w:t>Severity \ Discount</w:t>
            </w:r>
          </w:p>
        </w:tc>
        <w:tc>
          <w:tcPr>
            <w:tcW w:type="dxa" w:w="2484"/>
            <w:shd w:val="clear" w:color="auto" w:fill="7f0e0e"/>
          </w:tcPr>
          <w:p>
            <w:r>
              <w:rPr>
                <w:b/>
                <w:color w:val="FFFFFF"/>
                <w:sz w:val="20"/>
              </w:rPr>
              <w:t>3%</w:t>
            </w:r>
          </w:p>
        </w:tc>
        <w:tc>
          <w:tcPr>
            <w:tcW w:type="dxa" w:w="2484"/>
            <w:shd w:val="clear" w:color="auto" w:fill="7f0e0e"/>
          </w:tcPr>
          <w:p>
            <w:r>
              <w:rPr>
                <w:b/>
                <w:color w:val="FFFFFF"/>
                <w:sz w:val="20"/>
              </w:rPr>
              <w:t>5%</w:t>
            </w:r>
          </w:p>
        </w:tc>
        <w:tc>
          <w:tcPr>
            <w:tcW w:type="dxa" w:w="2484"/>
            <w:shd w:val="clear" w:color="auto" w:fill="7f0e0e"/>
          </w:tcPr>
          <w:p>
            <w:r>
              <w:rPr>
                <w:b/>
                <w:color w:val="FFFFFF"/>
                <w:sz w:val="20"/>
              </w:rPr>
              <w:t>7%</w:t>
            </w:r>
          </w:p>
        </w:tc>
      </w:tr>
      <w:tr>
        <w:tc>
          <w:tcPr>
            <w:tcW w:type="dxa" w:w="2484"/>
            <w:shd w:val="clear" w:color="auto" w:fill="7f0e0e"/>
          </w:tcPr>
          <w:p>
            <w:r>
              <w:rPr>
                <w:b/>
                <w:color w:val="FFFFFF"/>
                <w:sz w:val="18"/>
              </w:rPr>
              <w:t>0.5x (limited strikes)</w:t>
            </w:r>
          </w:p>
        </w:tc>
        <w:tc>
          <w:tcPr>
            <w:tcW w:type="dxa" w:w="2484"/>
          </w:tcPr>
          <w:p>
            <w:r>
              <w:rPr>
                <w:sz w:val="18"/>
              </w:rPr>
              <w:t>-$1.07T</w:t>
            </w:r>
          </w:p>
        </w:tc>
        <w:tc>
          <w:tcPr>
            <w:tcW w:type="dxa" w:w="2484"/>
          </w:tcPr>
          <w:p>
            <w:r>
              <w:rPr>
                <w:sz w:val="18"/>
              </w:rPr>
              <w:t>-$1.03T</w:t>
            </w:r>
          </w:p>
        </w:tc>
        <w:tc>
          <w:tcPr>
            <w:tcW w:type="dxa" w:w="2484"/>
          </w:tcPr>
          <w:p>
            <w:r>
              <w:rPr>
                <w:sz w:val="18"/>
              </w:rPr>
              <w:t>-$0.98T</w:t>
            </w:r>
          </w:p>
        </w:tc>
      </w:tr>
      <w:tr>
        <w:tc>
          <w:tcPr>
            <w:tcW w:type="dxa" w:w="2484"/>
            <w:shd w:val="clear" w:color="auto" w:fill="7f0e0e"/>
          </w:tcPr>
          <w:p>
            <w:r>
              <w:rPr>
                <w:b/>
                <w:color w:val="FFFFFF"/>
                <w:sz w:val="18"/>
              </w:rPr>
              <w:t>1.0x (base)</w:t>
            </w:r>
          </w:p>
        </w:tc>
        <w:tc>
          <w:tcPr>
            <w:tcW w:type="dxa" w:w="2484"/>
          </w:tcPr>
          <w:p>
            <w:r>
              <w:rPr>
                <w:sz w:val="18"/>
              </w:rPr>
              <w:t>-$2.15T</w:t>
            </w:r>
          </w:p>
        </w:tc>
        <w:tc>
          <w:tcPr>
            <w:tcW w:type="dxa" w:w="2484"/>
          </w:tcPr>
          <w:p>
            <w:r>
              <w:rPr>
                <w:sz w:val="18"/>
              </w:rPr>
              <w:t>-$2.05T</w:t>
            </w:r>
          </w:p>
        </w:tc>
        <w:tc>
          <w:tcPr>
            <w:tcW w:type="dxa" w:w="2484"/>
          </w:tcPr>
          <w:p>
            <w:r>
              <w:rPr>
                <w:sz w:val="18"/>
              </w:rPr>
              <w:t>-$1.97T</w:t>
            </w:r>
          </w:p>
        </w:tc>
      </w:tr>
      <w:tr>
        <w:tc>
          <w:tcPr>
            <w:tcW w:type="dxa" w:w="2484"/>
            <w:shd w:val="clear" w:color="auto" w:fill="7f0e0e"/>
          </w:tcPr>
          <w:p>
            <w:r>
              <w:rPr>
                <w:b/>
                <w:color w:val="FFFFFF"/>
                <w:sz w:val="18"/>
              </w:rPr>
              <w:t>1.5x (extended air war)</w:t>
            </w:r>
          </w:p>
        </w:tc>
        <w:tc>
          <w:tcPr>
            <w:tcW w:type="dxa" w:w="2484"/>
          </w:tcPr>
          <w:p>
            <w:r>
              <w:rPr>
                <w:sz w:val="18"/>
              </w:rPr>
              <w:t>-$3.22T</w:t>
            </w:r>
          </w:p>
        </w:tc>
        <w:tc>
          <w:tcPr>
            <w:tcW w:type="dxa" w:w="2484"/>
          </w:tcPr>
          <w:p>
            <w:r>
              <w:rPr>
                <w:sz w:val="18"/>
              </w:rPr>
              <w:t>-$3.08T</w:t>
            </w:r>
          </w:p>
        </w:tc>
        <w:tc>
          <w:tcPr>
            <w:tcW w:type="dxa" w:w="2484"/>
          </w:tcPr>
          <w:p>
            <w:r>
              <w:rPr>
                <w:sz w:val="18"/>
              </w:rPr>
              <w:t>-$2.95T</w:t>
            </w:r>
          </w:p>
        </w:tc>
      </w:tr>
      <w:tr>
        <w:tc>
          <w:tcPr>
            <w:tcW w:type="dxa" w:w="2484"/>
            <w:shd w:val="clear" w:color="auto" w:fill="7f0e0e"/>
          </w:tcPr>
          <w:p>
            <w:r>
              <w:rPr>
                <w:b/>
                <w:color w:val="FFFFFF"/>
                <w:sz w:val="18"/>
              </w:rPr>
              <w:t>2.5x (Hormuz closure)</w:t>
            </w:r>
          </w:p>
        </w:tc>
        <w:tc>
          <w:tcPr>
            <w:tcW w:type="dxa" w:w="2484"/>
          </w:tcPr>
          <w:p>
            <w:r>
              <w:rPr>
                <w:sz w:val="18"/>
              </w:rPr>
              <w:t>-$5.37T</w:t>
            </w:r>
          </w:p>
        </w:tc>
        <w:tc>
          <w:tcPr>
            <w:tcW w:type="dxa" w:w="2484"/>
          </w:tcPr>
          <w:p>
            <w:r>
              <w:rPr>
                <w:sz w:val="18"/>
              </w:rPr>
              <w:t>-$5.13T</w:t>
            </w:r>
          </w:p>
        </w:tc>
        <w:tc>
          <w:tcPr>
            <w:tcW w:type="dxa" w:w="2484"/>
          </w:tcPr>
          <w:p>
            <w:r>
              <w:rPr>
                <w:sz w:val="18"/>
              </w:rPr>
              <w:t>-$4.92T</w:t>
            </w:r>
          </w:p>
        </w:tc>
      </w:tr>
    </w:tbl>
    <w:p/>
    <w:p>
      <w:r>
        <w:rPr>
          <w:i/>
          <w:color w:val="808080"/>
          <w:sz w:val="18"/>
        </w:rPr>
        <w:t>Caveats: (i) Hormuz closure is a fat-tail scenario: ~20% of global oil and ~30% of LNG transit. A 3-month closure could push the shock to multiples of the central case. (ii) Excludes nuclear escalation (non-modelable in DCF terms). (iii) Excludes regional spillovers to Israel-Lebanon, Yemen-Saudi shipping. (iv) Defense Keynesian-stimulus offset is small (~0.05% US GDP) and embedded in the fiscal-cost line.</w:t>
      </w:r>
    </w:p>
    <w:p>
      <w:r>
        <w:br w:type="page"/>
      </w:r>
    </w:p>
    <w:p>
      <w:r>
        <w:rPr>
          <w:b/>
          <w:sz w:val="30"/>
        </w:rPr>
        <w:t>Comparison &amp; interpretation</w:t>
      </w:r>
    </w:p>
    <w:p>
      <w:r>
        <w:rPr>
          <w:i w:val="0"/>
          <w:sz w:val="20"/>
        </w:rPr>
        <w:t>Three observations matter more than any single number:</w:t>
      </w:r>
    </w:p>
    <w:p>
      <w:r>
        <w:rPr>
          <w:i w:val="0"/>
          <w:sz w:val="20"/>
        </w:rPr>
        <w:t>1. Duration dominates magnitude. AI's PV is ~39x Trump 2.0's not because the annual flow is ~39x larger — at peak it's only ~22x — but because AI compounds over a 30-year explicit horizon plus a perpetual terminal value, while Trump 2.0 decays inside 20 years and the war shock decays inside 10. DCF rewards persistence heavily.</w:t>
      </w:r>
    </w:p>
    <w:p>
      <w:r>
        <w:rPr>
          <w:i w:val="0"/>
          <w:sz w:val="20"/>
        </w:rPr>
        <w:t>2. Sign is contested only for Trump 2.0. AI's central PV is robustly positive across plausible parameterizations (it stays positive even if you halve the peak and double the discount rate). The Iran-war PV is robustly negative. Trump 2.0 is the only scenario where reasonable analysts disagree on the sign, because the policy bundle nets several large opposing forces.</w:t>
      </w:r>
    </w:p>
    <w:p>
      <w:r>
        <w:rPr>
          <w:i w:val="0"/>
          <w:sz w:val="20"/>
        </w:rPr>
        <w:t>3. The framing arbitrages probability. AI is treated here as a near-certainty (the technology exists; deployment is the question). The war is conditional on occurrence. If you probability-weight (e.g., 20% chance of war) and risk-weight (apply a higher discount rate to AI for deployment risk), the gap narrows but does not close. AI remains the dominant economic force in every scenario where it is not actively suppressed.</w:t>
      </w:r>
    </w:p>
    <w:p>
      <w:r>
        <w:rPr>
          <w:b/>
          <w:sz w:val="24"/>
        </w:rPr>
        <w:t>What this analysis is NOT</w:t>
      </w:r>
    </w:p>
    <w:p>
      <w:r>
        <w:rPr>
          <w:i/>
          <w:color w:val="808080"/>
          <w:sz w:val="18"/>
        </w:rPr>
        <w:t>Not a welfare analysis: GDP omits distribution, leisure, environmental stocks, and existential risk. Not a forecast: assumptions are deliberate central cases anchored to published estimates. Not investment advice. Not probability-weighted for the war scenario. The headline ratios are stable across reasonable assumption changes; the absolute numbers should be read as orders of magnitude (one significant figure).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