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팀 효과성 측정 모델</w:t>
      </w:r>
    </w:p>
    <w:p>
      <w:r>
        <w:t>3</w:t>
      </w:r>
    </w:p>
    <w:p>
      <w:r>
        <w:t>팀 효과성 측정 모델</w:t>
      </w:r>
    </w:p>
    <w:p>
      <w:r>
        <w:t>팀원 효과성은 단일 점수로 환원하기 어렵다</w:t>
      </w:r>
    </w:p>
    <w:p>
      <w:r>
        <w:t>본 절에서는 Loughry et al.(2007)의 team member effectiveness 척도를 채택해 5개 차원(기여·소통·진행관리·품질·역량)으로 분해한다</w:t>
      </w:r>
    </w:p>
    <w:p>
      <w:r>
        <w:t>단일 호감도로 수렴하는 halo effect가 보고된 바 있으나(Viswesvaran et al., 2005), 차원을 분리하자 평가 신뢰도(ICC)가 0.61에서 0.78로 상승했다</w:t>
      </w:r>
    </w:p>
    <w:p>
      <w:r>
        <w:t>각 차원은 객관 로그(마감 준수, 카톡 응답 지연)와 동료 평정의 가중합으로 산출하며, 가중치는 학기 초 공개해 절차적 공정성을 확보한다.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