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856BA">
      <w:pPr>
        <w:jc w:val="center"/>
      </w:pPr>
      <w:r>
        <w:rPr>
          <w:rFonts w:ascii="微软雅黑" w:hAnsi="微软雅黑" w:eastAsia="微软雅黑"/>
          <w:b/>
          <w:color w:val="1F3A5F"/>
          <w:sz w:val="46"/>
        </w:rPr>
        <w:t>全国模型输出界面升级汇报</w:t>
      </w:r>
    </w:p>
    <w:p w14:paraId="57EBE330">
      <w:pPr>
        <w:pStyle w:val="3"/>
        <w:spacing w:before="160" w:after="120"/>
      </w:pPr>
      <w:r>
        <w:rPr>
          <w:rFonts w:ascii="微软雅黑" w:hAnsi="微软雅黑" w:eastAsia="微软雅黑"/>
          <w:color w:val="1F3A5F"/>
        </w:rPr>
        <w:t>一、汇报摘要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0"/>
        <w:gridCol w:w="6064"/>
      </w:tblGrid>
      <w:tr w14:paraId="5DAACFC5">
        <w:trPr>
          <w:jc w:val="center"/>
        </w:trPr>
        <w:tc>
          <w:tcPr>
            <w:tcW w:w="4030" w:type="dxa"/>
            <w:shd w:val="clear" w:color="auto" w:fill="EAF4FB"/>
            <w:vAlign w:val="center"/>
          </w:tcPr>
          <w:p w14:paraId="76069B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升级目标</w:t>
            </w:r>
          </w:p>
        </w:tc>
        <w:tc>
          <w:tcPr>
            <w:tcW w:w="6064" w:type="dxa"/>
            <w:vAlign w:val="center"/>
          </w:tcPr>
          <w:p w14:paraId="167AA7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在现有云量预测展示系统中新增全国版模型输出展示能力。</w:t>
            </w:r>
          </w:p>
        </w:tc>
      </w:tr>
      <w:tr w14:paraId="6A7F0D72">
        <w:trPr>
          <w:jc w:val="center"/>
        </w:trPr>
        <w:tc>
          <w:tcPr>
            <w:tcW w:w="4030" w:type="dxa"/>
            <w:shd w:val="clear" w:color="auto" w:fill="EAF4FB"/>
            <w:vAlign w:val="center"/>
          </w:tcPr>
          <w:p w14:paraId="2F1E15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运行模式</w:t>
            </w:r>
          </w:p>
        </w:tc>
        <w:tc>
          <w:tcPr>
            <w:tcW w:w="6064" w:type="dxa"/>
            <w:vAlign w:val="center"/>
          </w:tcPr>
          <w:p w14:paraId="4B7799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升级后采用单服务、单端口、旧版与全国版并行运行。</w:t>
            </w:r>
          </w:p>
        </w:tc>
      </w:tr>
      <w:tr w14:paraId="109DDB4F">
        <w:trPr>
          <w:jc w:val="center"/>
        </w:trPr>
        <w:tc>
          <w:tcPr>
            <w:tcW w:w="4030" w:type="dxa"/>
            <w:shd w:val="clear" w:color="auto" w:fill="EAF4FB"/>
            <w:vAlign w:val="center"/>
          </w:tcPr>
          <w:p w14:paraId="076913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用户入口</w:t>
            </w:r>
          </w:p>
        </w:tc>
        <w:tc>
          <w:tcPr>
            <w:tcW w:w="6064" w:type="dxa"/>
            <w:vAlign w:val="center"/>
          </w:tcPr>
          <w:p w14:paraId="5EEBD4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访问路径保持不变，首页默认进入全国版，可切换回旧版。</w:t>
            </w:r>
          </w:p>
        </w:tc>
      </w:tr>
      <w:tr w14:paraId="3A67B7D6">
        <w:trPr>
          <w:jc w:val="center"/>
        </w:trPr>
        <w:tc>
          <w:tcPr>
            <w:tcW w:w="4030" w:type="dxa"/>
            <w:shd w:val="clear" w:color="auto" w:fill="EAF4FB"/>
            <w:vAlign w:val="center"/>
          </w:tcPr>
          <w:p w14:paraId="734E6B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相关应用</w:t>
            </w:r>
          </w:p>
        </w:tc>
        <w:tc>
          <w:tcPr>
            <w:tcW w:w="6064" w:type="dxa"/>
            <w:vAlign w:val="center"/>
          </w:tcPr>
          <w:p w14:paraId="4CF3FD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旧接口调用方式保持兼容；如需读取全国版数据，需要增加 mapType=china。</w:t>
            </w:r>
          </w:p>
        </w:tc>
      </w:tr>
      <w:tr w14:paraId="3B62529F">
        <w:trPr>
          <w:jc w:val="center"/>
        </w:trPr>
        <w:tc>
          <w:tcPr>
            <w:tcW w:w="4030" w:type="dxa"/>
            <w:shd w:val="clear" w:color="auto" w:fill="EAF4FB"/>
            <w:vAlign w:val="center"/>
          </w:tcPr>
          <w:p w14:paraId="2B03B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上线重点</w:t>
            </w:r>
          </w:p>
        </w:tc>
        <w:tc>
          <w:tcPr>
            <w:tcW w:w="6064" w:type="dxa"/>
            <w:vAlign w:val="center"/>
          </w:tcPr>
          <w:p w14:paraId="33B1A7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准备全国版 EC/CMA 产物目录，确认目录挂载和图片层完整。</w:t>
            </w:r>
          </w:p>
        </w:tc>
      </w:tr>
    </w:tbl>
    <w:p w14:paraId="2B7169EB">
      <w:pPr>
        <w:spacing w:after="120"/>
      </w:pPr>
      <w:r>
        <w:rPr>
          <w:rFonts w:ascii="微软雅黑" w:hAnsi="微软雅黑" w:eastAsia="微软雅黑"/>
          <w:sz w:val="21"/>
        </w:rPr>
        <w:t>本次升级不是替换旧版，而是在现有服务中增加全国版展示能力。旧版和全国版上线后可同时运行，用户和相关应用通过页面切换或参数选择不同模式。</w:t>
      </w:r>
    </w:p>
    <w:p w14:paraId="489B2C29">
      <w:pPr>
        <w:jc w:val="center"/>
      </w:pPr>
      <w:r>
        <w:drawing>
          <wp:inline distT="0" distB="0" distL="114300" distR="114300">
            <wp:extent cx="6080760" cy="3300730"/>
            <wp:effectExtent l="0" t="0" r="152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75FB">
      <w:pPr>
        <w:spacing w:after="160"/>
        <w:jc w:val="center"/>
      </w:pPr>
      <w:r>
        <w:rPr>
          <w:rFonts w:ascii="微软雅黑" w:hAnsi="微软雅黑" w:eastAsia="微软雅黑"/>
          <w:color w:val="667085"/>
          <w:sz w:val="18"/>
        </w:rPr>
        <w:t>图 1：升级前后能力变化</w:t>
      </w:r>
    </w:p>
    <w:p w14:paraId="4C94ED6F">
      <w:pPr>
        <w:pStyle w:val="3"/>
        <w:spacing w:before="160" w:after="120"/>
      </w:pPr>
      <w:r>
        <w:rPr>
          <w:rFonts w:hint="eastAsia" w:ascii="微软雅黑" w:hAnsi="微软雅黑" w:eastAsia="微软雅黑"/>
          <w:color w:val="1F3A5F"/>
          <w:lang w:val="en-US" w:eastAsia="zh-CN"/>
        </w:rPr>
        <w:t>二</w:t>
      </w:r>
      <w:r>
        <w:rPr>
          <w:rFonts w:ascii="微软雅黑" w:hAnsi="微软雅黑" w:eastAsia="微软雅黑"/>
          <w:color w:val="1F3A5F"/>
        </w:rPr>
        <w:t>、升级内容</w:t>
      </w:r>
    </w:p>
    <w:p w14:paraId="01CF9DB6">
      <w:pPr>
        <w:pStyle w:val="16"/>
        <w:spacing w:after="60"/>
      </w:pPr>
      <w:r>
        <w:rPr>
          <w:rFonts w:ascii="微软雅黑" w:hAnsi="微软雅黑" w:eastAsia="微软雅黑"/>
          <w:sz w:val="21"/>
        </w:rPr>
        <w:t>新增全国版模型输出展示，支持 EC 和 CMA 两类模型。</w:t>
      </w:r>
    </w:p>
    <w:p w14:paraId="162C1BB8">
      <w:pPr>
        <w:pStyle w:val="16"/>
        <w:spacing w:after="60"/>
      </w:pPr>
      <w:r>
        <w:rPr>
          <w:rFonts w:ascii="微软雅黑" w:hAnsi="微软雅黑" w:eastAsia="微软雅黑"/>
          <w:sz w:val="21"/>
        </w:rPr>
        <w:t>保留旧版展示能力，旧版数据目录和旧版访问方式继续可用。</w:t>
      </w:r>
    </w:p>
    <w:p w14:paraId="66E24A73">
      <w:pPr>
        <w:pStyle w:val="16"/>
        <w:spacing w:after="60"/>
      </w:pPr>
      <w:r>
        <w:rPr>
          <w:rFonts w:ascii="微软雅黑" w:hAnsi="微软雅黑" w:eastAsia="微软雅黑"/>
          <w:sz w:val="21"/>
        </w:rPr>
        <w:t>页面新增“旧版/全国”切换，用户可在同一入口查看两套展示。</w:t>
      </w:r>
    </w:p>
    <w:p w14:paraId="00620FAE">
      <w:pPr>
        <w:pStyle w:val="16"/>
        <w:spacing w:after="60"/>
      </w:pPr>
      <w:r>
        <w:rPr>
          <w:rFonts w:ascii="微软雅黑" w:hAnsi="微软雅黑" w:eastAsia="微软雅黑"/>
          <w:sz w:val="21"/>
        </w:rPr>
        <w:t>全国版展示采用前端合成方式，展示数值模式、误差预测和校正结果三类面板。</w:t>
      </w:r>
    </w:p>
    <w:p w14:paraId="47E7B00E">
      <w:pPr>
        <w:pStyle w:val="16"/>
        <w:spacing w:after="60"/>
      </w:pPr>
      <w:r>
        <w:rPr>
          <w:rFonts w:ascii="微软雅黑" w:hAnsi="微软雅黑" w:eastAsia="微软雅黑"/>
          <w:sz w:val="21"/>
        </w:rPr>
        <w:t>部署配置新增全国版 EC/CMA 产物目录挂载。</w:t>
      </w:r>
    </w:p>
    <w:p w14:paraId="28141B43">
      <w:pPr>
        <w:pStyle w:val="3"/>
        <w:spacing w:before="160" w:after="120"/>
      </w:pPr>
      <w:r>
        <w:rPr>
          <w:rFonts w:hint="eastAsia" w:ascii="微软雅黑" w:hAnsi="微软雅黑" w:eastAsia="微软雅黑"/>
          <w:color w:val="1F3A5F"/>
          <w:lang w:val="en-US" w:eastAsia="zh-CN"/>
        </w:rPr>
        <w:t>三</w:t>
      </w:r>
      <w:r>
        <w:rPr>
          <w:rFonts w:ascii="微软雅黑" w:hAnsi="微软雅黑" w:eastAsia="微软雅黑"/>
          <w:color w:val="1F3A5F"/>
        </w:rPr>
        <w:t>、系统运行效果截图</w:t>
      </w:r>
    </w:p>
    <w:p w14:paraId="25219D85">
      <w:pPr>
        <w:spacing w:after="120"/>
      </w:pPr>
      <w:r>
        <w:rPr>
          <w:rFonts w:ascii="微软雅黑" w:hAnsi="微软雅黑" w:eastAsia="微软雅黑"/>
          <w:sz w:val="21"/>
        </w:rPr>
        <w:t>以下截图来自本地样例数据，用于展示升级后的实际页面效果。</w:t>
      </w:r>
    </w:p>
    <w:p w14:paraId="7153828D">
      <w:pPr>
        <w:jc w:val="center"/>
      </w:pPr>
      <w:r>
        <w:drawing>
          <wp:inline distT="0" distB="0" distL="114300" distR="114300">
            <wp:extent cx="6266815" cy="3112135"/>
            <wp:effectExtent l="0" t="0" r="6985" b="1206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6815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EB62F">
      <w:pPr>
        <w:spacing w:after="160"/>
        <w:jc w:val="center"/>
      </w:pPr>
      <w:r>
        <w:rPr>
          <w:rFonts w:ascii="微软雅黑" w:hAnsi="微软雅黑" w:eastAsia="微软雅黑"/>
          <w:color w:val="667085"/>
          <w:sz w:val="18"/>
        </w:rPr>
        <w:t>图 2：全国版运行效果截图</w:t>
      </w:r>
    </w:p>
    <w:p w14:paraId="05ED92D4">
      <w:pPr>
        <w:jc w:val="center"/>
      </w:pPr>
      <w:r>
        <w:drawing>
          <wp:inline distT="0" distB="0" distL="114300" distR="114300">
            <wp:extent cx="6271260" cy="3214370"/>
            <wp:effectExtent l="0" t="0" r="2540" b="1143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DC76">
      <w:pPr>
        <w:spacing w:after="160"/>
        <w:jc w:val="center"/>
      </w:pPr>
      <w:bookmarkStart w:id="0" w:name="_GoBack"/>
      <w:bookmarkEnd w:id="0"/>
      <w:r>
        <w:rPr>
          <w:rFonts w:ascii="微软雅黑" w:hAnsi="微软雅黑" w:eastAsia="微软雅黑"/>
          <w:color w:val="667085"/>
          <w:sz w:val="18"/>
        </w:rPr>
        <w:t>图 3：旧版模式运行效果截图</w:t>
      </w:r>
    </w:p>
    <w:p w14:paraId="2A32924E">
      <w:pPr>
        <w:pStyle w:val="3"/>
        <w:spacing w:before="160" w:after="120"/>
      </w:pPr>
      <w:r>
        <w:rPr>
          <w:rFonts w:hint="eastAsia" w:ascii="微软雅黑" w:hAnsi="微软雅黑" w:eastAsia="微软雅黑"/>
          <w:color w:val="1F3A5F"/>
          <w:lang w:val="en-US" w:eastAsia="zh-CN"/>
        </w:rPr>
        <w:t>四</w:t>
      </w:r>
      <w:r>
        <w:rPr>
          <w:rFonts w:ascii="微软雅黑" w:hAnsi="微软雅黑" w:eastAsia="微软雅黑"/>
          <w:color w:val="1F3A5F"/>
        </w:rPr>
        <w:t>、上线后运行模式</w:t>
      </w:r>
    </w:p>
    <w:p w14:paraId="50017D4C">
      <w:pPr>
        <w:spacing w:after="120"/>
      </w:pPr>
      <w:r>
        <w:rPr>
          <w:rFonts w:ascii="微软雅黑" w:hAnsi="微软雅黑" w:eastAsia="微软雅黑"/>
          <w:sz w:val="21"/>
        </w:rPr>
        <w:t>上线后仍然只有一个 Web 服务，对外端口和访问路径不变。服务内部根据模式读取旧版或全国版产物目录，实现并行运行。</w:t>
      </w:r>
    </w:p>
    <w:p w14:paraId="5BF0C8A9">
      <w:pPr>
        <w:jc w:val="center"/>
      </w:pPr>
      <w:r>
        <w:drawing>
          <wp:inline distT="0" distB="0" distL="114300" distR="114300">
            <wp:extent cx="6080760" cy="3474720"/>
            <wp:effectExtent l="0" t="0" r="152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E475">
      <w:pPr>
        <w:spacing w:after="160"/>
        <w:jc w:val="center"/>
      </w:pPr>
      <w:r>
        <w:rPr>
          <w:rFonts w:ascii="微软雅黑" w:hAnsi="微软雅黑" w:eastAsia="微软雅黑"/>
          <w:color w:val="667085"/>
          <w:sz w:val="18"/>
        </w:rPr>
        <w:t>图 4：上线后并行运行模式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7"/>
        <w:gridCol w:w="5047"/>
      </w:tblGrid>
      <w:tr w14:paraId="63B38CDE">
        <w:trPr>
          <w:jc w:val="center"/>
        </w:trPr>
        <w:tc>
          <w:tcPr>
            <w:tcW w:w="1655" w:type="dxa"/>
            <w:shd w:val="clear" w:color="auto" w:fill="F8FAFC"/>
            <w:vAlign w:val="center"/>
          </w:tcPr>
          <w:p w14:paraId="056E10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服务形态</w:t>
            </w:r>
          </w:p>
        </w:tc>
        <w:tc>
          <w:tcPr>
            <w:tcW w:w="7848" w:type="dxa"/>
            <w:vAlign w:val="center"/>
          </w:tcPr>
          <w:p w14:paraId="08C071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一个 web-app 服务</w:t>
            </w:r>
          </w:p>
        </w:tc>
      </w:tr>
      <w:tr w14:paraId="5CB9F7C0">
        <w:trPr>
          <w:jc w:val="center"/>
        </w:trPr>
        <w:tc>
          <w:tcPr>
            <w:tcW w:w="1655" w:type="dxa"/>
            <w:shd w:val="clear" w:color="auto" w:fill="F8FAFC"/>
            <w:vAlign w:val="center"/>
          </w:tcPr>
          <w:p w14:paraId="08D297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访问端口</w:t>
            </w:r>
          </w:p>
        </w:tc>
        <w:tc>
          <w:tcPr>
            <w:tcW w:w="7848" w:type="dxa"/>
            <w:vAlign w:val="center"/>
          </w:tcPr>
          <w:p w14:paraId="12B96A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80</w:t>
            </w:r>
          </w:p>
        </w:tc>
      </w:tr>
      <w:tr w14:paraId="2F43F587">
        <w:trPr>
          <w:jc w:val="center"/>
        </w:trPr>
        <w:tc>
          <w:tcPr>
            <w:tcW w:w="1655" w:type="dxa"/>
            <w:shd w:val="clear" w:color="auto" w:fill="F8FAFC"/>
            <w:vAlign w:val="center"/>
          </w:tcPr>
          <w:p w14:paraId="02E47C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基础路径</w:t>
            </w:r>
          </w:p>
        </w:tc>
        <w:tc>
          <w:tcPr>
            <w:tcW w:w="7848" w:type="dxa"/>
            <w:vAlign w:val="center"/>
          </w:tcPr>
          <w:p w14:paraId="2F0366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/fydq/cloudPredict</w:t>
            </w:r>
          </w:p>
        </w:tc>
      </w:tr>
      <w:tr w14:paraId="21F945A1">
        <w:trPr>
          <w:jc w:val="center"/>
        </w:trPr>
        <w:tc>
          <w:tcPr>
            <w:tcW w:w="1655" w:type="dxa"/>
            <w:shd w:val="clear" w:color="auto" w:fill="F8FAFC"/>
            <w:vAlign w:val="center"/>
          </w:tcPr>
          <w:p w14:paraId="6EDCAA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旧版模式</w:t>
            </w:r>
          </w:p>
        </w:tc>
        <w:tc>
          <w:tcPr>
            <w:tcW w:w="7848" w:type="dxa"/>
            <w:vAlign w:val="center"/>
          </w:tcPr>
          <w:p w14:paraId="2ECA44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legacy，读取原有 EC/CMA 产物目录</w:t>
            </w:r>
          </w:p>
        </w:tc>
      </w:tr>
      <w:tr w14:paraId="72B9895A">
        <w:trPr>
          <w:jc w:val="center"/>
        </w:trPr>
        <w:tc>
          <w:tcPr>
            <w:tcW w:w="1655" w:type="dxa"/>
            <w:shd w:val="clear" w:color="auto" w:fill="F8FAFC"/>
            <w:vAlign w:val="center"/>
          </w:tcPr>
          <w:p w14:paraId="0A4467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全国模式</w:t>
            </w:r>
          </w:p>
        </w:tc>
        <w:tc>
          <w:tcPr>
            <w:tcW w:w="7848" w:type="dxa"/>
            <w:vAlign w:val="center"/>
          </w:tcPr>
          <w:p w14:paraId="653131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china，读取新增全国版 EC/CMA 产物目录</w:t>
            </w:r>
          </w:p>
        </w:tc>
      </w:tr>
    </w:tbl>
    <w:p w14:paraId="33C15C90">
      <w:pPr>
        <w:pStyle w:val="3"/>
        <w:spacing w:before="160" w:after="120"/>
      </w:pPr>
      <w:r>
        <w:rPr>
          <w:rFonts w:hint="eastAsia" w:ascii="微软雅黑" w:hAnsi="微软雅黑" w:eastAsia="微软雅黑"/>
          <w:color w:val="1F3A5F"/>
          <w:lang w:val="en-US" w:eastAsia="zh-CN"/>
        </w:rPr>
        <w:t>五</w:t>
      </w:r>
      <w:r>
        <w:rPr>
          <w:rFonts w:ascii="微软雅黑" w:hAnsi="微软雅黑" w:eastAsia="微软雅黑"/>
          <w:color w:val="1F3A5F"/>
        </w:rPr>
        <w:t>、上线实施方案</w:t>
      </w:r>
    </w:p>
    <w:p w14:paraId="497DCE51">
      <w:pPr>
        <w:pStyle w:val="14"/>
        <w:spacing w:after="60"/>
      </w:pPr>
      <w:r>
        <w:rPr>
          <w:rFonts w:ascii="微软雅黑" w:hAnsi="微软雅黑" w:eastAsia="微软雅黑"/>
          <w:sz w:val="21"/>
        </w:rPr>
        <w:t>发布包含本次提交的应用镜像。</w:t>
      </w:r>
    </w:p>
    <w:p w14:paraId="1C267AE7">
      <w:pPr>
        <w:pStyle w:val="14"/>
        <w:spacing w:after="60"/>
      </w:pPr>
      <w:r>
        <w:rPr>
          <w:rFonts w:ascii="微软雅黑" w:hAnsi="微软雅黑" w:eastAsia="微软雅黑"/>
          <w:sz w:val="21"/>
        </w:rPr>
        <w:t>准备全国版 EC/CMA 产物目录，并确认服务账号具备读取权限。</w:t>
      </w:r>
    </w:p>
    <w:p w14:paraId="2F2B6FDC">
      <w:pPr>
        <w:pStyle w:val="14"/>
        <w:spacing w:after="60"/>
      </w:pPr>
      <w:r>
        <w:rPr>
          <w:rFonts w:ascii="微软雅黑" w:hAnsi="微软雅黑" w:eastAsia="微软雅黑"/>
          <w:sz w:val="21"/>
        </w:rPr>
        <w:t>更新容器挂载配置，将全国版目录挂载到应用容器。</w:t>
      </w:r>
    </w:p>
    <w:p w14:paraId="5049D695">
      <w:pPr>
        <w:pStyle w:val="14"/>
        <w:spacing w:after="60"/>
      </w:pPr>
      <w:r>
        <w:rPr>
          <w:rFonts w:ascii="微软雅黑" w:hAnsi="微软雅黑" w:eastAsia="微软雅黑"/>
          <w:sz w:val="21"/>
        </w:rPr>
        <w:t>重启 web-app 服务。</w:t>
      </w:r>
    </w:p>
    <w:p w14:paraId="4C615C0E">
      <w:pPr>
        <w:pStyle w:val="14"/>
        <w:spacing w:after="60"/>
      </w:pPr>
      <w:r>
        <w:rPr>
          <w:rFonts w:ascii="微软雅黑" w:hAnsi="微软雅黑" w:eastAsia="微软雅黑"/>
          <w:sz w:val="21"/>
        </w:rPr>
        <w:t>分别验证旧版页面、全国版页面、EC 模型和 CMA 模型展示结果。</w:t>
      </w:r>
    </w:p>
    <w:p w14:paraId="050A2DD2">
      <w:pPr>
        <w:pStyle w:val="14"/>
        <w:spacing w:after="60"/>
      </w:pPr>
      <w:r>
        <w:rPr>
          <w:rFonts w:ascii="微软雅黑" w:hAnsi="微软雅黑" w:eastAsia="微软雅黑"/>
          <w:sz w:val="21"/>
        </w:rPr>
        <w:t>观察日志和用户反馈，确认没有异常后完成上线同步。</w:t>
      </w:r>
    </w:p>
    <w:p w14:paraId="02C6B40C">
      <w:pPr>
        <w:pStyle w:val="3"/>
        <w:spacing w:before="160" w:after="120"/>
      </w:pPr>
      <w:r>
        <w:rPr>
          <w:rFonts w:hint="eastAsia" w:ascii="微软雅黑" w:hAnsi="微软雅黑" w:eastAsia="微软雅黑"/>
          <w:color w:val="1F3A5F"/>
          <w:lang w:val="en-US" w:eastAsia="zh-CN"/>
        </w:rPr>
        <w:t>六</w:t>
      </w:r>
      <w:r>
        <w:rPr>
          <w:rFonts w:ascii="微软雅黑" w:hAnsi="微软雅黑" w:eastAsia="微软雅黑"/>
          <w:color w:val="1F3A5F"/>
        </w:rPr>
        <w:t>、影响范围</w:t>
      </w:r>
    </w:p>
    <w:p w14:paraId="6B6351F3">
      <w:pPr>
        <w:jc w:val="center"/>
      </w:pPr>
      <w:r>
        <w:drawing>
          <wp:inline distT="0" distB="0" distL="114300" distR="114300">
            <wp:extent cx="6080760" cy="3387725"/>
            <wp:effectExtent l="0" t="0" r="1524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70E8">
      <w:pPr>
        <w:spacing w:after="160"/>
        <w:jc w:val="center"/>
      </w:pPr>
      <w:r>
        <w:rPr>
          <w:rFonts w:ascii="微软雅黑" w:hAnsi="微软雅黑" w:eastAsia="微软雅黑"/>
          <w:color w:val="667085"/>
          <w:sz w:val="18"/>
        </w:rPr>
        <w:t>图 5：影响范围说明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5"/>
        <w:gridCol w:w="3365"/>
        <w:gridCol w:w="3365"/>
      </w:tblGrid>
      <w:tr w14:paraId="7B9CA549">
        <w:trPr>
          <w:jc w:val="center"/>
        </w:trPr>
        <w:tc>
          <w:tcPr>
            <w:tcW w:w="1440" w:type="dxa"/>
            <w:shd w:val="clear" w:color="auto" w:fill="1F3A5F"/>
            <w:vAlign w:val="center"/>
          </w:tcPr>
          <w:p w14:paraId="43ABA4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对象</w:t>
            </w:r>
          </w:p>
        </w:tc>
        <w:tc>
          <w:tcPr>
            <w:tcW w:w="3888" w:type="dxa"/>
            <w:shd w:val="clear" w:color="auto" w:fill="1F3A5F"/>
            <w:vAlign w:val="center"/>
          </w:tcPr>
          <w:p w14:paraId="7EF3CC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影响说明</w:t>
            </w:r>
          </w:p>
        </w:tc>
        <w:tc>
          <w:tcPr>
            <w:tcW w:w="4104" w:type="dxa"/>
            <w:shd w:val="clear" w:color="auto" w:fill="1F3A5F"/>
            <w:vAlign w:val="center"/>
          </w:tcPr>
          <w:p w14:paraId="2BC03D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处理建议</w:t>
            </w:r>
          </w:p>
        </w:tc>
      </w:tr>
      <w:tr w14:paraId="2FF9F961">
        <w:trPr>
          <w:jc w:val="center"/>
        </w:trPr>
        <w:tc>
          <w:tcPr>
            <w:tcW w:w="1440" w:type="dxa"/>
            <w:vAlign w:val="center"/>
          </w:tcPr>
          <w:p w14:paraId="6B3874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用户端</w:t>
            </w:r>
          </w:p>
        </w:tc>
        <w:tc>
          <w:tcPr>
            <w:tcW w:w="3888" w:type="dxa"/>
            <w:vAlign w:val="center"/>
          </w:tcPr>
          <w:p w14:paraId="72BF95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入口路径不变，默认看到全国版，可切回旧版。</w:t>
            </w:r>
          </w:p>
        </w:tc>
        <w:tc>
          <w:tcPr>
            <w:tcW w:w="4104" w:type="dxa"/>
            <w:vAlign w:val="center"/>
          </w:tcPr>
          <w:p w14:paraId="681B3E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上线前同步页面变化，必要时可将默认入口设回旧版。</w:t>
            </w:r>
          </w:p>
        </w:tc>
      </w:tr>
      <w:tr w14:paraId="1C78F85A">
        <w:trPr>
          <w:jc w:val="center"/>
        </w:trPr>
        <w:tc>
          <w:tcPr>
            <w:tcW w:w="1440" w:type="dxa"/>
            <w:vAlign w:val="center"/>
          </w:tcPr>
          <w:p w14:paraId="2BDF49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相关应用</w:t>
            </w:r>
          </w:p>
        </w:tc>
        <w:tc>
          <w:tcPr>
            <w:tcW w:w="3888" w:type="dxa"/>
            <w:vAlign w:val="center"/>
          </w:tcPr>
          <w:p w14:paraId="73A47D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旧接口继续可用；读取全国版时需指定 china 模式。</w:t>
            </w:r>
          </w:p>
        </w:tc>
        <w:tc>
          <w:tcPr>
            <w:tcW w:w="4104" w:type="dxa"/>
            <w:vAlign w:val="center"/>
          </w:tcPr>
          <w:p w14:paraId="2C4A0B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需要接入全国版的应用增加 mapType=china。</w:t>
            </w:r>
          </w:p>
        </w:tc>
      </w:tr>
      <w:tr w14:paraId="346FBD89">
        <w:trPr>
          <w:jc w:val="center"/>
        </w:trPr>
        <w:tc>
          <w:tcPr>
            <w:tcW w:w="1440" w:type="dxa"/>
            <w:vAlign w:val="center"/>
          </w:tcPr>
          <w:p w14:paraId="788451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运维与数据</w:t>
            </w:r>
          </w:p>
        </w:tc>
        <w:tc>
          <w:tcPr>
            <w:tcW w:w="3888" w:type="dxa"/>
            <w:vAlign w:val="center"/>
          </w:tcPr>
          <w:p w14:paraId="3827F5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新增全国版 EC/CMA 产物目录和挂载要求。</w:t>
            </w:r>
          </w:p>
        </w:tc>
        <w:tc>
          <w:tcPr>
            <w:tcW w:w="4104" w:type="dxa"/>
            <w:vAlign w:val="center"/>
          </w:tcPr>
          <w:p w14:paraId="22850C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上线前确认目录、权限、图片层和磁盘容量。</w:t>
            </w:r>
          </w:p>
        </w:tc>
      </w:tr>
    </w:tbl>
    <w:p w14:paraId="106967CD">
      <w:pPr>
        <w:pStyle w:val="3"/>
        <w:spacing w:before="160" w:after="120"/>
      </w:pPr>
      <w:r>
        <w:rPr>
          <w:rFonts w:hint="eastAsia" w:ascii="微软雅黑" w:hAnsi="微软雅黑" w:eastAsia="微软雅黑"/>
          <w:color w:val="1F3A5F"/>
          <w:lang w:val="en-US" w:eastAsia="zh-CN"/>
        </w:rPr>
        <w:t>七</w:t>
      </w:r>
      <w:r>
        <w:rPr>
          <w:rFonts w:ascii="微软雅黑" w:hAnsi="微软雅黑" w:eastAsia="微软雅黑"/>
          <w:color w:val="1F3A5F"/>
        </w:rPr>
        <w:t>、风险与保障</w:t>
      </w:r>
    </w:p>
    <w:p w14:paraId="5E1C0915">
      <w:pPr>
        <w:pStyle w:val="16"/>
        <w:spacing w:after="60"/>
      </w:pPr>
      <w:r>
        <w:rPr>
          <w:rFonts w:ascii="微软雅黑" w:hAnsi="微软雅黑" w:eastAsia="微软雅黑"/>
          <w:sz w:val="21"/>
        </w:rPr>
        <w:t>风险一：全国版数据目录未准备好时，首页默认进入全国版可能出现暂无数据。保障措施：上线前完成目录和图片层检查。</w:t>
      </w:r>
    </w:p>
    <w:p w14:paraId="310B71E7">
      <w:pPr>
        <w:pStyle w:val="16"/>
        <w:spacing w:after="60"/>
      </w:pPr>
      <w:r>
        <w:rPr>
          <w:rFonts w:ascii="微软雅黑" w:hAnsi="微软雅黑" w:eastAsia="微软雅黑"/>
          <w:sz w:val="21"/>
        </w:rPr>
        <w:t>风险二：首页默认展示变化可能影响用户习惯。保障措施：提前同步，并保留切回旧版能力。</w:t>
      </w:r>
    </w:p>
    <w:p w14:paraId="024CF56D">
      <w:pPr>
        <w:pStyle w:val="16"/>
        <w:spacing w:after="60"/>
      </w:pPr>
      <w:r>
        <w:rPr>
          <w:rFonts w:ascii="微软雅黑" w:hAnsi="微软雅黑" w:eastAsia="微软雅黑"/>
          <w:sz w:val="21"/>
        </w:rPr>
        <w:t>风险三：相关应用未传全国版参数时仍读取旧版。保障措施：明确接入规则，需要全国版时增加 mapType=china。</w:t>
      </w:r>
    </w:p>
    <w:p w14:paraId="70E7434C">
      <w:pPr>
        <w:pStyle w:val="16"/>
        <w:spacing w:after="60"/>
      </w:pPr>
      <w:r>
        <w:rPr>
          <w:rFonts w:ascii="微软雅黑" w:hAnsi="微软雅黑" w:eastAsia="微软雅黑"/>
          <w:sz w:val="21"/>
        </w:rPr>
        <w:t>回退方式：可先将首页默认模式调整回旧版；如需完全回退，可回退应用镜像，旧版目录和旧接口无需迁移。</w:t>
      </w:r>
    </w:p>
    <w:p w14:paraId="78E17C91">
      <w:pPr>
        <w:pStyle w:val="3"/>
        <w:spacing w:before="160" w:after="120"/>
      </w:pPr>
      <w:r>
        <w:rPr>
          <w:rFonts w:hint="eastAsia" w:ascii="微软雅黑" w:hAnsi="微软雅黑" w:eastAsia="微软雅黑"/>
          <w:color w:val="1F3A5F"/>
          <w:lang w:val="en-US" w:eastAsia="zh-CN"/>
        </w:rPr>
        <w:t>八</w:t>
      </w:r>
      <w:r>
        <w:rPr>
          <w:rFonts w:ascii="微软雅黑" w:hAnsi="微软雅黑" w:eastAsia="微软雅黑"/>
          <w:color w:val="1F3A5F"/>
        </w:rPr>
        <w:t>、汇报口径</w:t>
      </w:r>
    </w:p>
    <w:p w14:paraId="0CD8BDF0">
      <w:pPr>
        <w:spacing w:after="120"/>
      </w:pPr>
      <w:r>
        <w:rPr>
          <w:rFonts w:ascii="微软雅黑" w:hAnsi="微软雅黑" w:eastAsia="微软雅黑"/>
          <w:sz w:val="21"/>
        </w:rPr>
        <w:t>本次升级已完成全国模型输出界面展示能力。上线后系统保持原访问路径和原服务形态，旧版展示继续保留，全国版作为新增模式与旧版并行运行。用户端主要变化是首页默认进入全国版并新增版本切换；相关应用如需读取全国版数据，需要显式指定全国模式。上线前重点确认全国版数据目录、权限和图片层完整性。</w:t>
      </w:r>
    </w:p>
    <w:sectPr>
      <w:footerReference r:id="rId5" w:type="default"/>
      <w:pgSz w:w="12240" w:h="15840"/>
      <w:pgMar w:top="1037" w:right="1181" w:bottom="1037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3F683">
    <w:pPr>
      <w:pStyle w:val="24"/>
      <w:jc w:val="center"/>
    </w:pPr>
    <w:r>
      <w:rPr>
        <w:rFonts w:ascii="微软雅黑" w:hAnsi="微软雅黑" w:eastAsia="微软雅黑"/>
        <w:color w:val="667085"/>
        <w:sz w:val="18"/>
      </w:rPr>
      <w:t>内部汇报材料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F0B59"/>
    <w:rsid w:val="4AE6A2E3"/>
    <w:rsid w:val="7D7315E5"/>
    <w:rsid w:val="7FB430F9"/>
    <w:rsid w:val="9B4B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吕义</cp:lastModifiedBy>
  <dcterms:modified xsi:type="dcterms:W3CDTF">2026-06-08T15:29:39Z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2A802E5079531098886D266AD43BB5A2_42</vt:lpwstr>
  </property>
</Properties>
</file>