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Personal chef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Private dining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Meal prep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Luxury event menus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Future sauces, spice blends, cookbooks, or packaged foods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also avoids locking the brand into one cuisine, which matters because the food range is wide: Southern African American, vegan, pescatarian, Asian, and Nigerian.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Best Brand Lock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Business Name: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Witness Culinary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Strong Tagline Options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Best overall: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Elevated Soul. Global Flavor.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More luxury: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Private Dining with Heritage, Elegance, and Fire.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More modern: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Heritage Meets Modern Taste.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More personal chef focused: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Curated Meals. Rooted Flavor. Refined Service.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More diaspora centered: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Southern Roots. Global 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More premium catering: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Refined Catering for the Soulful Table.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