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b/>
          <w:sz w:val="32"/>
        </w:rPr>
      </w:pPr>
      <w:r>
        <w:rPr>
          <w:b/>
          <w:sz w:val="32"/>
        </w:rPr>
        <w:t>互联网金融电子合同</w:t>
      </w:r>
      <w:r>
        <w:rPr>
          <w:rFonts w:hint="eastAsia"/>
          <w:b/>
          <w:sz w:val="32"/>
          <w:lang w:eastAsia="zh-CN"/>
        </w:rPr>
        <w:t>安全</w:t>
      </w:r>
      <w:r>
        <w:rPr>
          <w:b/>
          <w:sz w:val="32"/>
        </w:rPr>
        <w:t>签署</w:t>
      </w:r>
      <w:r>
        <w:rPr>
          <w:rFonts w:hint="eastAsia"/>
          <w:b/>
          <w:sz w:val="32"/>
          <w:lang w:eastAsia="zh-CN"/>
        </w:rPr>
        <w:t>解决</w:t>
      </w:r>
      <w:r>
        <w:rPr>
          <w:b/>
          <w:sz w:val="32"/>
        </w:rPr>
        <w:t>方案</w:t>
      </w:r>
    </w:p>
    <w:p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需求分析</w:t>
      </w:r>
    </w:p>
    <w:p>
      <w:r>
        <w:rPr>
          <w:rFonts w:hint="eastAsia"/>
        </w:rPr>
        <w:t>在互联网金融行业中，其交易行为“短、平、快”的特性，促使其各类业务合同需要在签署环节提高工作效率，业务合同电子化是实现这一目标的有效手段。合同签署的电子化涉及到对既往传统业务流程的改造，应特别注意电子化业务过程中的法律风险，保证无纸化环境下，电子合同的法律效力得到有效保障。具体需求描述如下：</w:t>
      </w:r>
    </w:p>
    <w:p>
      <w:pPr>
        <w:pStyle w:val="12"/>
        <w:numPr>
          <w:ilvl w:val="0"/>
          <w:numId w:val="3"/>
        </w:numPr>
        <w:ind w:left="0" w:firstLine="360" w:firstLineChars="0"/>
      </w:pPr>
      <w:r>
        <w:rPr>
          <w:rFonts w:hint="eastAsia"/>
          <w:b/>
        </w:rPr>
        <w:t>电子合同的法律效力认定：</w:t>
      </w:r>
      <w:r>
        <w:rPr>
          <w:rFonts w:hint="eastAsia"/>
        </w:rPr>
        <w:t>各类电子合同的法律效力是否等同于原纸质单据，是业务改造最大的法律风险。《电子签名法》对数据电文的法律效力做出了明确解释，经可靠电子签名后的数据电文，其法律效力等同于纸质内容，因此本建设方案必须能实现电子合同的可靠电子签名。</w:t>
      </w:r>
    </w:p>
    <w:p>
      <w:pPr>
        <w:pStyle w:val="12"/>
        <w:numPr>
          <w:ilvl w:val="0"/>
          <w:numId w:val="3"/>
        </w:numPr>
        <w:tabs>
          <w:tab w:val="left" w:pos="720"/>
        </w:tabs>
        <w:ind w:left="0" w:firstLine="360" w:firstLineChars="0"/>
      </w:pPr>
      <w:r>
        <w:rPr>
          <w:rFonts w:hint="eastAsia"/>
          <w:b/>
        </w:rPr>
        <w:t>合同签署的责任认定：</w:t>
      </w:r>
      <w:r>
        <w:rPr>
          <w:rFonts w:hint="eastAsia"/>
        </w:rPr>
        <w:t>合同经电子签署后，留下的不再是有签署墨迹的纸质有形物件，而是电子形态的数据电文，相比传统方式下当事人现场亲笔书写和交付，数据电文无法有效确认当事人身份和认定签名行为，因此本建设方案必须能实现电子合同的签署行为责任认定，规避日后纠纷风险。</w:t>
      </w:r>
    </w:p>
    <w:p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解决方案</w:t>
      </w:r>
    </w:p>
    <w:p>
      <w:pPr>
        <w:ind w:firstLine="480" w:firstLineChars="200"/>
      </w:pPr>
      <w:r>
        <w:rPr>
          <w:rFonts w:hint="eastAsia"/>
        </w:rPr>
        <w:t>无纸化合同签署项目的建设，须引入第三方电子认证服务机构的产品和服务，基于手写数字签名技术实现可靠电子签名，以下解决方案可支持电子合同线下面签和线上签约形式，具体组成如下图所示。</w:t>
      </w:r>
      <w:bookmarkStart w:id="0" w:name="_GoBack"/>
      <w:bookmarkEnd w:id="0"/>
    </w:p>
    <w:p>
      <w:pPr>
        <w:ind w:firstLine="0" w:firstLineChars="0"/>
        <w:jc w:val="center"/>
      </w:pPr>
      <w:r>
        <w:drawing>
          <wp:inline distT="0" distB="0" distL="0" distR="0">
            <wp:extent cx="4422140" cy="2947670"/>
            <wp:effectExtent l="0" t="0" r="16510" b="5080"/>
            <wp:docPr id="1" name="图片 1" descr="C:\Users\DELL\Desktop\电子版解决方案\金融\图\互联网金融电子合同电子签名解决方案.png互联网金融电子合同电子签名解决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Desktop\电子版解决方案\金融\图\互联网金融电子合同电子签名解决方案.png互联网金融电子合同电子签名解决方案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12" w:afterLines="100"/>
        <w:rPr>
          <w:b/>
        </w:rPr>
      </w:pPr>
      <w:r>
        <w:rPr>
          <w:rFonts w:hint="eastAsia"/>
          <w:b/>
        </w:rPr>
        <w:t>信手书手写数字签名系统服务端：</w:t>
      </w:r>
      <w:r>
        <w:rPr>
          <w:rFonts w:hint="eastAsia"/>
        </w:rPr>
        <w:t>信手书系统负责实现合同签署时的可靠电子签名。其服务端与电子合同签署系统对接，实现电子签名核心处理、资产管理公司电子签章等功能；</w:t>
      </w:r>
    </w:p>
    <w:p>
      <w:pPr>
        <w:spacing w:after="312" w:afterLines="100"/>
        <w:rPr>
          <w:b/>
        </w:rPr>
      </w:pPr>
      <w:r>
        <w:rPr>
          <w:rFonts w:hint="eastAsia"/>
          <w:b/>
        </w:rPr>
        <w:t>信手书客户端：</w:t>
      </w:r>
      <w:r>
        <w:rPr>
          <w:rFonts w:hint="eastAsia"/>
        </w:rPr>
        <w:t>安装在签约终端设备上的签名控件，委托人使用</w:t>
      </w:r>
      <w:r>
        <w:t>APP等业务终端</w:t>
      </w:r>
      <w:r>
        <w:rPr>
          <w:rFonts w:hint="eastAsia"/>
        </w:rPr>
        <w:t>在电子合同签署系统中进行签名操作时，签名控件负责实现签名信息收集和签名过程监控，并与信手书签名服务端互动，实现电子合同的可靠电子签名，使电子合同具备与纸质合同同等的法律效力，并可对委托人和公司双方的电子签名行为的责任认定。</w:t>
      </w:r>
    </w:p>
    <w:p>
      <w:pPr>
        <w:rPr>
          <w:b/>
        </w:rPr>
      </w:pPr>
      <w:r>
        <w:rPr>
          <w:rFonts w:hint="eastAsia"/>
          <w:b/>
        </w:rPr>
        <w:t>CA系统：</w:t>
      </w:r>
      <w:r>
        <w:rPr>
          <w:rFonts w:hint="eastAsia"/>
        </w:rPr>
        <w:t>系统和服务部署在</w:t>
      </w:r>
      <w:r>
        <w:rPr>
          <w:rFonts w:hint="eastAsia"/>
          <w:lang w:val="en-US" w:eastAsia="zh-CN"/>
        </w:rPr>
        <w:t>BJ</w:t>
      </w:r>
      <w:r>
        <w:rPr>
          <w:rFonts w:hint="eastAsia"/>
        </w:rPr>
        <w:t>CA，是第三方电子认证机构的核心服务，为每次电子合同签署签发信手书数字证书，是本次项目实现电子单据合法性的基础服务。</w:t>
      </w:r>
    </w:p>
    <w:p>
      <w:pPr>
        <w:spacing w:after="312" w:afterLines="100"/>
      </w:pPr>
      <w:r>
        <w:rPr>
          <w:b/>
        </w:rPr>
        <w:t>Ukey</w:t>
      </w:r>
      <w:r>
        <w:rPr>
          <w:rFonts w:hint="eastAsia"/>
          <w:b/>
        </w:rPr>
        <w:t>证书：</w:t>
      </w:r>
      <w:r>
        <w:rPr>
          <w:rFonts w:hint="eastAsia"/>
        </w:rPr>
        <w:t>与金融服务公司合作的合同签署方，由于单位相对固定，可使用</w:t>
      </w:r>
      <w:r>
        <w:t>Ukey</w:t>
      </w:r>
      <w:r>
        <w:rPr>
          <w:rFonts w:hint="eastAsia"/>
        </w:rPr>
        <w:t>数字证书，进行电子合同文档的数据签名。</w:t>
      </w:r>
    </w:p>
    <w:p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方案价值</w:t>
      </w:r>
    </w:p>
    <w:p>
      <w:pPr>
        <w:pStyle w:val="12"/>
        <w:numPr>
          <w:ilvl w:val="0"/>
          <w:numId w:val="4"/>
        </w:numPr>
        <w:spacing w:line="240" w:lineRule="auto"/>
        <w:ind w:left="1134" w:firstLineChars="0"/>
        <w:rPr>
          <w:bCs/>
        </w:rPr>
      </w:pPr>
      <w:r>
        <w:rPr>
          <w:rFonts w:hint="eastAsia"/>
          <w:bCs/>
        </w:rPr>
        <w:t>电子合同的合法合规性。</w:t>
      </w:r>
    </w:p>
    <w:p>
      <w:pPr>
        <w:pStyle w:val="12"/>
        <w:numPr>
          <w:ilvl w:val="0"/>
          <w:numId w:val="4"/>
        </w:numPr>
        <w:spacing w:line="240" w:lineRule="auto"/>
        <w:ind w:left="1134" w:firstLineChars="0"/>
        <w:rPr>
          <w:bCs/>
        </w:rPr>
      </w:pPr>
      <w:r>
        <w:rPr>
          <w:rFonts w:hint="eastAsia"/>
          <w:bCs/>
        </w:rPr>
        <w:t>提高工作效率。</w:t>
      </w:r>
    </w:p>
    <w:p>
      <w:pPr>
        <w:pStyle w:val="12"/>
        <w:numPr>
          <w:ilvl w:val="0"/>
          <w:numId w:val="4"/>
        </w:numPr>
        <w:spacing w:line="240" w:lineRule="auto"/>
        <w:ind w:left="1134" w:firstLineChars="0"/>
        <w:rPr>
          <w:bCs/>
        </w:rPr>
      </w:pPr>
      <w:r>
        <w:rPr>
          <w:rFonts w:hint="eastAsia"/>
          <w:bCs/>
        </w:rPr>
        <w:t>降低运营人工成本和经营成本。</w:t>
      </w:r>
    </w:p>
    <w:p>
      <w:pPr>
        <w:pStyle w:val="12"/>
        <w:numPr>
          <w:ilvl w:val="0"/>
          <w:numId w:val="4"/>
        </w:numPr>
        <w:spacing w:line="240" w:lineRule="auto"/>
        <w:ind w:left="1134" w:firstLineChars="0"/>
        <w:rPr>
          <w:bCs/>
        </w:rPr>
      </w:pPr>
      <w:r>
        <w:rPr>
          <w:rFonts w:hint="eastAsia"/>
          <w:bCs/>
        </w:rPr>
        <w:t>降低操作风险。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/>
      <w:ind w:firstLine="31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</w:rPr>
      <w:t>北京数字认证股份有限公司</w:t>
    </w:r>
    <w:r>
      <w:rPr>
        <w:rFonts w:hint="eastAsia"/>
        <w:sz w:val="18"/>
        <w:szCs w:val="18"/>
        <w:lang w:eastAsia="zh-CN"/>
      </w:rPr>
      <w:t>（股票代码：</w:t>
    </w:r>
    <w:r>
      <w:rPr>
        <w:rFonts w:hint="eastAsia"/>
        <w:sz w:val="18"/>
        <w:szCs w:val="18"/>
        <w:lang w:val="en-US" w:eastAsia="zh-CN"/>
      </w:rPr>
      <w:t>300579</w:t>
    </w:r>
    <w:r>
      <w:rPr>
        <w:rFonts w:hint="eastAsia"/>
        <w:sz w:val="18"/>
        <w:szCs w:val="18"/>
        <w:lang w:eastAsia="zh-CN"/>
      </w:rPr>
      <w:t>）</w:t>
    </w:r>
    <w:r>
      <w:rPr>
        <w:rFonts w:hint="eastAsia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/>
      <w:ind w:firstLine="3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/>
      <w:ind w:firstLine="3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/>
      <w:ind w:firstLine="319"/>
      <w:jc w:val="left"/>
    </w:pPr>
    <w:r>
      <w:rPr>
        <w:rFonts w:hint="eastAsia"/>
        <w:lang w:eastAsia="zh-CN"/>
      </w:rPr>
      <w:t>数字认证</w:t>
    </w:r>
    <w:r>
      <w:rPr>
        <w:rFonts w:hint="eastAsia"/>
        <w:lang w:val="en-US" w:eastAsia="zh-CN"/>
      </w:rPr>
      <w:t>-</w:t>
    </w:r>
    <w:r>
      <w:rPr>
        <w:rFonts w:hint="eastAsia"/>
      </w:rPr>
      <w:t>解决方案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/>
      <w:ind w:firstLine="3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/>
      <w:ind w:firstLine="3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微软雅黑" w:cs="Times New Roman"/>
        <w:b/>
        <w:i w:val="0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微软雅黑" w:cs="Times New Roman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eastAsia="微软雅黑" w:cs="Times New Roman"/>
        <w:b/>
        <w:i w:val="0"/>
        <w:sz w:val="28"/>
      </w:rPr>
    </w:lvl>
    <w:lvl w:ilvl="3" w:tentative="0">
      <w:start w:val="1"/>
      <w:numFmt w:val="decimal"/>
      <w:pStyle w:val="3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 w:eastAsia="微软雅黑" w:cs="Times New Roman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 w:eastAsia="微软雅黑" w:cs="Times New Roman"/>
        <w:b/>
        <w:i w:val="0"/>
        <w:sz w:val="28"/>
      </w:rPr>
    </w:lvl>
    <w:lvl w:ilvl="5" w:tentative="0">
      <w:start w:val="1"/>
      <w:numFmt w:val="decimal"/>
      <w:lvlText w:val="%1.%2.%3.%4.%5.%6"/>
      <w:lvlJc w:val="left"/>
      <w:pPr>
        <w:tabs>
          <w:tab w:val="left" w:pos="1332"/>
        </w:tabs>
        <w:ind w:left="1332" w:hanging="1152"/>
      </w:pPr>
      <w:rPr>
        <w:rFonts w:hint="default" w:ascii="Arial" w:hAnsi="Arial" w:eastAsia="微软雅黑" w:cs="Times New Roman"/>
        <w:b/>
        <w:i w:val="0"/>
        <w:sz w:val="28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Arial" w:hAnsi="Arial" w:eastAsia="微软雅黑" w:cs="Times New Roman"/>
        <w:b/>
        <w:i w:val="0"/>
        <w:sz w:val="28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9AA63F4"/>
    <w:multiLevelType w:val="multilevel"/>
    <w:tmpl w:val="39AA63F4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43B4522"/>
    <w:multiLevelType w:val="multilevel"/>
    <w:tmpl w:val="443B45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6C5694"/>
    <w:multiLevelType w:val="multilevel"/>
    <w:tmpl w:val="596C5694"/>
    <w:lvl w:ilvl="0" w:tentative="0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68"/>
    <w:rsid w:val="000143A8"/>
    <w:rsid w:val="00014EC2"/>
    <w:rsid w:val="00016E2F"/>
    <w:rsid w:val="000202E8"/>
    <w:rsid w:val="0002335A"/>
    <w:rsid w:val="000264FB"/>
    <w:rsid w:val="00031A9A"/>
    <w:rsid w:val="000409B0"/>
    <w:rsid w:val="0004120C"/>
    <w:rsid w:val="00044EFE"/>
    <w:rsid w:val="00055B9A"/>
    <w:rsid w:val="00057687"/>
    <w:rsid w:val="000674CF"/>
    <w:rsid w:val="00075410"/>
    <w:rsid w:val="0008516F"/>
    <w:rsid w:val="000917AE"/>
    <w:rsid w:val="00094943"/>
    <w:rsid w:val="000A1E63"/>
    <w:rsid w:val="000A398D"/>
    <w:rsid w:val="000A3B04"/>
    <w:rsid w:val="000B419C"/>
    <w:rsid w:val="000B54E4"/>
    <w:rsid w:val="000C6C49"/>
    <w:rsid w:val="000D1D31"/>
    <w:rsid w:val="000E38AA"/>
    <w:rsid w:val="000E62A7"/>
    <w:rsid w:val="000F24A6"/>
    <w:rsid w:val="000F5CA1"/>
    <w:rsid w:val="001115A0"/>
    <w:rsid w:val="00111AE9"/>
    <w:rsid w:val="00113669"/>
    <w:rsid w:val="00127ACA"/>
    <w:rsid w:val="00131496"/>
    <w:rsid w:val="001340F9"/>
    <w:rsid w:val="00152F3B"/>
    <w:rsid w:val="00155762"/>
    <w:rsid w:val="00157789"/>
    <w:rsid w:val="00177AAE"/>
    <w:rsid w:val="00186394"/>
    <w:rsid w:val="00186D20"/>
    <w:rsid w:val="00195526"/>
    <w:rsid w:val="001A30D5"/>
    <w:rsid w:val="001A3C02"/>
    <w:rsid w:val="001B1A23"/>
    <w:rsid w:val="001B1C93"/>
    <w:rsid w:val="001B5E66"/>
    <w:rsid w:val="001C27E9"/>
    <w:rsid w:val="001D2E5E"/>
    <w:rsid w:val="001E1E83"/>
    <w:rsid w:val="001E5AB8"/>
    <w:rsid w:val="001F5CBD"/>
    <w:rsid w:val="001F69CD"/>
    <w:rsid w:val="001F7156"/>
    <w:rsid w:val="001F77E2"/>
    <w:rsid w:val="002011C3"/>
    <w:rsid w:val="002024A8"/>
    <w:rsid w:val="00204379"/>
    <w:rsid w:val="00204C5F"/>
    <w:rsid w:val="0022391F"/>
    <w:rsid w:val="0022771E"/>
    <w:rsid w:val="00232C46"/>
    <w:rsid w:val="002334B6"/>
    <w:rsid w:val="002439AC"/>
    <w:rsid w:val="00246490"/>
    <w:rsid w:val="00247B0D"/>
    <w:rsid w:val="002577AE"/>
    <w:rsid w:val="00260384"/>
    <w:rsid w:val="00263C5B"/>
    <w:rsid w:val="00266DB4"/>
    <w:rsid w:val="00270E0C"/>
    <w:rsid w:val="00272FBE"/>
    <w:rsid w:val="00283837"/>
    <w:rsid w:val="00285179"/>
    <w:rsid w:val="002A2283"/>
    <w:rsid w:val="002A3A99"/>
    <w:rsid w:val="002A409D"/>
    <w:rsid w:val="002A5D8B"/>
    <w:rsid w:val="002A7908"/>
    <w:rsid w:val="002B2D89"/>
    <w:rsid w:val="002C680E"/>
    <w:rsid w:val="002C7491"/>
    <w:rsid w:val="002D0A6E"/>
    <w:rsid w:val="002D2E46"/>
    <w:rsid w:val="002D3512"/>
    <w:rsid w:val="002D449B"/>
    <w:rsid w:val="002D5E9E"/>
    <w:rsid w:val="002D7DCE"/>
    <w:rsid w:val="002F33B9"/>
    <w:rsid w:val="002F7284"/>
    <w:rsid w:val="003051F5"/>
    <w:rsid w:val="00313E99"/>
    <w:rsid w:val="00316953"/>
    <w:rsid w:val="003201DF"/>
    <w:rsid w:val="00323636"/>
    <w:rsid w:val="003257BD"/>
    <w:rsid w:val="0033497A"/>
    <w:rsid w:val="00341F24"/>
    <w:rsid w:val="003433A4"/>
    <w:rsid w:val="00344A83"/>
    <w:rsid w:val="00350C32"/>
    <w:rsid w:val="003551F5"/>
    <w:rsid w:val="003579BA"/>
    <w:rsid w:val="00360EDE"/>
    <w:rsid w:val="00362303"/>
    <w:rsid w:val="0036758E"/>
    <w:rsid w:val="00376F47"/>
    <w:rsid w:val="003866D2"/>
    <w:rsid w:val="00393819"/>
    <w:rsid w:val="003947E0"/>
    <w:rsid w:val="003A2B05"/>
    <w:rsid w:val="003B2FFA"/>
    <w:rsid w:val="003B4521"/>
    <w:rsid w:val="003B5873"/>
    <w:rsid w:val="003B6657"/>
    <w:rsid w:val="003B73AB"/>
    <w:rsid w:val="003D2D68"/>
    <w:rsid w:val="003D402B"/>
    <w:rsid w:val="003F3FC4"/>
    <w:rsid w:val="003F4E37"/>
    <w:rsid w:val="003F7DA5"/>
    <w:rsid w:val="00410DAF"/>
    <w:rsid w:val="0041367E"/>
    <w:rsid w:val="00414D08"/>
    <w:rsid w:val="00414D5E"/>
    <w:rsid w:val="004153DE"/>
    <w:rsid w:val="00415682"/>
    <w:rsid w:val="00422B62"/>
    <w:rsid w:val="004255FE"/>
    <w:rsid w:val="004264D6"/>
    <w:rsid w:val="00430E74"/>
    <w:rsid w:val="00446526"/>
    <w:rsid w:val="00446BFC"/>
    <w:rsid w:val="00450A00"/>
    <w:rsid w:val="00454011"/>
    <w:rsid w:val="004636D9"/>
    <w:rsid w:val="0047545A"/>
    <w:rsid w:val="00477CFA"/>
    <w:rsid w:val="00484BE6"/>
    <w:rsid w:val="00485C6B"/>
    <w:rsid w:val="00485D94"/>
    <w:rsid w:val="00494440"/>
    <w:rsid w:val="0049755C"/>
    <w:rsid w:val="004B18E5"/>
    <w:rsid w:val="004C0622"/>
    <w:rsid w:val="004C2010"/>
    <w:rsid w:val="004D39A9"/>
    <w:rsid w:val="004D3B07"/>
    <w:rsid w:val="004D75D4"/>
    <w:rsid w:val="004E5EB3"/>
    <w:rsid w:val="004E75F9"/>
    <w:rsid w:val="004F3D07"/>
    <w:rsid w:val="005068C9"/>
    <w:rsid w:val="00527B33"/>
    <w:rsid w:val="00536E52"/>
    <w:rsid w:val="005434ED"/>
    <w:rsid w:val="0054672B"/>
    <w:rsid w:val="00547354"/>
    <w:rsid w:val="00554372"/>
    <w:rsid w:val="00557ED8"/>
    <w:rsid w:val="00562E78"/>
    <w:rsid w:val="005729CF"/>
    <w:rsid w:val="00575A91"/>
    <w:rsid w:val="00575F05"/>
    <w:rsid w:val="0057675E"/>
    <w:rsid w:val="00581BAB"/>
    <w:rsid w:val="005860FF"/>
    <w:rsid w:val="00587E9F"/>
    <w:rsid w:val="00592522"/>
    <w:rsid w:val="0059255E"/>
    <w:rsid w:val="00597074"/>
    <w:rsid w:val="005A152B"/>
    <w:rsid w:val="005A67E2"/>
    <w:rsid w:val="005B41B1"/>
    <w:rsid w:val="005B54F2"/>
    <w:rsid w:val="005C5363"/>
    <w:rsid w:val="005C64C1"/>
    <w:rsid w:val="005D3040"/>
    <w:rsid w:val="005D32E5"/>
    <w:rsid w:val="005D4601"/>
    <w:rsid w:val="005D7AAB"/>
    <w:rsid w:val="005E497D"/>
    <w:rsid w:val="005E7E0D"/>
    <w:rsid w:val="005F445B"/>
    <w:rsid w:val="006006FD"/>
    <w:rsid w:val="00604BB2"/>
    <w:rsid w:val="00611355"/>
    <w:rsid w:val="006143D9"/>
    <w:rsid w:val="006150FB"/>
    <w:rsid w:val="006245FB"/>
    <w:rsid w:val="006308A4"/>
    <w:rsid w:val="00630CBA"/>
    <w:rsid w:val="006377AF"/>
    <w:rsid w:val="00640EA5"/>
    <w:rsid w:val="00643344"/>
    <w:rsid w:val="00643B16"/>
    <w:rsid w:val="00650968"/>
    <w:rsid w:val="00651893"/>
    <w:rsid w:val="00697BEC"/>
    <w:rsid w:val="006A70C4"/>
    <w:rsid w:val="006B4E9F"/>
    <w:rsid w:val="006C2DBD"/>
    <w:rsid w:val="006D5FCB"/>
    <w:rsid w:val="006E1FB9"/>
    <w:rsid w:val="006E34AD"/>
    <w:rsid w:val="006E3A2A"/>
    <w:rsid w:val="006E55AD"/>
    <w:rsid w:val="006F6361"/>
    <w:rsid w:val="00704A14"/>
    <w:rsid w:val="00711AD8"/>
    <w:rsid w:val="00715072"/>
    <w:rsid w:val="0071520C"/>
    <w:rsid w:val="00724348"/>
    <w:rsid w:val="007300EC"/>
    <w:rsid w:val="00730C11"/>
    <w:rsid w:val="007365D9"/>
    <w:rsid w:val="007435F5"/>
    <w:rsid w:val="00750BA5"/>
    <w:rsid w:val="00751C88"/>
    <w:rsid w:val="007533FA"/>
    <w:rsid w:val="00764C3F"/>
    <w:rsid w:val="00770824"/>
    <w:rsid w:val="0077470F"/>
    <w:rsid w:val="0079017C"/>
    <w:rsid w:val="007929DB"/>
    <w:rsid w:val="007A4363"/>
    <w:rsid w:val="007A77D3"/>
    <w:rsid w:val="007B660A"/>
    <w:rsid w:val="007C3564"/>
    <w:rsid w:val="007D4867"/>
    <w:rsid w:val="007D514A"/>
    <w:rsid w:val="007F326D"/>
    <w:rsid w:val="007F5C06"/>
    <w:rsid w:val="00810282"/>
    <w:rsid w:val="00811BD6"/>
    <w:rsid w:val="00814AB2"/>
    <w:rsid w:val="00822480"/>
    <w:rsid w:val="00824DE4"/>
    <w:rsid w:val="00827B8F"/>
    <w:rsid w:val="00837FFC"/>
    <w:rsid w:val="00842545"/>
    <w:rsid w:val="00843CEC"/>
    <w:rsid w:val="00845B7E"/>
    <w:rsid w:val="00850FF6"/>
    <w:rsid w:val="008608E4"/>
    <w:rsid w:val="00861AEB"/>
    <w:rsid w:val="008762FB"/>
    <w:rsid w:val="008802CE"/>
    <w:rsid w:val="00880B86"/>
    <w:rsid w:val="00890341"/>
    <w:rsid w:val="008B775F"/>
    <w:rsid w:val="008D061A"/>
    <w:rsid w:val="008E0C62"/>
    <w:rsid w:val="008E2B90"/>
    <w:rsid w:val="008E5056"/>
    <w:rsid w:val="008E5C3F"/>
    <w:rsid w:val="008F2B1F"/>
    <w:rsid w:val="008F7329"/>
    <w:rsid w:val="008F7E0D"/>
    <w:rsid w:val="0090103B"/>
    <w:rsid w:val="00902445"/>
    <w:rsid w:val="00906E2A"/>
    <w:rsid w:val="009102CA"/>
    <w:rsid w:val="00910E14"/>
    <w:rsid w:val="00912032"/>
    <w:rsid w:val="0091440D"/>
    <w:rsid w:val="0091793B"/>
    <w:rsid w:val="00923B3E"/>
    <w:rsid w:val="00923D17"/>
    <w:rsid w:val="009242E3"/>
    <w:rsid w:val="00932406"/>
    <w:rsid w:val="00933C37"/>
    <w:rsid w:val="0094189C"/>
    <w:rsid w:val="00945AC6"/>
    <w:rsid w:val="00950918"/>
    <w:rsid w:val="00952BF3"/>
    <w:rsid w:val="0096384D"/>
    <w:rsid w:val="00963FA4"/>
    <w:rsid w:val="00975551"/>
    <w:rsid w:val="009836AB"/>
    <w:rsid w:val="00984EF4"/>
    <w:rsid w:val="00997326"/>
    <w:rsid w:val="00997525"/>
    <w:rsid w:val="009B5875"/>
    <w:rsid w:val="009B78FB"/>
    <w:rsid w:val="009C29B3"/>
    <w:rsid w:val="009C462C"/>
    <w:rsid w:val="009D09A2"/>
    <w:rsid w:val="009D521C"/>
    <w:rsid w:val="009E4D9D"/>
    <w:rsid w:val="009E7A52"/>
    <w:rsid w:val="00A03D00"/>
    <w:rsid w:val="00A15EAD"/>
    <w:rsid w:val="00A17C45"/>
    <w:rsid w:val="00A309A0"/>
    <w:rsid w:val="00A34FB1"/>
    <w:rsid w:val="00A37940"/>
    <w:rsid w:val="00A37973"/>
    <w:rsid w:val="00A52829"/>
    <w:rsid w:val="00A56D95"/>
    <w:rsid w:val="00A56DA8"/>
    <w:rsid w:val="00A6052E"/>
    <w:rsid w:val="00A65448"/>
    <w:rsid w:val="00A66B37"/>
    <w:rsid w:val="00A83D69"/>
    <w:rsid w:val="00A905DE"/>
    <w:rsid w:val="00A967C0"/>
    <w:rsid w:val="00A968B7"/>
    <w:rsid w:val="00AA2DA3"/>
    <w:rsid w:val="00AA2F7E"/>
    <w:rsid w:val="00AA687D"/>
    <w:rsid w:val="00AA723F"/>
    <w:rsid w:val="00AA7B9A"/>
    <w:rsid w:val="00AB0EF8"/>
    <w:rsid w:val="00AB2202"/>
    <w:rsid w:val="00AC38E6"/>
    <w:rsid w:val="00AC4125"/>
    <w:rsid w:val="00AC690C"/>
    <w:rsid w:val="00AD0E86"/>
    <w:rsid w:val="00B05C98"/>
    <w:rsid w:val="00B17002"/>
    <w:rsid w:val="00B17F88"/>
    <w:rsid w:val="00B25706"/>
    <w:rsid w:val="00B315D1"/>
    <w:rsid w:val="00B31E5E"/>
    <w:rsid w:val="00B33304"/>
    <w:rsid w:val="00B34344"/>
    <w:rsid w:val="00B37BA3"/>
    <w:rsid w:val="00B4253B"/>
    <w:rsid w:val="00B6030A"/>
    <w:rsid w:val="00B63A65"/>
    <w:rsid w:val="00B643A0"/>
    <w:rsid w:val="00B70E99"/>
    <w:rsid w:val="00B712AD"/>
    <w:rsid w:val="00B72AB4"/>
    <w:rsid w:val="00B847A7"/>
    <w:rsid w:val="00B864BD"/>
    <w:rsid w:val="00B915D7"/>
    <w:rsid w:val="00B96AEC"/>
    <w:rsid w:val="00BA09B8"/>
    <w:rsid w:val="00BA18F3"/>
    <w:rsid w:val="00BA5001"/>
    <w:rsid w:val="00BA5449"/>
    <w:rsid w:val="00BB0A2C"/>
    <w:rsid w:val="00BB634E"/>
    <w:rsid w:val="00BD0C75"/>
    <w:rsid w:val="00BD603E"/>
    <w:rsid w:val="00BD62AF"/>
    <w:rsid w:val="00BD6EF5"/>
    <w:rsid w:val="00BE2E38"/>
    <w:rsid w:val="00C14E4D"/>
    <w:rsid w:val="00C2610A"/>
    <w:rsid w:val="00C30379"/>
    <w:rsid w:val="00C36983"/>
    <w:rsid w:val="00C37181"/>
    <w:rsid w:val="00C43B92"/>
    <w:rsid w:val="00C459F0"/>
    <w:rsid w:val="00C46364"/>
    <w:rsid w:val="00C529F7"/>
    <w:rsid w:val="00C57DC7"/>
    <w:rsid w:val="00C625F4"/>
    <w:rsid w:val="00C66E54"/>
    <w:rsid w:val="00C730E3"/>
    <w:rsid w:val="00C80112"/>
    <w:rsid w:val="00C807DE"/>
    <w:rsid w:val="00C80EBE"/>
    <w:rsid w:val="00C8591B"/>
    <w:rsid w:val="00C93CFD"/>
    <w:rsid w:val="00C97752"/>
    <w:rsid w:val="00CA111B"/>
    <w:rsid w:val="00CA23B2"/>
    <w:rsid w:val="00CA4BC9"/>
    <w:rsid w:val="00CB0FF8"/>
    <w:rsid w:val="00CB6718"/>
    <w:rsid w:val="00CC01D5"/>
    <w:rsid w:val="00CD115E"/>
    <w:rsid w:val="00CD1824"/>
    <w:rsid w:val="00CD639F"/>
    <w:rsid w:val="00CE5AAD"/>
    <w:rsid w:val="00CF4B56"/>
    <w:rsid w:val="00D01A9C"/>
    <w:rsid w:val="00D026CC"/>
    <w:rsid w:val="00D04C6C"/>
    <w:rsid w:val="00D10165"/>
    <w:rsid w:val="00D162F7"/>
    <w:rsid w:val="00D2049F"/>
    <w:rsid w:val="00D22B13"/>
    <w:rsid w:val="00D2339C"/>
    <w:rsid w:val="00D377F6"/>
    <w:rsid w:val="00D54566"/>
    <w:rsid w:val="00D54DA7"/>
    <w:rsid w:val="00D5578A"/>
    <w:rsid w:val="00D55F40"/>
    <w:rsid w:val="00D61AE8"/>
    <w:rsid w:val="00D66429"/>
    <w:rsid w:val="00D7713A"/>
    <w:rsid w:val="00D843CD"/>
    <w:rsid w:val="00D918C7"/>
    <w:rsid w:val="00D92713"/>
    <w:rsid w:val="00D9358F"/>
    <w:rsid w:val="00DA275D"/>
    <w:rsid w:val="00DA572A"/>
    <w:rsid w:val="00DB1A37"/>
    <w:rsid w:val="00DC29FA"/>
    <w:rsid w:val="00DC310E"/>
    <w:rsid w:val="00DC46CD"/>
    <w:rsid w:val="00DD1550"/>
    <w:rsid w:val="00DD76B2"/>
    <w:rsid w:val="00DE5E57"/>
    <w:rsid w:val="00DF3608"/>
    <w:rsid w:val="00DF7D5A"/>
    <w:rsid w:val="00DF7DCC"/>
    <w:rsid w:val="00E14748"/>
    <w:rsid w:val="00E14AB7"/>
    <w:rsid w:val="00E16BF7"/>
    <w:rsid w:val="00E231E2"/>
    <w:rsid w:val="00E344AF"/>
    <w:rsid w:val="00E45125"/>
    <w:rsid w:val="00E47CC6"/>
    <w:rsid w:val="00E5482F"/>
    <w:rsid w:val="00E57FDB"/>
    <w:rsid w:val="00E60A09"/>
    <w:rsid w:val="00E676BA"/>
    <w:rsid w:val="00E71E47"/>
    <w:rsid w:val="00E71F00"/>
    <w:rsid w:val="00E76ECD"/>
    <w:rsid w:val="00E774C1"/>
    <w:rsid w:val="00E9155E"/>
    <w:rsid w:val="00E9797A"/>
    <w:rsid w:val="00EA05C9"/>
    <w:rsid w:val="00EA75B5"/>
    <w:rsid w:val="00EB34B0"/>
    <w:rsid w:val="00EB7CF7"/>
    <w:rsid w:val="00EC005F"/>
    <w:rsid w:val="00EE298A"/>
    <w:rsid w:val="00EF0968"/>
    <w:rsid w:val="00EF32B8"/>
    <w:rsid w:val="00EF55C5"/>
    <w:rsid w:val="00F00906"/>
    <w:rsid w:val="00F01464"/>
    <w:rsid w:val="00F058EA"/>
    <w:rsid w:val="00F1177C"/>
    <w:rsid w:val="00F12B8C"/>
    <w:rsid w:val="00F148D7"/>
    <w:rsid w:val="00F149B1"/>
    <w:rsid w:val="00F17A9F"/>
    <w:rsid w:val="00F31A29"/>
    <w:rsid w:val="00F41455"/>
    <w:rsid w:val="00F44150"/>
    <w:rsid w:val="00F46405"/>
    <w:rsid w:val="00F5377C"/>
    <w:rsid w:val="00F55D04"/>
    <w:rsid w:val="00F60587"/>
    <w:rsid w:val="00F60809"/>
    <w:rsid w:val="00F64C2F"/>
    <w:rsid w:val="00F76A23"/>
    <w:rsid w:val="00F81D44"/>
    <w:rsid w:val="00F85799"/>
    <w:rsid w:val="00F9331F"/>
    <w:rsid w:val="00FA105B"/>
    <w:rsid w:val="00FA150F"/>
    <w:rsid w:val="00FA5DD0"/>
    <w:rsid w:val="00FB2357"/>
    <w:rsid w:val="00FB30C7"/>
    <w:rsid w:val="00FB7604"/>
    <w:rsid w:val="00FD7EA6"/>
    <w:rsid w:val="00FE1C12"/>
    <w:rsid w:val="00FE1E09"/>
    <w:rsid w:val="00FE4F46"/>
    <w:rsid w:val="00FF2526"/>
    <w:rsid w:val="00FF7F94"/>
    <w:rsid w:val="1BB3418D"/>
    <w:rsid w:val="3C79423A"/>
    <w:rsid w:val="429C26F5"/>
    <w:rsid w:val="54043891"/>
    <w:rsid w:val="778D76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56" w:beforeLines="50" w:line="360" w:lineRule="auto"/>
      <w:ind w:firstLine="425" w:firstLineChars="177"/>
      <w:jc w:val="both"/>
    </w:pPr>
    <w:rPr>
      <w:rFonts w:ascii="微软雅黑" w:hAnsi="微软雅黑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0"/>
    <w:qFormat/>
    <w:uiPriority w:val="0"/>
    <w:pPr>
      <w:keepNext/>
      <w:keepLines/>
      <w:numPr>
        <w:ilvl w:val="3"/>
        <w:numId w:val="1"/>
      </w:numPr>
      <w:tabs>
        <w:tab w:val="left" w:pos="-1985"/>
        <w:tab w:val="clear" w:pos="864"/>
      </w:tabs>
      <w:ind w:left="991" w:hanging="991" w:hangingChars="354"/>
      <w:jc w:val="left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4 Char"/>
    <w:basedOn w:val="6"/>
    <w:link w:val="3"/>
    <w:qFormat/>
    <w:uiPriority w:val="0"/>
    <w:rPr>
      <w:rFonts w:ascii="微软雅黑" w:hAnsi="微软雅黑" w:eastAsia="微软雅黑" w:cs="Times New Roman"/>
      <w:b/>
      <w:bCs/>
      <w:sz w:val="28"/>
      <w:szCs w:val="28"/>
    </w:rPr>
  </w:style>
  <w:style w:type="character" w:customStyle="1" w:styleId="11">
    <w:name w:val="标题 3 Char"/>
    <w:basedOn w:val="6"/>
    <w:link w:val="2"/>
    <w:qFormat/>
    <w:uiPriority w:val="9"/>
    <w:rPr>
      <w:rFonts w:ascii="微软雅黑" w:hAnsi="微软雅黑" w:eastAsia="微软雅黑" w:cs="Times New Roman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787</Characters>
  <Lines>6</Lines>
  <Paragraphs>1</Paragraphs>
  <ScaleCrop>false</ScaleCrop>
  <LinksUpToDate>false</LinksUpToDate>
  <CharactersWithSpaces>923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2017-01-23T05:39:00Z</dcterms:created>
  <dc:creator>周婧</dc:creator>
  <cp:lastModifiedBy>DELL</cp:lastModifiedBy>
  <dcterms:modified xsi:type="dcterms:W3CDTF">2017-01-24T01:57:38Z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