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71d79d1c1299c86d1c0e5a578a723537b4b36a"/>
    <w:p>
      <w:pPr>
        <w:pStyle w:val="Heading1"/>
      </w:pPr>
      <w:r>
        <w:t xml:space="preserve">Doble Diamante — Problema Principal y Solución Recomendada</w:t>
      </w:r>
    </w:p>
    <w:bookmarkStart w:id="20" w:name="Xeadaaa1694114f0eca97e2d9541ac475f879e12"/>
    <w:p>
      <w:pPr>
        <w:pStyle w:val="Heading3"/>
      </w:pPr>
      <w:r>
        <w:t xml:space="preserve">Reto Hotelería · Hackathon Colsubsidio x 30X · Julio 2026</w:t>
      </w:r>
    </w:p>
    <w:p>
      <w:pPr>
        <w:pStyle w:val="FirstParagraph"/>
      </w:pPr>
      <w:r>
        <w:rPr>
          <w:iCs/>
          <w:i/>
        </w:rPr>
        <w:t xml:space="preserve">El Doble Diamante estructura el proceso en cuatro fases: Descubrir y Definir (espacio del problema) → Desarrollar y Entregar (espacio de la solución). Este documento recorre las cuatro y cierra con la recomendación.</w:t>
      </w:r>
    </w:p>
    <w:p>
      <w:r>
        <w:pict>
          <v:rect style="width:0;height:1.5pt" o:hralign="center" o:hrstd="t" o:hr="t"/>
        </w:pict>
      </w:r>
    </w:p>
    <w:bookmarkEnd w:id="20"/>
    <w:bookmarkStart w:id="23" w:name="diamante-1-el-problema"/>
    <w:p>
      <w:pPr>
        <w:pStyle w:val="Heading2"/>
      </w:pPr>
      <w:r>
        <w:t xml:space="preserve">DIAMANTE 1 — El problema</w:t>
      </w:r>
    </w:p>
    <w:bookmarkStart w:id="21" w:name="X9c30a37705edec1377483d733ff494db8698033"/>
    <w:p>
      <w:pPr>
        <w:pStyle w:val="Heading3"/>
      </w:pPr>
      <w:r>
        <w:t xml:space="preserve">Fase 1 · DESCUBRIR (divergir: entender el contexto)</w:t>
      </w:r>
    </w:p>
    <w:p>
      <w:pPr>
        <w:pStyle w:val="FirstParagraph"/>
      </w:pPr>
      <w:r>
        <w:t xml:space="preserve">Insumos usados: video y transcripción del reto (Gerencia de Hotelería), documentos del reto, investigación de mercado multisectorial, y el análisis del dataset real</w:t>
      </w:r>
      <w:r>
        <w:t xml:space="preserve"> </w:t>
      </w:r>
      <w:r>
        <w:rPr>
          <w:rStyle w:val="VerbatimChar"/>
        </w:rPr>
        <w:t xml:space="preserve">BODEGAS Y STOCK.xlsx</w:t>
      </w:r>
      <w:r>
        <w:t xml:space="preserve">.</w:t>
      </w:r>
    </w:p>
    <w:p>
      <w:pPr>
        <w:pStyle w:val="BodyText"/>
      </w:pPr>
      <w:r>
        <w:t xml:space="preserve">Hallazgos del contexto actual: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Proceso 100% analógico:</w:t>
      </w:r>
      <w:r>
        <w:t xml:space="preserve"> </w:t>
      </w:r>
      <w:r>
        <w:t xml:space="preserve">se imprimen hojas, el personal cuenta y anota a mano, y luego</w:t>
      </w:r>
      <w:r>
        <w:t xml:space="preserve"> </w:t>
      </w:r>
      <w:r>
        <w:rPr>
          <w:bCs/>
          <w:b/>
        </w:rPr>
        <w:t xml:space="preserve">otra persona</w:t>
      </w:r>
      <w:r>
        <w:t xml:space="preserve"> </w:t>
      </w:r>
      <w:r>
        <w:t xml:space="preserve">digita en Oracle. Dualidad</w:t>
      </w:r>
      <w:r>
        <w:t xml:space="preserve"> </w:t>
      </w:r>
      <w:r>
        <w:t xml:space="preserve">“</w:t>
      </w:r>
      <w:r>
        <w:t xml:space="preserve">contador + digitador</w:t>
      </w:r>
      <w:r>
        <w:t xml:space="preserve">”</w:t>
      </w:r>
      <w:r>
        <w:t xml:space="preserve"> </w:t>
      </w:r>
      <w:r>
        <w:t xml:space="preserve">que duplica el esfuerzo.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por caligrafía:</w:t>
      </w:r>
      <w:r>
        <w:t xml:space="preserve"> </w:t>
      </w:r>
      <w:r>
        <w:t xml:space="preserve">interpretar mal la escritura genera errores masivos (confundir</w:t>
      </w:r>
      <w:r>
        <w:t xml:space="preserve"> </w:t>
      </w:r>
      <w:r>
        <w:rPr>
          <w:bCs/>
          <w:b/>
        </w:rPr>
        <w:t xml:space="preserve">90 kg con 900 kg</w:t>
      </w:r>
      <w:r>
        <w:t xml:space="preserve">), que obligan a</w:t>
      </w:r>
      <w:r>
        <w:t xml:space="preserve"> </w:t>
      </w:r>
      <w:r>
        <w:rPr>
          <w:bCs/>
          <w:b/>
        </w:rPr>
        <w:t xml:space="preserve">doble validación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Latencia de ~2 días</w:t>
      </w:r>
      <w:r>
        <w:t xml:space="preserve"> </w:t>
      </w:r>
      <w:r>
        <w:t xml:space="preserve">entre el conteo físico y el dato en el sistema → sin inventario en tiempo real.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Escala y complejidad:</w:t>
      </w:r>
      <w:r>
        <w:t xml:space="preserve"> </w:t>
      </w:r>
      <w:r>
        <w:t xml:space="preserve">48 almacenes en Piscilago, 107+ artículos por almacén; el DIB maneja aún más referencias. Categorías heterogéneas: cerrados, abiertos (pesaje fraccionado), transformados por receta, químicos, insumos de zoológico.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Restricciones:</w:t>
      </w:r>
      <w:r>
        <w:t xml:space="preserve"> </w:t>
      </w:r>
      <w:r>
        <w:t xml:space="preserve">prohibido el celular personal (sí tablets corporativas); red corporativa disponible;</w:t>
      </w:r>
      <w:r>
        <w:t xml:space="preserve"> </w:t>
      </w:r>
      <w:r>
        <w:rPr>
          <w:bCs/>
          <w:b/>
        </w:rPr>
        <w:t xml:space="preserve">conteo ciego</w:t>
      </w:r>
      <w:r>
        <w:t xml:space="preserve"> </w:t>
      </w:r>
      <w:r>
        <w:t xml:space="preserve">obligatorio;</w:t>
      </w:r>
      <w:r>
        <w:t xml:space="preserve"> </w:t>
      </w:r>
      <w:r>
        <w:rPr>
          <w:bCs/>
          <w:b/>
        </w:rPr>
        <w:t xml:space="preserve">no todos los productos tienen ID único</w:t>
      </w:r>
      <w:r>
        <w:t xml:space="preserve"> </w:t>
      </w:r>
      <w:r>
        <w:t xml:space="preserve">ni código de barras; salida debe ser compatible con Oracle;</w:t>
      </w:r>
      <w:r>
        <w:t xml:space="preserve"> </w:t>
      </w:r>
      <w:r>
        <w:rPr>
          <w:bCs/>
          <w:b/>
        </w:rPr>
        <w:t xml:space="preserve">lógica explicable</w:t>
      </w:r>
      <w:r>
        <w:t xml:space="preserve"> </w:t>
      </w:r>
      <w:r>
        <w:t xml:space="preserve">(no caja negra).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Evidencia en los datos propios:</w:t>
      </w:r>
      <w:r>
        <w:t xml:space="preserve"> </w:t>
      </w:r>
      <w:r>
        <w:t xml:space="preserve">~5,6% de saldos negativos (descuadres), ~18% de ítems sin código único, ~23% con decimales (pesaje) y unidades mixtas (Unidad/Kg/L/Porción).</w:t>
      </w:r>
    </w:p>
    <w:bookmarkEnd w:id="21"/>
    <w:bookmarkStart w:id="22" w:name="Xab88e17eb23a2b7a2e3ee041ca99c3be2e6d91d"/>
    <w:p>
      <w:pPr>
        <w:pStyle w:val="Heading3"/>
      </w:pPr>
      <w:r>
        <w:t xml:space="preserve">Fase 2 · DEFINIR (converger: enfocar el problema)</w:t>
      </w:r>
    </w:p>
    <w:p>
      <w:pPr>
        <w:pStyle w:val="FirstParagraph"/>
      </w:pPr>
      <w:r>
        <w:rPr>
          <w:bCs/>
          <w:b/>
        </w:rPr>
        <w:t xml:space="preserve">Síntomas observados →</w:t>
      </w:r>
      <w:r>
        <w:t xml:space="preserve"> </w:t>
      </w:r>
      <w:r>
        <w:t xml:space="preserve">todos apuntan a una misma raíz:</w:t>
      </w:r>
      <w:r>
        <w:t xml:space="preserve"> </w:t>
      </w:r>
      <w:r>
        <w:rPr>
          <w:bCs/>
          <w:b/>
        </w:rPr>
        <w:t xml:space="preserve">el dato del inventario nace roto o llega tarde porque se captura en papel y se digita después.</w:t>
      </w:r>
    </w:p>
    <w:p>
      <w:pPr>
        <w:pStyle w:val="BodyText"/>
      </w:pPr>
      <w:r>
        <w:rPr>
          <w:bCs/>
          <w:b/>
        </w:rPr>
        <w:t xml:space="preserve">Declaración del problema (problem statement):</w:t>
      </w:r>
    </w:p>
    <w:p>
      <w:pPr>
        <w:pStyle w:val="BlockText"/>
      </w:pPr>
      <w:r>
        <w:rPr>
          <w:iCs/>
          <w:i/>
        </w:rPr>
        <w:t xml:space="preserve">El personal de bodega de Colsubsidio (Piscilago, hoteles, DIB) captura el conteo físico en papel y lo digita después en Oracle. Este proceso en dos pasos es lento (hasta 2 días de latencia), propenso a error humano (~2%, con casos críticos como 90 vs 900 kg) y exige doble validación, lo que impide tener inventarios confiables en tiempo real y dificulta decisiones de compra, control de merma y auditoría.</w:t>
      </w:r>
    </w:p>
    <w:p>
      <w:pPr>
        <w:pStyle w:val="FirstParagraph"/>
      </w:pPr>
      <w:r>
        <w:rPr>
          <w:bCs/>
          <w:b/>
        </w:rPr>
        <w:t xml:space="preserve">Pregunta guía (How Might We):</w:t>
      </w:r>
    </w:p>
    <w:p>
      <w:pPr>
        <w:pStyle w:val="BlockText"/>
      </w:pPr>
      <w:r>
        <w:rPr>
          <w:iCs/>
          <w:i/>
        </w:rPr>
        <w:t xml:space="preserve">¿Cómo podríamos capturar el conteo físico en el punto de trabajo —sin papel y sin digitación posterior— produciendo un dato confiable, validado y trazable, listo para cargar en Oracle?</w:t>
      </w:r>
    </w:p>
    <w:p>
      <w:pPr>
        <w:pStyle w:val="FirstParagraph"/>
      </w:pPr>
      <w:r>
        <w:rPr>
          <w:bCs/>
          <w:b/>
        </w:rPr>
        <w:t xml:space="preserve">Persona principal:</w:t>
      </w:r>
      <w:r>
        <w:t xml:space="preserve"> </w:t>
      </w:r>
      <w:r>
        <w:rPr>
          <w:iCs/>
          <w:i/>
        </w:rPr>
        <w:t xml:space="preserve">Operario de bodega (contador).</w:t>
      </w:r>
      <w:r>
        <w:t xml:space="preserve"> </w:t>
      </w:r>
      <w:r>
        <w:t xml:space="preserve">Trabaja de pie, con las manos ocupadas moviendo producto, en un ambiente con ruido, contando a ciegas. Necesita una herramienta</w:t>
      </w:r>
      <w:r>
        <w:t xml:space="preserve"> </w:t>
      </w:r>
      <w:r>
        <w:rPr>
          <w:bCs/>
          <w:b/>
        </w:rPr>
        <w:t xml:space="preserve">autogestionada</w:t>
      </w:r>
      <w:r>
        <w:t xml:space="preserve">, sin manuales complejos, que no lo obligue a soltar el producto para escribir.</w:t>
      </w:r>
    </w:p>
    <w:p>
      <w:pPr>
        <w:pStyle w:val="BodyText"/>
      </w:pPr>
      <w:r>
        <w:rPr>
          <w:bCs/>
          <w:b/>
        </w:rPr>
        <w:t xml:space="preserve">Criterios de éxito (para elegir solución):</w:t>
      </w:r>
      <w:r>
        <w:t xml:space="preserve"> </w:t>
      </w:r>
      <w:r>
        <w:t xml:space="preserve">elimina papel y digitación · reduce error de unidades · respeta conteo ciego · funciona en tablet corporativa · export a Oracle · lógica explicable ·</w:t>
      </w:r>
      <w:r>
        <w:t xml:space="preserve"> </w:t>
      </w:r>
      <w:r>
        <w:rPr>
          <w:bCs/>
          <w:b/>
        </w:rPr>
        <w:t xml:space="preserve">construible como MVP en 2,5 días</w:t>
      </w:r>
      <w:r>
        <w:t xml:space="preserve"> </w:t>
      </w:r>
      <w:r>
        <w:t xml:space="preserve">· escalable a toda la 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diamante-2-la-solución"/>
    <w:p>
      <w:pPr>
        <w:pStyle w:val="Heading2"/>
      </w:pPr>
      <w:r>
        <w:t xml:space="preserve">DIAMANTE 2 — La solución</w:t>
      </w:r>
    </w:p>
    <w:bookmarkStart w:id="24" w:name="X0d2b8329f6bd9e1489e8ac7c80e6aac3b25616a"/>
    <w:p>
      <w:pPr>
        <w:pStyle w:val="Heading3"/>
      </w:pPr>
      <w:r>
        <w:t xml:space="preserve">Fase 3 · DESARROLLAR (divergir: generar y comparar opciones)</w:t>
      </w:r>
    </w:p>
    <w:p>
      <w:pPr>
        <w:pStyle w:val="FirstParagraph"/>
      </w:pPr>
      <w:r>
        <w:t xml:space="preserve">Se evaluaron cinco enfoques contra los criterios: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Captura por VOZ + confirmación en pantalla</w:t>
            </w:r>
            <w:r>
              <w:t xml:space="preserve"> </w:t>
            </w:r>
            <w:r>
              <w:t xml:space="preserve">(multimodal)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Manos libres; elimina papel y digitación; funciona sin código de barras; explicable; construible en 2,5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ruido/alucinación → se mitiga con confirmación visual + ITN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conversacional (chatbot) que guía el conteo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 de aprendizaje baja; reutiliza patrones de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lento (turnos de conversación); menos</w:t>
            </w:r>
            <w:r>
              <w:t xml:space="preserve"> </w:t>
            </w:r>
            <w:r>
              <w:t xml:space="preserve">“</w:t>
            </w:r>
            <w:r>
              <w:t xml:space="preserve">manos libres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Complemento / fase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código de barras / RFID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preciso donde hay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18% de ítems no tienen código</w:t>
            </w:r>
            <w:r>
              <w:t xml:space="preserve">; RFID costoso; no resuelve pesaje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Descartada como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Visión por computador (contar por foto)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Inmaduro para conteo de SKU heterogéneos; difícil en 2,5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futura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móvil con formularios táctiles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de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Sigue siendo</w:t>
            </w:r>
            <w:r>
              <w:t xml:space="preserve"> </w:t>
            </w:r>
            <w:r>
              <w:t xml:space="preserve">“</w:t>
            </w:r>
            <w:r>
              <w:t xml:space="preserve">digitar</w:t>
            </w:r>
            <w:r>
              <w:t xml:space="preserve">”</w:t>
            </w:r>
            <w:r>
              <w:t xml:space="preserve">; no elimina el cuello de botella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diferencia</w:t>
            </w:r>
          </w:p>
        </w:tc>
      </w:tr>
    </w:tbl>
    <w:bookmarkEnd w:id="24"/>
    <w:bookmarkStart w:id="25" w:name="X1702608fb9f7a1b4c7e7fbfafd715c169b89f2b"/>
    <w:p>
      <w:pPr>
        <w:pStyle w:val="Heading3"/>
      </w:pPr>
      <w:r>
        <w:t xml:space="preserve">Fase 4 · ENTREGAR (converger: la solución a construir)</w:t>
      </w:r>
    </w:p>
    <w:p>
      <w:pPr>
        <w:pStyle w:val="FirstParagraph"/>
      </w:pPr>
      <w:r>
        <w:rPr>
          <w:bCs/>
          <w:b/>
        </w:rPr>
        <w:t xml:space="preserve">Solución recomendada — MVP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Contador de Inventario por Voz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Un flujo manos libres sobre</w:t>
      </w:r>
      <w:r>
        <w:t xml:space="preserve"> </w:t>
      </w:r>
      <w:r>
        <w:rPr>
          <w:bCs/>
          <w:b/>
        </w:rPr>
        <w:t xml:space="preserve">tablet corporativa</w:t>
      </w:r>
      <w:r>
        <w:t xml:space="preserve"> </w:t>
      </w:r>
      <w:r>
        <w:t xml:space="preserve">en el que el operario</w:t>
      </w:r>
      <w:r>
        <w:t xml:space="preserve"> </w:t>
      </w:r>
      <w:r>
        <w:rPr>
          <w:bCs/>
          <w:b/>
        </w:rPr>
        <w:t xml:space="preserve">dice</w:t>
      </w:r>
      <w:r>
        <w:t xml:space="preserve"> </w:t>
      </w:r>
      <w:r>
        <w:t xml:space="preserve">“</w:t>
      </w:r>
      <w:r>
        <w:t xml:space="preserve">artículo, unidad y cantidad</w:t>
      </w:r>
      <w:r>
        <w:t xml:space="preserve">”</w:t>
      </w:r>
      <w:r>
        <w:t xml:space="preserve">, el sistema lo</w:t>
      </w:r>
      <w:r>
        <w:t xml:space="preserve"> </w:t>
      </w:r>
      <w:r>
        <w:rPr>
          <w:bCs/>
          <w:b/>
        </w:rPr>
        <w:t xml:space="preserve">estructura en el acto</w:t>
      </w:r>
      <w:r>
        <w:t xml:space="preserve"> </w:t>
      </w:r>
      <w:r>
        <w:t xml:space="preserve">y le</w:t>
      </w:r>
      <w:r>
        <w:t xml:space="preserve"> </w:t>
      </w:r>
      <w:r>
        <w:rPr>
          <w:bCs/>
          <w:b/>
        </w:rPr>
        <w:t xml:space="preserve">muestra el dato para confirmar</w:t>
      </w:r>
      <w:r>
        <w:t xml:space="preserve"> </w:t>
      </w:r>
      <w:r>
        <w:t xml:space="preserve">antes de guardarlo. Flujo de extremo a extremo:</w:t>
      </w:r>
    </w:p>
    <w:p>
      <w:pPr>
        <w:pStyle w:val="BodyText"/>
      </w:pPr>
      <w:r>
        <w:rPr>
          <w:bCs/>
          <w:b/>
        </w:rPr>
        <w:t xml:space="preserve">Voz → ASR (español es-CO) → Normalización Inversa de Texto (ITN: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novecientos</w:t>
      </w:r>
      <w:r>
        <w:rPr>
          <w:bCs/>
          <w:b/>
        </w:rPr>
        <w:t xml:space="preserve">”</w:t>
      </w:r>
      <w:r>
        <w:rPr>
          <w:bCs/>
          <w:b/>
        </w:rPr>
        <w:t xml:space="preserve">→900) → Estructura {Artículo, UM, Cantidad} → Confirmación en pantalla (+ corrección táctil) → Motor de anomalías (negativos, saltos x10, ítem sin código) → Export en formato Oracle (FBDI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 Count Sequences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REST).</w:t>
      </w:r>
    </w:p>
    <w:p>
      <w:pPr>
        <w:pStyle w:val="BodyText"/>
      </w:pPr>
      <w:r>
        <w:t xml:space="preserve">Por qué gana frente a los criterios: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Elimina papel y digitación:</w:t>
      </w:r>
      <w:r>
        <w:t xml:space="preserve"> </w:t>
      </w:r>
      <w:r>
        <w:t xml:space="preserve">se cuenta y registra en un solo paso.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Ataca el error de unidades:</w:t>
      </w:r>
      <w:r>
        <w:t xml:space="preserve"> </w:t>
      </w:r>
      <w:r>
        <w:t xml:space="preserve">ITN + confirmación visual del número neutralizan el</w:t>
      </w:r>
      <w:r>
        <w:t xml:space="preserve"> </w:t>
      </w:r>
      <w:r>
        <w:t xml:space="preserve">“</w:t>
      </w:r>
      <w:r>
        <w:t xml:space="preserve">90 vs 900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Respeta el conteo ciego:</w:t>
      </w:r>
      <w:r>
        <w:t xml:space="preserve"> </w:t>
      </w:r>
      <w:r>
        <w:t xml:space="preserve">nunca muestra el stock teórico; el operario declara lo que 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Funciona sin código de barras:</w:t>
      </w:r>
      <w:r>
        <w:t xml:space="preserve"> </w:t>
      </w:r>
      <w:r>
        <w:t xml:space="preserve">búsqueda por nombre contra el catálogo (clave, porque 18% no tiene ID).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Lógica explicable:</w:t>
      </w:r>
      <w:r>
        <w:t xml:space="preserve"> </w:t>
      </w:r>
      <w:r>
        <w:t xml:space="preserve">el usuario siempre ve y valida el dato → no es caja negra (requisito del reto).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Viable y escalable:</w:t>
      </w:r>
      <w:r>
        <w:t xml:space="preserve"> </w:t>
      </w:r>
      <w:r>
        <w:t xml:space="preserve">MVP con 1–2 bodegas en 2,5 días; misma app para toda la red y el DIB.</w:t>
      </w:r>
    </w:p>
    <w:p>
      <w:pPr>
        <w:pStyle w:val="FirstParagraph"/>
      </w:pPr>
      <w:r>
        <w:rPr>
          <w:bCs/>
          <w:b/>
        </w:rPr>
        <w:t xml:space="preserve">Alcance del MVP para el sábado (para no sobre-prometer):</w:t>
      </w:r>
    </w:p>
    <w:p>
      <w:pPr>
        <w:numPr>
          <w:ilvl w:val="0"/>
          <w:numId w:val="1003"/>
        </w:numPr>
        <w:pStyle w:val="Compact"/>
      </w:pPr>
      <w:r>
        <w:t xml:space="preserve">Captura por voz real de una bodega de muestra (dataset curado de</w:t>
      </w:r>
      <w:r>
        <w:t xml:space="preserve"> </w:t>
      </w:r>
      <w:r>
        <w:rPr>
          <w:rStyle w:val="VerbatimChar"/>
        </w:rPr>
        <w:t xml:space="preserve">BODEGAS Y STOCK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Confirmación en pantalla + corrección táctil.</w:t>
      </w:r>
    </w:p>
    <w:p>
      <w:pPr>
        <w:numPr>
          <w:ilvl w:val="0"/>
          <w:numId w:val="1003"/>
        </w:numPr>
        <w:pStyle w:val="Compact"/>
      </w:pPr>
      <w:r>
        <w:t xml:space="preserve">Detección de al menos una anomalía en vivo (p. ej. saldo negativo o salto x10).</w:t>
      </w:r>
    </w:p>
    <w:p>
      <w:pPr>
        <w:numPr>
          <w:ilvl w:val="0"/>
          <w:numId w:val="1003"/>
        </w:numPr>
        <w:pStyle w:val="Compact"/>
      </w:pPr>
      <w:r>
        <w:t xml:space="preserve">Generación del archivo de export con estructura Oracle.</w:t>
      </w:r>
    </w:p>
    <w:p>
      <w:pPr>
        <w:numPr>
          <w:ilvl w:val="0"/>
          <w:numId w:val="1003"/>
        </w:numPr>
        <w:pStyle w:val="Compact"/>
      </w:pPr>
      <w:r>
        <w:t xml:space="preserve">Speech de 2 min + 5 slides + video de respaldo de la demo.</w:t>
      </w:r>
    </w:p>
    <w:p>
      <w:pPr>
        <w:pStyle w:val="FirstParagraph"/>
      </w:pPr>
      <w:r>
        <w:rPr>
          <w:bCs/>
          <w:b/>
        </w:rPr>
        <w:t xml:space="preserve">Métrica de impacto para el pitch: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2 días de latencia → minutos</w:t>
      </w:r>
      <w:r>
        <w:t xml:space="preserve">; de</w:t>
      </w:r>
      <w:r>
        <w:t xml:space="preserve"> </w:t>
      </w:r>
      <w:r>
        <w:rPr>
          <w:bCs/>
          <w:b/>
        </w:rPr>
        <w:t xml:space="preserve">~2% de error de digitación → cercano a 0</w:t>
      </w:r>
      <w:r>
        <w:t xml:space="preserve"> </w:t>
      </w:r>
      <w:r>
        <w:t xml:space="preserve">con confirmación; techo de industria</w:t>
      </w:r>
      <w:r>
        <w:t xml:space="preserve"> </w:t>
      </w:r>
      <w:r>
        <w:rPr>
          <w:bCs/>
          <w:b/>
        </w:rPr>
        <w:t xml:space="preserve">+30% de productividad / &gt;99,9% de exactitud</w:t>
      </w:r>
      <w:r>
        <w:t xml:space="preserve"> </w:t>
      </w:r>
      <w:r>
        <w:t xml:space="preserve">(Honeywell/VDC; NetSuite). Evidencia local: descuadres, ítems sin código y unidades mixtas presentes hoy en los datos de Colsubsidio.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d0bf404b56258731ab03489ea26f603126d95e2"/>
    <w:p>
      <w:pPr>
        <w:pStyle w:val="Heading2"/>
      </w:pPr>
      <w:r>
        <w:t xml:space="preserve">Resumen de una línea (para el equipo y el jurado)</w:t>
      </w:r>
    </w:p>
    <w:p>
      <w:pPr>
        <w:pStyle w:val="Block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el inventario se captura en papel y se digita después → lento, con error y sin tiempo real.</w:t>
      </w:r>
      <w:r>
        <w:t xml:space="preserve"> </w:t>
      </w:r>
      <w:r>
        <w:rPr>
          <w:bCs/>
          <w:b/>
        </w:rPr>
        <w:t xml:space="preserve">Solución:</w:t>
      </w:r>
      <w:r>
        <w:t xml:space="preserve"> </w:t>
      </w:r>
      <w:r>
        <w:t xml:space="preserve">capturarlo por</w:t>
      </w:r>
      <w:r>
        <w:t xml:space="preserve"> </w:t>
      </w:r>
      <w:r>
        <w:rPr>
          <w:bCs/>
          <w:b/>
        </w:rPr>
        <w:t xml:space="preserve">voz con confirmación visible</w:t>
      </w:r>
      <w:r>
        <w:t xml:space="preserve"> </w:t>
      </w:r>
      <w:r>
        <w:t xml:space="preserve">en tablet, validado y listo para Oracle — un solo paso, sin papel, explicable y escalable.</w:t>
      </w:r>
    </w:p>
    <w:p>
      <w:pPr>
        <w:pStyle w:val="FirstParagraph"/>
      </w:pPr>
      <w:r>
        <w:rPr>
          <w:iCs/>
          <w:i/>
        </w:rPr>
        <w:t xml:space="preserve">Fuentes de respaldo: video y transcripción del reto;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BODEGAS Y STOCK.xlsx</w:t>
      </w:r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hyperlink r:id="rId27">
        <w:r>
          <w:rPr>
            <w:rStyle w:val="Hyperlink"/>
            <w:iCs/>
            <w:i/>
          </w:rPr>
          <w:t xml:space="preserve">Honeywell/VDC Research</w:t>
        </w:r>
      </w:hyperlink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NetSuite — Voice Picking</w:t>
        </w:r>
      </w:hyperlink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hyperlink r:id="rId29">
        <w:r>
          <w:rPr>
            <w:rStyle w:val="Hyperlink"/>
            <w:iCs/>
            <w:i/>
          </w:rPr>
          <w:t xml:space="preserve">Gladia — ITN</w:t>
        </w:r>
      </w:hyperlink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hyperlink r:id="rId30">
        <w:r>
          <w:rPr>
            <w:rStyle w:val="Hyperlink"/>
            <w:iCs/>
            <w:i/>
          </w:rPr>
          <w:t xml:space="preserve">Oracle — Import Count Sequences</w:t>
        </w:r>
      </w:hyperlink>
      <w:r>
        <w:rPr>
          <w:iCs/>
          <w:i/>
        </w:rPr>
        <w:t xml:space="preserve">. Ver el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Análisis de Mercado e Industria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para el detalle completo de cifras y enlaces.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ocs.oracle.com/en/cloud/saas/supply-chain-and-manufacturing/25c/faspc/import-count-sequences.html" TargetMode="External" /><Relationship Type="http://schemas.openxmlformats.org/officeDocument/2006/relationships/hyperlink" Id="rId27" Target="https://renovotec.com/wordpress/wp-content/uploads/Honeywell-Voice-VDC-Study-WP.pdf" TargetMode="External" /><Relationship Type="http://schemas.openxmlformats.org/officeDocument/2006/relationships/hyperlink" Id="rId29" Target="https://www.gladia.io/blog/text-normalization-speech-recognition" TargetMode="External" /><Relationship Type="http://schemas.openxmlformats.org/officeDocument/2006/relationships/hyperlink" Id="rId28" Target="https://www.netsuite.com/portal/resource/articles/inventory-management/voice-picking.s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oracle.com/en/cloud/saas/supply-chain-and-manufacturing/25c/faspc/import-count-sequences.html" TargetMode="External" /><Relationship Type="http://schemas.openxmlformats.org/officeDocument/2006/relationships/hyperlink" Id="rId27" Target="https://renovotec.com/wordpress/wp-content/uploads/Honeywell-Voice-VDC-Study-WP.pdf" TargetMode="External" /><Relationship Type="http://schemas.openxmlformats.org/officeDocument/2006/relationships/hyperlink" Id="rId29" Target="https://www.gladia.io/blog/text-normalization-speech-recognition" TargetMode="External" /><Relationship Type="http://schemas.openxmlformats.org/officeDocument/2006/relationships/hyperlink" Id="rId28" Target="https://www.netsuite.com/portal/resource/articles/inventory-management/voice-picking.s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2026-07-23T18:35:41Z</dcterms:created>
  <dcterms:modified xsi:type="dcterms:W3CDTF">2026-07-23T18:35:41Z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