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Distinction, Relation, Constraint and EASTER</w:t>
      </w:r>
    </w:p>
    <w:p>
      <w:pPr>
        <w:jc w:val="center"/>
      </w:pPr>
      <w:r>
        <w:rPr>
          <w:b/>
          <w:sz w:val="30"/>
        </w:rPr>
        <w:t>Separating Functional Meaning from Consequential Continuity in Agent Systems</w:t>
      </w:r>
    </w:p>
    <w:p/>
    <w:p>
      <w:pPr>
        <w:jc w:val="center"/>
      </w:pPr>
      <w:r>
        <w:t>Initial working paper — Draft 0.2</w:t>
      </w:r>
    </w:p>
    <w:p>
      <w:pPr>
        <w:jc w:val="center"/>
      </w:pPr>
      <w:r>
        <w:rPr>
          <w:b/>
          <w:sz w:val="24"/>
        </w:rPr>
        <w:t>Co-created by Nathan Woolen and ChatGPT (OpenAI)</w:t>
      </w:r>
    </w:p>
    <w:p>
      <w:pPr>
        <w:jc w:val="center"/>
      </w:pPr>
      <w:r>
        <w:t>25 September 2026</w:t>
      </w:r>
    </w:p>
    <w:p/>
    <w:tbl>
      <w:tblPr>
        <w:tblW w:type="auto" w:w="0"/>
        <w:jc w:val="center"/>
        <w:tblLook w:firstColumn="1" w:firstRow="1" w:lastColumn="0" w:lastRow="0" w:noHBand="0" w:noVBand="1" w:val="04A0"/>
      </w:tblPr>
      <w:tblGrid>
        <w:gridCol w:w="9792"/>
      </w:tblGrid>
      <w:tr>
        <w:tc>
          <w:tcPr>
            <w:tcW w:type="dxa" w:w="9792"/>
            <w:shd w:fill="EEF3F8"/>
            <w:vAlign w:val="center"/>
          </w:tcPr>
          <w:p>
            <w:r/>
            <w:r>
              <w:rPr>
                <w:b w:val="0"/>
                <w:sz w:val="18"/>
              </w:rPr>
              <w:t>Authorship and AI-use statement. This manuscript was developed through sustained human–AI co-creation. Nathan Woolen originated and directed the research program, selected and accepted the research claims, performed or directed the underlying EASTER experiments and reverse reviews, and retains human responsibility for submission and factual verification. ChatGPT (OpenAI) participated as a co-creative research partner in conceptual reduction, adversarial questioning, synthesis, source gathering, and drafting. Because publication venues may not recognize an AI system as an accountable legal/scientific author, the final submission should adapt the byline to the venue’s authorship policy while preserving this contribution disclosure.</w:t>
            </w:r>
          </w:p>
        </w:tc>
      </w:tr>
    </w:tbl>
    <w:p>
      <w:r>
        <w:br w:type="page"/>
      </w:r>
    </w:p>
    <w:p>
      <w:pPr>
        <w:pStyle w:val="Heading1"/>
      </w:pPr>
      <w:r>
        <w:t>Abstract</w:t>
      </w:r>
    </w:p>
    <w:p>
      <w:r>
        <w:t>Agent systems are commonly discussed in terms of memory, context, persistence, and orchestration, but these terms conflate at least two architectural problems: whether a system can represent enough structure for work to remain functionally meaningful, and whether consequential work can remain inspectable and recoverable across changes in session, model, agent, runtime, or machine. This paper introduces two independently derived lenses. DRC — Distinction, Relation, and Constraint — is proposed as a candidate minimal lens for functional or structural meaning in agent userland. EASTER — Evidence, Authority, State, Transition, Exception, and Receipt — is a six-primitive model and reference kernel for consequential continuity. We apply both lenses to a frozen, pre-disclosure corpus of six materially different agent architectures: Hermes Agent, OpenClaw, LangGraph, Anthropic Claude Agent SDK, OpenAI Agents SDK, and Google Antigravity. Across the corpus, DRC coverage is invariant (3/3 covered), while independently conducted EASTER reviews vary (0, 0, 0, 0, 1, and 3 gaps respectively). This pattern does not establish universality or statistical independence, but it is consistent with the hypothesis that functional meaning and consequential continuity are separable architectural properties. We further argue that EASTER can operate as an external, vendor-neutral continuity layer, provided userland exposes enough consequential structure for projection. The paper contributes a bounded vocabulary, an adversarial reverse-review method, a comparative architectural result, and an open implementation path for studying semantic work-state portability.</w:t>
      </w:r>
    </w:p>
    <w:p>
      <w:r>
        <w:t>Keywords: agent systems; continuity; memory; state; provenance; authority; durable execution; semantic portability; DRC; EASTER</w:t>
      </w:r>
    </w:p>
    <w:p>
      <w:pPr>
        <w:pStyle w:val="Heading1"/>
      </w:pPr>
      <w:r>
        <w:t>1. Introduction</w:t>
      </w:r>
    </w:p>
    <w:p>
      <w:r>
        <w:t>Modern agent systems increasingly preserve conversations, tool calls, checkpoints, memories, workflow state, and execution traces. Yet a system may appear to “remember” while still losing the facts required to continue consequential work correctly. Conversely, a system may preserve extensive durable history while failing to preserve the distinctions, relations, or constraints needed to interpret that history. We therefore separate two questions that are often collapsed.</w:t>
      </w:r>
    </w:p>
    <w:p>
      <w:pPr>
        <w:pStyle w:val="Equation"/>
        <w:jc w:val="center"/>
      </w:pPr>
      <w:r>
        <w:t>Functional meaning: can the system represent what things are, how they relate, and what configurations are admissible?</w:t>
      </w:r>
    </w:p>
    <w:p>
      <w:pPr>
        <w:pStyle w:val="Equation"/>
        <w:jc w:val="center"/>
      </w:pPr>
      <w:r>
        <w:t>Consequential continuity: can the system preserve what happened, under whose authority, from which state, with what evidence and outcome?</w:t>
      </w:r>
    </w:p>
    <w:p>
      <w:r>
        <w:t>The first question led to DRC: Distinction, Relation, Constraint. The second led independently to EASTER: Evidence, Authority, State, Transition, Exception, Receipt. EASTER predates DRC in this research program. Its primitives were developed through implementation, subtraction, adversarial testing, recovery experiments, and whole-kernel review. DRC emerged later from attempts to reduce the structures needed for functional meaning. This chronology matters because the two lenses were not jointly designed to fit the comparative corpus.</w:t>
      </w:r>
    </w:p>
    <w:p>
      <w:r>
        <w:t>Our central hypothesis is deliberately bounded: functional meaning and consequential continuity are separable architectural properties. We do not claim to solve philosophical meaning, consciousness, intrinsic intentionality, or model understanding. DRC is restricted to functional/structural meaning: the information a system must be able to differentiate, relate, and constrain for work to be interpreted and continued. EASTER is restricted to consequential continuity: the durable record needed to inspect and continue work without silently converting guesses into authoritative history.</w:t>
      </w:r>
    </w:p>
    <w:p>
      <w:pPr>
        <w:pStyle w:val="Heading1"/>
      </w:pPr>
      <w:r>
        <w:t>2. Definitions and terminology</w:t>
      </w:r>
    </w:p>
    <w:p>
      <w:r>
        <w:t>The terms below are used in a deliberately architectural sense. Several have broader meanings in operating systems, philosophy, formal logic, and AI practice; these definitions specify the scope intended in this paper.</w:t>
      </w:r>
    </w:p>
    <w:tbl>
      <w:tblPr>
        <w:tblW w:type="auto" w:w="0"/>
        <w:jc w:val="center"/>
        <w:tblLayout w:type="autofit"/>
        <w:tblLook w:firstColumn="1" w:firstRow="1" w:lastColumn="0" w:lastRow="0" w:noHBand="0" w:noVBand="1" w:val="04A0"/>
      </w:tblPr>
      <w:tblGrid>
        <w:gridCol w:w="4896"/>
        <w:gridCol w:w="4896"/>
      </w:tblGrid>
      <w:tr>
        <w:trPr>
          <w:cantSplit/>
        </w:trPr>
        <w:tc>
          <w:tcPr>
            <w:tcW w:type="dxa" w:w="2376"/>
            <w:vAlign w:val="top"/>
            <w:shd w:fill="D9E6F2"/>
          </w:tcPr>
          <w:p>
            <w:pPr>
              <w:spacing w:after="40"/>
            </w:pPr>
            <w:r>
              <w:rPr>
                <w:sz w:val="18"/>
              </w:rPr>
            </w:r>
            <w:r>
              <w:rPr>
                <w:b/>
                <w:sz w:val="18"/>
              </w:rPr>
              <w:t>Term</w:t>
            </w:r>
          </w:p>
        </w:tc>
        <w:tc>
          <w:tcPr>
            <w:tcW w:type="dxa" w:w="8208"/>
            <w:vAlign w:val="top"/>
            <w:shd w:fill="D9E6F2"/>
          </w:tcPr>
          <w:p>
            <w:pPr>
              <w:spacing w:after="40"/>
            </w:pPr>
            <w:r>
              <w:rPr>
                <w:sz w:val="18"/>
              </w:rPr>
            </w:r>
            <w:r>
              <w:rPr>
                <w:b/>
                <w:sz w:val="18"/>
              </w:rPr>
              <w:t>Definition used in this paper</w:t>
            </w:r>
          </w:p>
        </w:tc>
      </w:tr>
      <w:tr>
        <w:trPr>
          <w:cantSplit/>
        </w:trPr>
        <w:tc>
          <w:tcPr>
            <w:tcW w:type="dxa" w:w="2376"/>
            <w:vAlign w:val="top"/>
          </w:tcPr>
          <w:p>
            <w:pPr>
              <w:spacing w:after="40"/>
            </w:pPr>
            <w:r>
              <w:rPr>
                <w:sz w:val="18"/>
              </w:rPr>
            </w:r>
            <w:r>
              <w:rPr>
                <w:b w:val="0"/>
                <w:sz w:val="18"/>
              </w:rPr>
              <w:t>Agent system</w:t>
            </w:r>
          </w:p>
        </w:tc>
        <w:tc>
          <w:tcPr>
            <w:tcW w:type="dxa" w:w="8208"/>
            <w:vAlign w:val="top"/>
          </w:tcPr>
          <w:p>
            <w:pPr>
              <w:spacing w:after="40"/>
            </w:pPr>
            <w:r>
              <w:rPr>
                <w:sz w:val="18"/>
              </w:rPr>
            </w:r>
            <w:r>
              <w:rPr>
                <w:sz w:val="18"/>
              </w:rPr>
              <w:t>A software system in which one or more model-driven agents interpret context, select or invoke capabilities, and produce actions or outputs over one or more execution steps.</w:t>
            </w:r>
          </w:p>
        </w:tc>
      </w:tr>
      <w:tr>
        <w:trPr>
          <w:cantSplit/>
        </w:trPr>
        <w:tc>
          <w:tcPr>
            <w:tcW w:type="dxa" w:w="2376"/>
            <w:vAlign w:val="top"/>
          </w:tcPr>
          <w:p>
            <w:pPr>
              <w:spacing w:after="40"/>
            </w:pPr>
            <w:r>
              <w:rPr>
                <w:sz w:val="18"/>
              </w:rPr>
            </w:r>
            <w:r>
              <w:rPr>
                <w:b w:val="0"/>
                <w:sz w:val="18"/>
              </w:rPr>
              <w:t>Userland</w:t>
            </w:r>
          </w:p>
        </w:tc>
        <w:tc>
          <w:tcPr>
            <w:tcW w:type="dxa" w:w="8208"/>
            <w:vAlign w:val="top"/>
          </w:tcPr>
          <w:p>
            <w:pPr>
              <w:spacing w:after="40"/>
            </w:pPr>
            <w:r>
              <w:rPr>
                <w:sz w:val="18"/>
              </w:rPr>
            </w:r>
            <w:r>
              <w:rPr>
                <w:sz w:val="18"/>
              </w:rPr>
              <w:t>The semantic/application layer outside the EASTER kernel where users, agents, frameworks, prompts, tools, policies, memories, domain models, and application logic determine what work means. “Userland” does not imply a particular operating-system privilege level; it marks the side of the EASTER boundary that owns meaning.</w:t>
            </w:r>
          </w:p>
        </w:tc>
      </w:tr>
      <w:tr>
        <w:trPr>
          <w:cantSplit/>
        </w:trPr>
        <w:tc>
          <w:tcPr>
            <w:tcW w:type="dxa" w:w="2376"/>
            <w:vAlign w:val="top"/>
          </w:tcPr>
          <w:p>
            <w:pPr>
              <w:spacing w:after="40"/>
            </w:pPr>
            <w:r>
              <w:rPr>
                <w:sz w:val="18"/>
              </w:rPr>
            </w:r>
            <w:r>
              <w:rPr>
                <w:b w:val="0"/>
                <w:sz w:val="18"/>
              </w:rPr>
              <w:t>Runtime / harness</w:t>
            </w:r>
          </w:p>
        </w:tc>
        <w:tc>
          <w:tcPr>
            <w:tcW w:type="dxa" w:w="8208"/>
            <w:vAlign w:val="top"/>
          </w:tcPr>
          <w:p>
            <w:pPr>
              <w:spacing w:after="40"/>
            </w:pPr>
            <w:r>
              <w:rPr>
                <w:sz w:val="18"/>
              </w:rPr>
            </w:r>
            <w:r>
              <w:rPr>
                <w:sz w:val="18"/>
              </w:rPr>
              <w:t>The execution environment that supplies an agent loop and its surrounding machinery, such as context assembly, tool dispatch, sessions, delegation, persistence, approvals, and model invocation. A runtime may contain userland mechanisms but is not synonymous with userland.</w:t>
            </w:r>
          </w:p>
        </w:tc>
      </w:tr>
      <w:tr>
        <w:trPr>
          <w:cantSplit/>
        </w:trPr>
        <w:tc>
          <w:tcPr>
            <w:tcW w:type="dxa" w:w="2376"/>
            <w:vAlign w:val="top"/>
          </w:tcPr>
          <w:p>
            <w:pPr>
              <w:spacing w:after="40"/>
            </w:pPr>
            <w:r>
              <w:rPr>
                <w:sz w:val="18"/>
              </w:rPr>
            </w:r>
            <w:r>
              <w:rPr>
                <w:b w:val="0"/>
                <w:sz w:val="18"/>
              </w:rPr>
              <w:t>System boundary</w:t>
            </w:r>
          </w:p>
        </w:tc>
        <w:tc>
          <w:tcPr>
            <w:tcW w:type="dxa" w:w="8208"/>
            <w:vAlign w:val="top"/>
          </w:tcPr>
          <w:p>
            <w:pPr>
              <w:spacing w:after="40"/>
            </w:pPr>
            <w:r>
              <w:rPr>
                <w:sz w:val="18"/>
              </w:rPr>
            </w:r>
            <w:r>
              <w:rPr>
                <w:sz w:val="18"/>
              </w:rPr>
              <w:t>The explicitly chosen scope within which a review claim is made. A GAP means the inspected system boundary did not demonstrate the required property; it does not imply that no external component could provide it.</w:t>
            </w:r>
          </w:p>
        </w:tc>
      </w:tr>
      <w:tr>
        <w:trPr>
          <w:cantSplit/>
        </w:trPr>
        <w:tc>
          <w:tcPr>
            <w:tcW w:type="dxa" w:w="2376"/>
            <w:vAlign w:val="top"/>
          </w:tcPr>
          <w:p>
            <w:pPr>
              <w:spacing w:after="40"/>
            </w:pPr>
            <w:r>
              <w:rPr>
                <w:sz w:val="18"/>
              </w:rPr>
            </w:r>
            <w:r>
              <w:rPr>
                <w:b w:val="0"/>
                <w:sz w:val="18"/>
              </w:rPr>
              <w:t>Functional / structural meaning</w:t>
            </w:r>
          </w:p>
        </w:tc>
        <w:tc>
          <w:tcPr>
            <w:tcW w:type="dxa" w:w="8208"/>
            <w:vAlign w:val="top"/>
          </w:tcPr>
          <w:p>
            <w:pPr>
              <w:spacing w:after="40"/>
            </w:pPr>
            <w:r>
              <w:rPr>
                <w:sz w:val="18"/>
              </w:rPr>
            </w:r>
            <w:r>
              <w:rPr>
                <w:sz w:val="18"/>
              </w:rPr>
              <w:t>The operationally usable structure that allows a system to keep relevant distinctions separate, relate them, and restrict admissible interpretations or actions. The term excludes claims about consciousness, phenomenal experience, or intrinsic intentionality.</w:t>
            </w:r>
          </w:p>
        </w:tc>
      </w:tr>
      <w:tr>
        <w:trPr>
          <w:cantSplit/>
        </w:trPr>
        <w:tc>
          <w:tcPr>
            <w:tcW w:type="dxa" w:w="2376"/>
            <w:vAlign w:val="top"/>
          </w:tcPr>
          <w:p>
            <w:pPr>
              <w:spacing w:after="40"/>
            </w:pPr>
            <w:r>
              <w:rPr>
                <w:sz w:val="18"/>
              </w:rPr>
            </w:r>
            <w:r>
              <w:rPr>
                <w:b w:val="0"/>
                <w:sz w:val="18"/>
              </w:rPr>
              <w:t>DRC</w:t>
            </w:r>
          </w:p>
        </w:tc>
        <w:tc>
          <w:tcPr>
            <w:tcW w:type="dxa" w:w="8208"/>
            <w:vAlign w:val="top"/>
          </w:tcPr>
          <w:p>
            <w:pPr>
              <w:spacing w:after="40"/>
            </w:pPr>
            <w:r>
              <w:rPr>
                <w:sz w:val="18"/>
              </w:rPr>
            </w:r>
            <w:r>
              <w:rPr>
                <w:sz w:val="18"/>
              </w:rPr>
              <w:t>The candidate functional-meaning lens: Distinction, Relation, and Constraint. D asks what can remain meaningfully separate; R asks how those distinguishables stand with respect to one another; C asks which alternative relations or successor configurations are admissible.</w:t>
            </w:r>
          </w:p>
        </w:tc>
      </w:tr>
      <w:tr>
        <w:trPr>
          <w:cantSplit/>
        </w:trPr>
        <w:tc>
          <w:tcPr>
            <w:tcW w:type="dxa" w:w="2376"/>
            <w:vAlign w:val="top"/>
          </w:tcPr>
          <w:p>
            <w:pPr>
              <w:spacing w:after="40"/>
            </w:pPr>
            <w:r>
              <w:rPr>
                <w:sz w:val="18"/>
              </w:rPr>
            </w:r>
            <w:r>
              <w:rPr>
                <w:b w:val="0"/>
                <w:sz w:val="18"/>
              </w:rPr>
              <w:t>Consequential representation</w:t>
            </w:r>
          </w:p>
        </w:tc>
        <w:tc>
          <w:tcPr>
            <w:tcW w:type="dxa" w:w="8208"/>
            <w:vAlign w:val="top"/>
          </w:tcPr>
          <w:p>
            <w:pPr>
              <w:spacing w:after="40"/>
            </w:pPr>
            <w:r>
              <w:rPr>
                <w:sz w:val="18"/>
              </w:rPr>
            </w:r>
            <w:r>
              <w:rPr>
                <w:sz w:val="18"/>
              </w:rPr>
              <w:t>The subset or projection of userland meaning treated as important enough to affect future work and therefore worth preserving across a continuity boundary.</w:t>
            </w:r>
          </w:p>
        </w:tc>
      </w:tr>
      <w:tr>
        <w:trPr>
          <w:cantSplit/>
        </w:trPr>
        <w:tc>
          <w:tcPr>
            <w:tcW w:type="dxa" w:w="2376"/>
            <w:vAlign w:val="top"/>
          </w:tcPr>
          <w:p>
            <w:pPr>
              <w:spacing w:after="40"/>
            </w:pPr>
            <w:r>
              <w:rPr>
                <w:sz w:val="18"/>
              </w:rPr>
            </w:r>
            <w:r>
              <w:rPr>
                <w:b w:val="0"/>
                <w:sz w:val="18"/>
              </w:rPr>
              <w:t>Projection</w:t>
            </w:r>
          </w:p>
        </w:tc>
        <w:tc>
          <w:tcPr>
            <w:tcW w:type="dxa" w:w="8208"/>
            <w:vAlign w:val="top"/>
          </w:tcPr>
          <w:p>
            <w:pPr>
              <w:spacing w:after="40"/>
            </w:pPr>
            <w:r>
              <w:rPr>
                <w:sz w:val="18"/>
              </w:rPr>
            </w:r>
            <w:r>
              <w:rPr>
                <w:sz w:val="18"/>
              </w:rPr>
              <w:t>A mapping from richer userland structure into the continuity representation. Projection need not preserve every detail; it must preserve the structure claimed to be consequential for later recovery.</w:t>
            </w:r>
          </w:p>
        </w:tc>
      </w:tr>
      <w:tr>
        <w:trPr>
          <w:cantSplit/>
        </w:trPr>
        <w:tc>
          <w:tcPr>
            <w:tcW w:type="dxa" w:w="2376"/>
            <w:vAlign w:val="top"/>
          </w:tcPr>
          <w:p>
            <w:pPr>
              <w:spacing w:after="40"/>
            </w:pPr>
            <w:r>
              <w:rPr>
                <w:sz w:val="18"/>
              </w:rPr>
            </w:r>
            <w:r>
              <w:rPr>
                <w:b w:val="0"/>
                <w:sz w:val="18"/>
              </w:rPr>
              <w:t>Continuity boundary</w:t>
            </w:r>
          </w:p>
        </w:tc>
        <w:tc>
          <w:tcPr>
            <w:tcW w:type="dxa" w:w="8208"/>
            <w:vAlign w:val="top"/>
          </w:tcPr>
          <w:p>
            <w:pPr>
              <w:spacing w:after="40"/>
            </w:pPr>
            <w:r>
              <w:rPr>
                <w:sz w:val="18"/>
              </w:rPr>
            </w:r>
            <w:r>
              <w:rPr>
                <w:sz w:val="18"/>
              </w:rPr>
              <w:t>The architectural point at which consequential userland structure is handed to a persistence/continuity mechanism. Loss before this boundary is a userland/DRC problem; loss after it is a continuity problem within the chosen system boundary.</w:t>
            </w:r>
          </w:p>
        </w:tc>
      </w:tr>
      <w:tr>
        <w:trPr>
          <w:cantSplit/>
        </w:trPr>
        <w:tc>
          <w:tcPr>
            <w:tcW w:type="dxa" w:w="2376"/>
            <w:vAlign w:val="top"/>
          </w:tcPr>
          <w:p>
            <w:pPr>
              <w:spacing w:after="40"/>
            </w:pPr>
            <w:r>
              <w:rPr>
                <w:sz w:val="18"/>
              </w:rPr>
            </w:r>
            <w:r>
              <w:rPr>
                <w:b w:val="0"/>
                <w:sz w:val="18"/>
              </w:rPr>
              <w:t>Consequential continuity</w:t>
            </w:r>
          </w:p>
        </w:tc>
        <w:tc>
          <w:tcPr>
            <w:tcW w:type="dxa" w:w="8208"/>
            <w:vAlign w:val="top"/>
          </w:tcPr>
          <w:p>
            <w:pPr>
              <w:spacing w:after="40"/>
            </w:pPr>
            <w:r>
              <w:rPr>
                <w:sz w:val="18"/>
              </w:rPr>
            </w:r>
            <w:r>
              <w:rPr>
                <w:sz w:val="18"/>
              </w:rPr>
              <w:t>The ability to preserve enough authoritative history, provenance, state, failure information, and outcomes for later work to be inspected and continued without silently replacing missing history with inference.</w:t>
            </w:r>
          </w:p>
        </w:tc>
      </w:tr>
      <w:tr>
        <w:trPr>
          <w:cantSplit/>
        </w:trPr>
        <w:tc>
          <w:tcPr>
            <w:tcW w:type="dxa" w:w="2376"/>
            <w:vAlign w:val="top"/>
          </w:tcPr>
          <w:p>
            <w:pPr>
              <w:spacing w:after="40"/>
            </w:pPr>
            <w:r>
              <w:rPr>
                <w:sz w:val="18"/>
              </w:rPr>
            </w:r>
            <w:r>
              <w:rPr>
                <w:b w:val="0"/>
                <w:sz w:val="18"/>
              </w:rPr>
              <w:t>EASTER</w:t>
            </w:r>
          </w:p>
        </w:tc>
        <w:tc>
          <w:tcPr>
            <w:tcW w:type="dxa" w:w="8208"/>
            <w:vAlign w:val="top"/>
          </w:tcPr>
          <w:p>
            <w:pPr>
              <w:spacing w:after="40"/>
            </w:pPr>
            <w:r>
              <w:rPr>
                <w:sz w:val="18"/>
              </w:rPr>
            </w:r>
            <w:r>
              <w:rPr>
                <w:sz w:val="18"/>
              </w:rPr>
              <w:t>The six-primitive continuity model: Evidence, Authority, State, Transition, Exception, and Receipt. EASTER is meaning-agnostic about payload contents while preserving the structural record required by its continuity contract.</w:t>
            </w:r>
          </w:p>
        </w:tc>
      </w:tr>
      <w:tr>
        <w:trPr>
          <w:cantSplit/>
        </w:trPr>
        <w:tc>
          <w:tcPr>
            <w:tcW w:type="dxa" w:w="2376"/>
            <w:vAlign w:val="top"/>
          </w:tcPr>
          <w:p>
            <w:pPr>
              <w:spacing w:after="40"/>
            </w:pPr>
            <w:r>
              <w:rPr>
                <w:sz w:val="18"/>
              </w:rPr>
            </w:r>
            <w:r>
              <w:rPr>
                <w:b w:val="0"/>
                <w:sz w:val="18"/>
              </w:rPr>
              <w:t>Kernel</w:t>
            </w:r>
          </w:p>
        </w:tc>
        <w:tc>
          <w:tcPr>
            <w:tcW w:type="dxa" w:w="8208"/>
            <w:vAlign w:val="top"/>
          </w:tcPr>
          <w:p>
            <w:pPr>
              <w:spacing w:after="40"/>
            </w:pPr>
            <w:r>
              <w:rPr>
                <w:sz w:val="18"/>
              </w:rPr>
            </w:r>
            <w:r>
              <w:rPr>
                <w:sz w:val="18"/>
              </w:rPr>
              <w:t>The small authoritative EASTER component that owns admission of consequential writes and enforces the continuity semantics assigned to the six primitives. It is intentionally narrower than the agent runtime or userland.</w:t>
            </w:r>
          </w:p>
        </w:tc>
      </w:tr>
      <w:tr>
        <w:trPr>
          <w:cantSplit/>
        </w:trPr>
        <w:tc>
          <w:tcPr>
            <w:tcW w:type="dxa" w:w="2376"/>
            <w:vAlign w:val="top"/>
          </w:tcPr>
          <w:p>
            <w:pPr>
              <w:spacing w:after="40"/>
            </w:pPr>
            <w:r>
              <w:rPr>
                <w:sz w:val="18"/>
              </w:rPr>
            </w:r>
            <w:r>
              <w:rPr>
                <w:b w:val="0"/>
                <w:sz w:val="18"/>
              </w:rPr>
              <w:t>Observability / exportability</w:t>
            </w:r>
          </w:p>
        </w:tc>
        <w:tc>
          <w:tcPr>
            <w:tcW w:type="dxa" w:w="8208"/>
            <w:vAlign w:val="top"/>
          </w:tcPr>
          <w:p>
            <w:pPr>
              <w:spacing w:after="40"/>
            </w:pPr>
            <w:r>
              <w:rPr>
                <w:sz w:val="18"/>
              </w:rPr>
            </w:r>
            <w:r>
              <w:rPr>
                <w:sz w:val="18"/>
              </w:rPr>
              <w:t>The degree to which a runtime exposes enough consequential structure for an external continuity mechanism to capture it. A hidden internal fact cannot be preserved externally if no supported boundary makes it observable or exportable.</w:t>
            </w:r>
          </w:p>
        </w:tc>
      </w:tr>
      <w:tr>
        <w:trPr>
          <w:cantSplit/>
        </w:trPr>
        <w:tc>
          <w:tcPr>
            <w:tcW w:type="dxa" w:w="2376"/>
            <w:vAlign w:val="top"/>
          </w:tcPr>
          <w:p>
            <w:pPr>
              <w:spacing w:after="40"/>
            </w:pPr>
            <w:r>
              <w:rPr>
                <w:sz w:val="18"/>
              </w:rPr>
            </w:r>
            <w:r>
              <w:rPr>
                <w:b w:val="0"/>
                <w:sz w:val="18"/>
              </w:rPr>
              <w:t>Semantic work-state portability</w:t>
            </w:r>
          </w:p>
        </w:tc>
        <w:tc>
          <w:tcPr>
            <w:tcW w:type="dxa" w:w="8208"/>
            <w:vAlign w:val="top"/>
          </w:tcPr>
          <w:p>
            <w:pPr>
              <w:spacing w:after="40"/>
            </w:pPr>
            <w:r>
              <w:rPr>
                <w:sz w:val="18"/>
              </w:rPr>
            </w:r>
            <w:r>
              <w:rPr>
                <w:sz w:val="18"/>
              </w:rPr>
              <w:t>The ability for a different agent/runtime to continue consequential work from an external representation without depending on the originating runtime’s private conversation, checkpoint format, model identity, or hidden implementation state.</w:t>
            </w:r>
          </w:p>
        </w:tc>
      </w:tr>
      <w:tr>
        <w:trPr>
          <w:cantSplit/>
        </w:trPr>
        <w:tc>
          <w:tcPr>
            <w:tcW w:type="dxa" w:w="2376"/>
            <w:vAlign w:val="top"/>
          </w:tcPr>
          <w:p>
            <w:pPr>
              <w:spacing w:after="40"/>
            </w:pPr>
            <w:r>
              <w:rPr>
                <w:sz w:val="18"/>
              </w:rPr>
            </w:r>
            <w:r>
              <w:rPr>
                <w:b w:val="0"/>
                <w:sz w:val="18"/>
              </w:rPr>
              <w:t>COVERED / OPEN / GAP / CHALLENGED</w:t>
            </w:r>
          </w:p>
        </w:tc>
        <w:tc>
          <w:tcPr>
            <w:tcW w:type="dxa" w:w="8208"/>
            <w:vAlign w:val="top"/>
          </w:tcPr>
          <w:p>
            <w:pPr>
              <w:spacing w:after="40"/>
            </w:pPr>
            <w:r>
              <w:rPr>
                <w:sz w:val="18"/>
              </w:rPr>
            </w:r>
            <w:r>
              <w:rPr>
                <w:sz w:val="18"/>
              </w:rPr>
              <w:t>Reverse-review statuses. COVERED: the property is demonstrated. OPEN: evidence is insufficient. GAP: the inspected system boundary does not demonstrate the required property. CHALLENGED: evidence calls the primitive or lens itself into question rather than merely finding a system deficiency.</w:t>
            </w:r>
          </w:p>
        </w:tc>
      </w:tr>
      <w:tr>
        <w:trPr>
          <w:cantSplit/>
        </w:trPr>
        <w:tc>
          <w:tcPr>
            <w:tcW w:type="dxa" w:w="2376"/>
            <w:vAlign w:val="top"/>
          </w:tcPr>
          <w:p>
            <w:pPr>
              <w:spacing w:after="40"/>
            </w:pPr>
            <w:r>
              <w:rPr>
                <w:sz w:val="18"/>
              </w:rPr>
            </w:r>
            <w:r>
              <w:rPr>
                <w:b w:val="0"/>
                <w:sz w:val="18"/>
              </w:rPr>
              <w:t>Pre-disclosure corpus</w:t>
            </w:r>
          </w:p>
        </w:tc>
        <w:tc>
          <w:tcPr>
            <w:tcW w:type="dxa" w:w="8208"/>
            <w:vAlign w:val="top"/>
          </w:tcPr>
          <w:p>
            <w:pPr>
              <w:spacing w:after="40"/>
            </w:pPr>
            <w:r>
              <w:rPr>
                <w:sz w:val="18"/>
              </w:rPr>
            </w:r>
            <w:r>
              <w:rPr>
                <w:sz w:val="18"/>
              </w:rPr>
              <w:t>The frozen set of architecture reviews completed before public disclosure of the combined DRC/EASTER framework. It is preserved because disclosure can change future system designs and therefore alter the independence of later observations.</w:t>
            </w:r>
          </w:p>
        </w:tc>
      </w:tr>
    </w:tbl>
    <w:p>
      <w:r>
        <w:t>These definitions preserve the paper’s central separation: userland owns functional meaning; EASTER owns a bounded continuity contract for the consequential projection supplied across its boundary.</w:t>
      </w:r>
    </w:p>
    <w:p>
      <w:pPr>
        <w:pStyle w:val="Heading1"/>
      </w:pPr>
      <w:r>
        <w:t>3. Contributions</w:t>
      </w:r>
    </w:p>
    <w:p>
      <w:pPr>
        <w:pStyle w:val="ListBullet"/>
      </w:pPr>
      <w:r>
        <w:t>A candidate three-part lens for functional meaning: Distinction (D), Relation (R), and Constraint (C).</w:t>
      </w:r>
    </w:p>
    <w:p>
      <w:pPr>
        <w:pStyle w:val="ListBullet"/>
      </w:pPr>
      <w:r>
        <w:t>A six-primitive continuity model and implemented reference kernel: Evidence, Authority, State, Transition, Exception, and Receipt (EASTER).</w:t>
      </w:r>
    </w:p>
    <w:p>
      <w:pPr>
        <w:pStyle w:val="ListBullet"/>
      </w:pPr>
      <w:r>
        <w:t>A methodological separation between representational meaning in userland and durable consequential continuity at the kernel boundary.</w:t>
      </w:r>
    </w:p>
    <w:p>
      <w:pPr>
        <w:pStyle w:val="ListBullet"/>
      </w:pPr>
      <w:r>
        <w:t>A pre-disclosure comparative reverse review of six independently developed agent architectures using both lenses.</w:t>
      </w:r>
    </w:p>
    <w:p>
      <w:pPr>
        <w:pStyle w:val="ListBullet"/>
      </w:pPr>
      <w:r>
        <w:t>An observed asymmetry: all six systems cover DRC, while EASTER findings vary across the same corpus.</w:t>
      </w:r>
    </w:p>
    <w:p>
      <w:pPr>
        <w:pStyle w:val="ListBullet"/>
      </w:pPr>
      <w:r>
        <w:t>A vendor-neutral interpretation of EASTER as an external continuity layer, with observability/exportability identified as a boundary condition rather than a seventh primitive.</w:t>
      </w:r>
    </w:p>
    <w:p>
      <w:pPr>
        <w:pStyle w:val="Heading1"/>
      </w:pPr>
      <w:r>
        <w:t>4. DRC: a candidate substrate for functional meaning</w:t>
      </w:r>
    </w:p>
    <w:p>
      <w:pPr>
        <w:pStyle w:val="Heading2"/>
      </w:pPr>
      <w:r>
        <w:t>4.1 Distinction</w:t>
      </w:r>
    </w:p>
    <w:p>
      <w:r>
        <w:t>Distinction is the ability to preserve that one consequential thing is not another. Agent systems instantiate distinction through typed messages, roles, agents, tools, memories, sessions, tasks, files, identities, checkpoints, branches, and other separable objects. Without distinction, independently consequential entities collapse into an undifferentiated representation.</w:t>
      </w:r>
    </w:p>
    <w:p>
      <w:pPr>
        <w:pStyle w:val="Heading2"/>
      </w:pPr>
      <w:r>
        <w:t>4.2 Relation</w:t>
      </w:r>
    </w:p>
    <w:p>
      <w:r>
        <w:t>Relation captures how distinguishable entities stand with respect to one another: parent/child, tool-call/tool-result, agent/session, checkpoint/ancestor, evidence/claim, task/dependency, user/instruction, or arbitrary domain relationships. DRC does not require every relation to be represented as a typed graph edge; natural language may encode relations when that representation is adequate for the work.</w:t>
      </w:r>
    </w:p>
    <w:p>
      <w:pPr>
        <w:pStyle w:val="Heading2"/>
      </w:pPr>
      <w:r>
        <w:t>4.3 Constraint</w:t>
      </w:r>
    </w:p>
    <w:p>
      <w:r>
        <w:t>Constraint describes how distinguishable and related entities may admissibly stand otherwise. Constraints may be semantic (instructions and policies), structural (schemas and graph rules), operational (tool allowlists and permissions), temporal, security-related, or user-defined. Mutable constraints, meta-constraints, and constraints on constraint changes remain instances of C rather than requiring a fourth primitive, so long as the system can represent the relevant admissibility conditions.</w:t>
      </w:r>
    </w:p>
    <w:p>
      <w:pPr>
        <w:pStyle w:val="Equation"/>
        <w:jc w:val="center"/>
      </w:pPr>
      <w:r>
        <w:t>DRC = {Distinction, Relation, Constraint}</w:t>
      </w:r>
    </w:p>
    <w:p>
      <w:r>
        <w:t>The claim is not that every meaningful representation literally stores three fields named D, R, and C. The claim is that these three categories form a compact candidate lens for asking whether a userland representation retains enough functional structure to be interpreted. The present paper treats minimality as a research hypothesis, not a proof.</w:t>
      </w:r>
    </w:p>
    <w:p>
      <w:pPr>
        <w:pStyle w:val="Heading1"/>
      </w:pPr>
      <w:r>
        <w:t>5. EASTER: a six-primitive model for consequential continuity</w:t>
      </w:r>
    </w:p>
    <w:p>
      <w:r>
        <w:t>EASTER is an append-oriented continuity model implemented as a reference kernel. The kernel owns authoritative writes, validates authority before committing transitions, preserves append-only semantics, atomically links accepted state changes with their transition and receipt, and records failure outcomes without mutating authoritative state. The current implementation deliberately leaves semantic truth to userland. [1]</w:t>
      </w:r>
    </w:p>
    <w:tbl>
      <w:tblPr>
        <w:tblW w:type="auto" w:w="0"/>
        <w:jc w:val="center"/>
        <w:tblLook w:firstColumn="1" w:firstRow="1" w:lastColumn="0" w:lastRow="0" w:noHBand="0" w:noVBand="1" w:val="04A0"/>
      </w:tblPr>
      <w:tblGrid>
        <w:gridCol w:w="3264"/>
        <w:gridCol w:w="3264"/>
        <w:gridCol w:w="3264"/>
      </w:tblGrid>
      <w:tr>
        <w:tc>
          <w:tcPr>
            <w:tcW w:type="dxa" w:w="3264"/>
            <w:vAlign w:val="center"/>
            <w:shd w:fill="D9E6F2"/>
          </w:tcPr>
          <w:p>
            <w:r/>
            <w:r>
              <w:rPr>
                <w:b/>
                <w:sz w:val="18"/>
              </w:rPr>
              <w:t>Primitive</w:t>
            </w:r>
          </w:p>
        </w:tc>
        <w:tc>
          <w:tcPr>
            <w:tcW w:type="dxa" w:w="3264"/>
            <w:vAlign w:val="center"/>
            <w:shd w:fill="D9E6F2"/>
          </w:tcPr>
          <w:p>
            <w:r/>
            <w:r>
              <w:rPr>
                <w:b/>
                <w:sz w:val="18"/>
              </w:rPr>
              <w:t>Role in the continuity model</w:t>
            </w:r>
          </w:p>
        </w:tc>
        <w:tc>
          <w:tcPr>
            <w:tcW w:type="dxa" w:w="3264"/>
            <w:vAlign w:val="center"/>
            <w:shd w:fill="D9E6F2"/>
          </w:tcPr>
          <w:p>
            <w:r/>
            <w:r>
              <w:rPr>
                <w:b/>
                <w:sz w:val="18"/>
              </w:rPr>
              <w:t>What it does not imply</w:t>
            </w:r>
          </w:p>
        </w:tc>
      </w:tr>
      <w:tr>
        <w:tc>
          <w:tcPr>
            <w:tcW w:type="dxa" w:w="3264"/>
            <w:vAlign w:val="center"/>
          </w:tcPr>
          <w:p>
            <w:r/>
            <w:r>
              <w:rPr>
                <w:b w:val="0"/>
                <w:sz w:val="18"/>
              </w:rPr>
              <w:t>Evidence</w:t>
            </w:r>
          </w:p>
        </w:tc>
        <w:tc>
          <w:tcPr>
            <w:tcW w:type="dxa" w:w="3264"/>
            <w:vAlign w:val="center"/>
          </w:tcPr>
          <w:p>
            <w:r/>
            <w:r>
              <w:rPr>
                <w:b w:val="0"/>
                <w:sz w:val="18"/>
              </w:rPr>
              <w:t>Durable material cited in support of consequential work.</w:t>
            </w:r>
          </w:p>
        </w:tc>
        <w:tc>
          <w:tcPr>
            <w:tcW w:type="dxa" w:w="3264"/>
            <w:vAlign w:val="center"/>
          </w:tcPr>
          <w:p>
            <w:r/>
            <w:r>
              <w:rPr>
                <w:b w:val="0"/>
                <w:sz w:val="18"/>
              </w:rPr>
              <w:t>Truth merely because it was recorded.</w:t>
            </w:r>
          </w:p>
        </w:tc>
      </w:tr>
      <w:tr>
        <w:tc>
          <w:tcPr>
            <w:tcW w:type="dxa" w:w="3264"/>
            <w:vAlign w:val="center"/>
          </w:tcPr>
          <w:p>
            <w:r/>
            <w:r>
              <w:rPr>
                <w:b w:val="0"/>
                <w:sz w:val="18"/>
              </w:rPr>
              <w:t>Authority</w:t>
            </w:r>
          </w:p>
        </w:tc>
        <w:tc>
          <w:tcPr>
            <w:tcW w:type="dxa" w:w="3264"/>
            <w:vAlign w:val="center"/>
          </w:tcPr>
          <w:p>
            <w:r/>
            <w:r>
              <w:rPr>
                <w:b w:val="0"/>
                <w:sz w:val="18"/>
              </w:rPr>
              <w:t>Who/what is permitted to admit consequential change, including grants and revocation.</w:t>
            </w:r>
          </w:p>
        </w:tc>
        <w:tc>
          <w:tcPr>
            <w:tcW w:type="dxa" w:w="3264"/>
            <w:vAlign w:val="center"/>
          </w:tcPr>
          <w:p>
            <w:r/>
            <w:r>
              <w:rPr>
                <w:b w:val="0"/>
                <w:sz w:val="18"/>
              </w:rPr>
              <w:t>That authorized content is semantically correct.</w:t>
            </w:r>
          </w:p>
        </w:tc>
      </w:tr>
      <w:tr>
        <w:tc>
          <w:tcPr>
            <w:tcW w:type="dxa" w:w="3264"/>
            <w:vAlign w:val="center"/>
          </w:tcPr>
          <w:p>
            <w:r/>
            <w:r>
              <w:rPr>
                <w:b w:val="0"/>
                <w:sz w:val="18"/>
              </w:rPr>
              <w:t>State</w:t>
            </w:r>
          </w:p>
        </w:tc>
        <w:tc>
          <w:tcPr>
            <w:tcW w:type="dxa" w:w="3264"/>
            <w:vAlign w:val="center"/>
          </w:tcPr>
          <w:p>
            <w:r/>
            <w:r>
              <w:rPr>
                <w:b w:val="0"/>
                <w:sz w:val="18"/>
              </w:rPr>
              <w:t>Immutable admitted work-state payloads from which continuation may branch.</w:t>
            </w:r>
          </w:p>
        </w:tc>
        <w:tc>
          <w:tcPr>
            <w:tcW w:type="dxa" w:w="3264"/>
            <w:vAlign w:val="center"/>
          </w:tcPr>
          <w:p>
            <w:r/>
            <w:r>
              <w:rPr>
                <w:b w:val="0"/>
                <w:sz w:val="18"/>
              </w:rPr>
              <w:t>A kernel-selected current, canonical, or preferred state.</w:t>
            </w:r>
          </w:p>
        </w:tc>
      </w:tr>
      <w:tr>
        <w:tc>
          <w:tcPr>
            <w:tcW w:type="dxa" w:w="3264"/>
            <w:vAlign w:val="center"/>
          </w:tcPr>
          <w:p>
            <w:r/>
            <w:r>
              <w:rPr>
                <w:b w:val="0"/>
                <w:sz w:val="18"/>
              </w:rPr>
              <w:t>Transition</w:t>
            </w:r>
          </w:p>
        </w:tc>
        <w:tc>
          <w:tcPr>
            <w:tcW w:type="dxa" w:w="3264"/>
            <w:vAlign w:val="center"/>
          </w:tcPr>
          <w:p>
            <w:r/>
            <w:r>
              <w:rPr>
                <w:b w:val="0"/>
                <w:sz w:val="18"/>
              </w:rPr>
              <w:t>An admitted change from an existing state to a new state under validated authority.</w:t>
            </w:r>
          </w:p>
        </w:tc>
        <w:tc>
          <w:tcPr>
            <w:tcW w:type="dxa" w:w="3264"/>
            <w:vAlign w:val="center"/>
          </w:tcPr>
          <w:p>
            <w:r/>
            <w:r>
              <w:rPr>
                <w:b w:val="0"/>
                <w:sz w:val="18"/>
              </w:rPr>
              <w:t>That all possible changes must be linear.</w:t>
            </w:r>
          </w:p>
        </w:tc>
      </w:tr>
      <w:tr>
        <w:tc>
          <w:tcPr>
            <w:tcW w:type="dxa" w:w="3264"/>
            <w:vAlign w:val="center"/>
          </w:tcPr>
          <w:p>
            <w:r/>
            <w:r>
              <w:rPr>
                <w:b w:val="0"/>
                <w:sz w:val="18"/>
              </w:rPr>
              <w:t>Exception</w:t>
            </w:r>
          </w:p>
        </w:tc>
        <w:tc>
          <w:tcPr>
            <w:tcW w:type="dxa" w:w="3264"/>
            <w:vAlign w:val="center"/>
          </w:tcPr>
          <w:p>
            <w:r/>
            <w:r>
              <w:rPr>
                <w:b w:val="0"/>
                <w:sz w:val="18"/>
              </w:rPr>
              <w:t>Durable diagnostic/failure material for operations that do not become accepted state.</w:t>
            </w:r>
          </w:p>
        </w:tc>
        <w:tc>
          <w:tcPr>
            <w:tcW w:type="dxa" w:w="3264"/>
            <w:vAlign w:val="center"/>
          </w:tcPr>
          <w:p>
            <w:r/>
            <w:r>
              <w:rPr>
                <w:b w:val="0"/>
                <w:sz w:val="18"/>
              </w:rPr>
              <w:t>An accepted transition.</w:t>
            </w:r>
          </w:p>
        </w:tc>
      </w:tr>
      <w:tr>
        <w:tc>
          <w:tcPr>
            <w:tcW w:type="dxa" w:w="3264"/>
            <w:vAlign w:val="center"/>
          </w:tcPr>
          <w:p>
            <w:r/>
            <w:r>
              <w:rPr>
                <w:b w:val="0"/>
                <w:sz w:val="18"/>
              </w:rPr>
              <w:t>Receipt</w:t>
            </w:r>
          </w:p>
        </w:tc>
        <w:tc>
          <w:tcPr>
            <w:tcW w:type="dxa" w:w="3264"/>
            <w:vAlign w:val="center"/>
          </w:tcPr>
          <w:p>
            <w:r/>
            <w:r>
              <w:rPr>
                <w:b w:val="0"/>
                <w:sz w:val="18"/>
              </w:rPr>
              <w:t>Kernel-authored immutable outcome record for accepted, rejected, or failed operations.</w:t>
            </w:r>
          </w:p>
        </w:tc>
        <w:tc>
          <w:tcPr>
            <w:tcW w:type="dxa" w:w="3264"/>
            <w:vAlign w:val="center"/>
          </w:tcPr>
          <w:p>
            <w:r/>
            <w:r>
              <w:rPr>
                <w:b w:val="0"/>
                <w:sz w:val="18"/>
              </w:rPr>
              <w:t>A semantic endorsement of the payload.</w:t>
            </w:r>
          </w:p>
        </w:tc>
      </w:tr>
    </w:tbl>
    <w:p>
      <w:r>
        <w:t>A key design choice is that EASTER does not select a single current branch and does not decide semantic truth. The reference implementation supports branching and treats payload meaning as opaque to the kernel. Earlier adversarial review showed why this boundary matters: direct database writes can create structurally problematic states, while the supported kernel boundary pairs accepted state creation with transition provenance and receipts. [1][2]</w:t>
      </w:r>
    </w:p>
    <w:p>
      <w:pPr>
        <w:pStyle w:val="Heading1"/>
      </w:pPr>
      <w:r>
        <w:t>6. Relationship between DRC and EASTER</w:t>
      </w:r>
    </w:p>
    <w:p>
      <w:pPr>
        <w:pStyle w:val="Equation"/>
        <w:jc w:val="center"/>
      </w:pPr>
      <w:r>
        <w:t>Meaning / userland  →  DRC  →  consequential projection  →  EASTER  →  continuity</w:t>
      </w:r>
    </w:p>
    <w:p>
      <w:r>
        <w:t>DRC and EASTER operate at different layers. DRC asks whether userland has enough representational structure for functional meaning. EASTER asks whether consequential work crossing a continuity boundary is durably admitted with provenance and outcome. A DRC-complete system can still lose consequential continuity. Conversely, an EASTER-complete persistence mechanism could preserve opaque payloads whose userland representation is inadequate for functional interpretation.</w:t>
      </w:r>
    </w:p>
    <w:p>
      <w:pPr>
        <w:pStyle w:val="Equation"/>
        <w:jc w:val="center"/>
      </w:pPr>
      <w:r>
        <w:t>DRC-covered ⇏ EASTER-covered</w:t>
      </w:r>
    </w:p>
    <w:p>
      <w:pPr>
        <w:pStyle w:val="Equation"/>
        <w:jc w:val="center"/>
      </w:pPr>
      <w:r>
        <w:t>EASTER-covered ⇏ DRC-covered  (predicted by the model; not observed in the present corpus)</w:t>
      </w:r>
    </w:p>
    <w:p>
      <w:r>
        <w:t>This separation also explains why DRC is not proposed as a lower-dimensional EASTER kernel. Meaning remains a userland concern. EASTER receives a consequential projection of that meaning. If userland collapses distinctions, relations, or constraints before projection, EASTER can faithfully preserve the loss; it cannot recreate information it never received.</w:t>
      </w:r>
    </w:p>
    <w:p>
      <w:pPr>
        <w:pStyle w:val="Heading1"/>
      </w:pPr>
      <w:r>
        <w:t>7. Methodology</w:t>
      </w:r>
    </w:p>
    <w:p>
      <w:pPr>
        <w:pStyle w:val="Heading2"/>
      </w:pPr>
      <w:r>
        <w:t>7.1 Reverse-review classifications</w:t>
      </w:r>
    </w:p>
    <w:p>
      <w:r>
        <w:t>Each lens was applied through source-oriented reverse review. Findings use four labels: COVERED, OPEN, GAP, and CHALLENGED. COVERED means the required property was demonstrated by inspectable architecture or behavior. OPEN means evidence was insufficient and the question remained unresolved. GAP means the property was not demonstrated within the inspected system boundary. CHALLENGED is reserved for evidence that attacks the primitive or lens itself rather than merely showing that a system lacks it.</w:t>
      </w:r>
    </w:p>
    <w:p>
      <w:pPr>
        <w:pStyle w:val="Heading2"/>
      </w:pPr>
      <w:r>
        <w:t>7.2 Independence and chronology</w:t>
      </w:r>
    </w:p>
    <w:p>
      <w:r>
        <w:t>The corpus is pre-disclosure: the examined systems were not designed in response to the combined DRC/EASTER framework. EASTER and several EASTER reverse reviews preceded DRC. DRC was later frozen and applied without changing its definitions to fit the target architectures. Wherever practical, DRC classifications were frozen before overlay with prior EASTER findings. This does not eliminate researcher interpretation, but it reduces one obvious path for retrospective fitting.</w:t>
      </w:r>
    </w:p>
    <w:p>
      <w:pPr>
        <w:pStyle w:val="Heading2"/>
      </w:pPr>
      <w:r>
        <w:t>7.3 Stopping rule</w:t>
      </w:r>
    </w:p>
    <w:p>
      <w:r>
        <w:t>The mature-system survey is stopped at six systems. Additional frameworks exist, but repeated DRC saturation means that adding more likely-positive mature frameworks would primarily increase sample count rather than conceptual diversity. Untested systems are therefore retained for later out-of-sample replication rather than consumed during initial theory formation.</w:t>
      </w:r>
    </w:p>
    <w:p>
      <w:pPr>
        <w:pStyle w:val="Heading2"/>
      </w:pPr>
      <w:r>
        <w:t>7.4 Source boundary</w:t>
      </w:r>
    </w:p>
    <w:p>
      <w:r>
        <w:t>The reviews rely on inspectable public documentation/source where available and on the EASTER reference implementation and archived research artifacts for EASTER-specific claims. Before formal submission, the reproducibility appendix should pin exact repository commits/tags for every system and attach the primitive-by-primitive review receipts. The present document is an initial paper draft, not the final archival evidence package.</w:t>
      </w:r>
    </w:p>
    <w:p>
      <w:pPr>
        <w:pStyle w:val="Heading1"/>
      </w:pPr>
      <w:r>
        <w:t>8. Comparative architectural results</w:t>
      </w:r>
    </w:p>
    <w:tbl>
      <w:tblPr>
        <w:tblW w:type="auto" w:w="0"/>
        <w:jc w:val="center"/>
        <w:tblLook w:firstColumn="1" w:firstRow="1" w:lastColumn="0" w:lastRow="0" w:noHBand="0" w:noVBand="1" w:val="04A0"/>
      </w:tblPr>
      <w:tblGrid>
        <w:gridCol w:w="2448"/>
        <w:gridCol w:w="2448"/>
        <w:gridCol w:w="2448"/>
        <w:gridCol w:w="2448"/>
      </w:tblGrid>
      <w:tr>
        <w:tc>
          <w:tcPr>
            <w:tcW w:type="dxa" w:w="2448"/>
            <w:vAlign w:val="center"/>
            <w:shd w:fill="D9E6F2"/>
          </w:tcPr>
          <w:p>
            <w:r/>
            <w:r>
              <w:rPr>
                <w:b/>
                <w:sz w:val="18"/>
              </w:rPr>
              <w:t>System</w:t>
            </w:r>
          </w:p>
        </w:tc>
        <w:tc>
          <w:tcPr>
            <w:tcW w:type="dxa" w:w="2448"/>
            <w:vAlign w:val="center"/>
            <w:shd w:fill="D9E6F2"/>
          </w:tcPr>
          <w:p>
            <w:r/>
            <w:r>
              <w:rPr>
                <w:b/>
                <w:sz w:val="18"/>
              </w:rPr>
              <w:t>DRC</w:t>
            </w:r>
          </w:p>
        </w:tc>
        <w:tc>
          <w:tcPr>
            <w:tcW w:type="dxa" w:w="2448"/>
            <w:vAlign w:val="center"/>
            <w:shd w:fill="D9E6F2"/>
          </w:tcPr>
          <w:p>
            <w:r/>
            <w:r>
              <w:rPr>
                <w:b/>
                <w:sz w:val="18"/>
              </w:rPr>
              <w:t>EASTER gaps</w:t>
            </w:r>
          </w:p>
        </w:tc>
        <w:tc>
          <w:tcPr>
            <w:tcW w:type="dxa" w:w="2448"/>
            <w:vAlign w:val="center"/>
            <w:shd w:fill="D9E6F2"/>
          </w:tcPr>
          <w:p>
            <w:r/>
            <w:r>
              <w:rPr>
                <w:b/>
                <w:sz w:val="18"/>
              </w:rPr>
              <w:t>Selected public architectural evidence</w:t>
            </w:r>
          </w:p>
        </w:tc>
      </w:tr>
      <w:tr>
        <w:tc>
          <w:tcPr>
            <w:tcW w:type="dxa" w:w="2448"/>
            <w:vAlign w:val="center"/>
          </w:tcPr>
          <w:p>
            <w:r/>
            <w:r>
              <w:rPr>
                <w:b w:val="0"/>
                <w:sz w:val="18"/>
              </w:rPr>
              <w:t>Hermes Agent</w:t>
            </w:r>
          </w:p>
        </w:tc>
        <w:tc>
          <w:tcPr>
            <w:tcW w:type="dxa" w:w="2448"/>
            <w:vAlign w:val="center"/>
          </w:tcPr>
          <w:p>
            <w:r/>
            <w:r>
              <w:rPr>
                <w:b w:val="0"/>
                <w:sz w:val="18"/>
              </w:rPr>
              <w:t>3/3 COVERED</w:t>
            </w:r>
          </w:p>
        </w:tc>
        <w:tc>
          <w:tcPr>
            <w:tcW w:type="dxa" w:w="2448"/>
            <w:vAlign w:val="center"/>
          </w:tcPr>
          <w:p>
            <w:r/>
            <w:r>
              <w:rPr>
                <w:b w:val="0"/>
                <w:sz w:val="18"/>
              </w:rPr>
              <w:t>0</w:t>
            </w:r>
          </w:p>
        </w:tc>
        <w:tc>
          <w:tcPr>
            <w:tcW w:type="dxa" w:w="2448"/>
            <w:vAlign w:val="center"/>
          </w:tcPr>
          <w:p>
            <w:r/>
            <w:r>
              <w:rPr>
                <w:b w:val="0"/>
                <w:sz w:val="18"/>
              </w:rPr>
              <w:t>Persistent sessions, memory, skills, tool results and profile-scoped state. [3][4]</w:t>
            </w:r>
          </w:p>
        </w:tc>
      </w:tr>
      <w:tr>
        <w:tc>
          <w:tcPr>
            <w:tcW w:type="dxa" w:w="2448"/>
            <w:vAlign w:val="center"/>
          </w:tcPr>
          <w:p>
            <w:r/>
            <w:r>
              <w:rPr>
                <w:b w:val="0"/>
                <w:sz w:val="18"/>
              </w:rPr>
              <w:t>OpenClaw</w:t>
            </w:r>
          </w:p>
        </w:tc>
        <w:tc>
          <w:tcPr>
            <w:tcW w:type="dxa" w:w="2448"/>
            <w:vAlign w:val="center"/>
          </w:tcPr>
          <w:p>
            <w:r/>
            <w:r>
              <w:rPr>
                <w:b w:val="0"/>
                <w:sz w:val="18"/>
              </w:rPr>
              <w:t>3/3 COVERED</w:t>
            </w:r>
          </w:p>
        </w:tc>
        <w:tc>
          <w:tcPr>
            <w:tcW w:type="dxa" w:w="2448"/>
            <w:vAlign w:val="center"/>
          </w:tcPr>
          <w:p>
            <w:r/>
            <w:r>
              <w:rPr>
                <w:b w:val="0"/>
                <w:sz w:val="18"/>
              </w:rPr>
              <w:t>0</w:t>
            </w:r>
          </w:p>
        </w:tc>
        <w:tc>
          <w:tcPr>
            <w:tcW w:type="dxa" w:w="2448"/>
            <w:vAlign w:val="center"/>
          </w:tcPr>
          <w:p>
            <w:r/>
            <w:r>
              <w:rPr>
                <w:b w:val="0"/>
                <w:sz w:val="18"/>
              </w:rPr>
              <w:t>Workspace/bootstrap distinctions, durable sessions/transcripts, memory and scoped recall. [5][6]</w:t>
            </w:r>
          </w:p>
        </w:tc>
      </w:tr>
      <w:tr>
        <w:tc>
          <w:tcPr>
            <w:tcW w:type="dxa" w:w="2448"/>
            <w:vAlign w:val="center"/>
          </w:tcPr>
          <w:p>
            <w:r/>
            <w:r>
              <w:rPr>
                <w:b w:val="0"/>
                <w:sz w:val="18"/>
              </w:rPr>
              <w:t>LangGraph</w:t>
            </w:r>
          </w:p>
        </w:tc>
        <w:tc>
          <w:tcPr>
            <w:tcW w:type="dxa" w:w="2448"/>
            <w:vAlign w:val="center"/>
          </w:tcPr>
          <w:p>
            <w:r/>
            <w:r>
              <w:rPr>
                <w:b w:val="0"/>
                <w:sz w:val="18"/>
              </w:rPr>
              <w:t>3/3 COVERED</w:t>
            </w:r>
          </w:p>
        </w:tc>
        <w:tc>
          <w:tcPr>
            <w:tcW w:type="dxa" w:w="2448"/>
            <w:vAlign w:val="center"/>
          </w:tcPr>
          <w:p>
            <w:r/>
            <w:r>
              <w:rPr>
                <w:b w:val="0"/>
                <w:sz w:val="18"/>
              </w:rPr>
              <w:t>0</w:t>
            </w:r>
          </w:p>
        </w:tc>
        <w:tc>
          <w:tcPr>
            <w:tcW w:type="dxa" w:w="2448"/>
            <w:vAlign w:val="center"/>
          </w:tcPr>
          <w:p>
            <w:r/>
            <w:r>
              <w:rPr>
                <w:b w:val="0"/>
                <w:sz w:val="18"/>
              </w:rPr>
              <w:t>Checkpoint state, metadata, parent lineage and pending writes for durable recovery. [7][8]</w:t>
            </w:r>
          </w:p>
        </w:tc>
      </w:tr>
      <w:tr>
        <w:tc>
          <w:tcPr>
            <w:tcW w:type="dxa" w:w="2448"/>
            <w:vAlign w:val="center"/>
          </w:tcPr>
          <w:p>
            <w:r/>
            <w:r>
              <w:rPr>
                <w:b w:val="0"/>
                <w:sz w:val="18"/>
              </w:rPr>
              <w:t>Anthropic Claude Agent SDK</w:t>
            </w:r>
          </w:p>
        </w:tc>
        <w:tc>
          <w:tcPr>
            <w:tcW w:type="dxa" w:w="2448"/>
            <w:vAlign w:val="center"/>
          </w:tcPr>
          <w:p>
            <w:r/>
            <w:r>
              <w:rPr>
                <w:b w:val="0"/>
                <w:sz w:val="18"/>
              </w:rPr>
              <w:t>3/3 COVERED</w:t>
            </w:r>
          </w:p>
        </w:tc>
        <w:tc>
          <w:tcPr>
            <w:tcW w:type="dxa" w:w="2448"/>
            <w:vAlign w:val="center"/>
          </w:tcPr>
          <w:p>
            <w:r/>
            <w:r>
              <w:rPr>
                <w:b w:val="0"/>
                <w:sz w:val="18"/>
              </w:rPr>
              <w:t>0</w:t>
            </w:r>
          </w:p>
        </w:tc>
        <w:tc>
          <w:tcPr>
            <w:tcW w:type="dxa" w:w="2448"/>
            <w:vAlign w:val="center"/>
          </w:tcPr>
          <w:p>
            <w:r/>
            <w:r>
              <w:rPr>
                <w:b w:val="0"/>
                <w:sz w:val="18"/>
              </w:rPr>
              <w:t>Agent options, tool permissions/allowlists and Claude Code tool surface. [9]</w:t>
            </w:r>
          </w:p>
        </w:tc>
      </w:tr>
      <w:tr>
        <w:tc>
          <w:tcPr>
            <w:tcW w:type="dxa" w:w="2448"/>
            <w:vAlign w:val="center"/>
          </w:tcPr>
          <w:p>
            <w:r/>
            <w:r>
              <w:rPr>
                <w:b w:val="0"/>
                <w:sz w:val="18"/>
              </w:rPr>
              <w:t>OpenAI Agents SDK</w:t>
            </w:r>
          </w:p>
        </w:tc>
        <w:tc>
          <w:tcPr>
            <w:tcW w:type="dxa" w:w="2448"/>
            <w:vAlign w:val="center"/>
          </w:tcPr>
          <w:p>
            <w:r/>
            <w:r>
              <w:rPr>
                <w:b w:val="0"/>
                <w:sz w:val="18"/>
              </w:rPr>
              <w:t>3/3 COVERED</w:t>
            </w:r>
          </w:p>
        </w:tc>
        <w:tc>
          <w:tcPr>
            <w:tcW w:type="dxa" w:w="2448"/>
            <w:vAlign w:val="center"/>
          </w:tcPr>
          <w:p>
            <w:r/>
            <w:r>
              <w:rPr>
                <w:b w:val="0"/>
                <w:sz w:val="18"/>
              </w:rPr>
              <w:t>1</w:t>
            </w:r>
          </w:p>
        </w:tc>
        <w:tc>
          <w:tcPr>
            <w:tcW w:type="dxa" w:w="2448"/>
            <w:vAlign w:val="center"/>
          </w:tcPr>
          <w:p>
            <w:r/>
            <w:r>
              <w:rPr>
                <w:b w:val="0"/>
                <w:sz w:val="18"/>
              </w:rPr>
              <w:t>Agents, handoffs, guardrails, sessions and tracing; tracing can be disabled/unavailable under ZDR. [10][11][12]</w:t>
            </w:r>
          </w:p>
        </w:tc>
      </w:tr>
      <w:tr>
        <w:tc>
          <w:tcPr>
            <w:tcW w:type="dxa" w:w="2448"/>
            <w:vAlign w:val="center"/>
          </w:tcPr>
          <w:p>
            <w:r/>
            <w:r>
              <w:rPr>
                <w:b w:val="0"/>
                <w:sz w:val="18"/>
              </w:rPr>
              <w:t>Google Antigravity</w:t>
            </w:r>
          </w:p>
        </w:tc>
        <w:tc>
          <w:tcPr>
            <w:tcW w:type="dxa" w:w="2448"/>
            <w:vAlign w:val="center"/>
          </w:tcPr>
          <w:p>
            <w:r/>
            <w:r>
              <w:rPr>
                <w:b w:val="0"/>
                <w:sz w:val="18"/>
              </w:rPr>
              <w:t>3/3 COVERED</w:t>
            </w:r>
          </w:p>
        </w:tc>
        <w:tc>
          <w:tcPr>
            <w:tcW w:type="dxa" w:w="2448"/>
            <w:vAlign w:val="center"/>
          </w:tcPr>
          <w:p>
            <w:r/>
            <w:r>
              <w:rPr>
                <w:b w:val="0"/>
                <w:sz w:val="18"/>
              </w:rPr>
              <w:t>3</w:t>
            </w:r>
          </w:p>
        </w:tc>
        <w:tc>
          <w:tcPr>
            <w:tcW w:type="dxa" w:w="2448"/>
            <w:vAlign w:val="center"/>
          </w:tcPr>
          <w:p>
            <w:r/>
            <w:r>
              <w:rPr>
                <w:b w:val="0"/>
                <w:sz w:val="18"/>
              </w:rPr>
              <w:t>Agent-first development platform with autonomous planning, execution and verification across editor, terminal and browser. [13]</w:t>
            </w:r>
          </w:p>
        </w:tc>
      </w:tr>
    </w:tbl>
    <w:p>
      <w:r>
        <w:t>Across the frozen corpus, DRC coverage is invariant while EASTER findings vary:</w:t>
      </w:r>
    </w:p>
    <w:p>
      <w:pPr>
        <w:pStyle w:val="Equation"/>
        <w:jc w:val="center"/>
      </w:pPr>
      <w:r>
        <w:t>DRC = {3/3, 3/3, 3/3, 3/3, 3/3, 3/3}</w:t>
      </w:r>
    </w:p>
    <w:p>
      <w:pPr>
        <w:pStyle w:val="Equation"/>
        <w:jc w:val="center"/>
      </w:pPr>
      <w:r>
        <w:t>EASTER gaps = {0, 0, 0, 0, 1, 3}</w:t>
      </w:r>
    </w:p>
    <w:p>
      <w:r>
        <w:t>This is comparative architectural evidence, not a statistical sample. The six systems are mature agent architectures and are therefore selected toward rich representations. Nevertheless, the observed asymmetry is informative: within this corpus, complete DRC coverage does not entail complete EASTER coverage. OpenAI Agents SDK and Google Antigravity are the observed counterexamples to that implication under the frozen review methodology.</w:t>
      </w:r>
    </w:p>
    <w:p>
      <w:pPr>
        <w:pStyle w:val="Heading1"/>
      </w:pPr>
      <w:r>
        <w:t>9. Interpretation</w:t>
      </w:r>
    </w:p>
    <w:p>
      <w:pPr>
        <w:pStyle w:val="Heading2"/>
      </w:pPr>
      <w:r>
        <w:t>9.1 Why “memory” is too coarse</w:t>
      </w:r>
    </w:p>
    <w:p>
      <w:r>
        <w:t>The public vocabulary of agent memory often mixes conversation history, curated facts, semantic retrieval, checkpoints, durable execution, provenance, and authorization. OpenClaw, for example, separates workspace files, MEMORY.md, dated notes, session transcripts, and search behavior; Hermes separates bounded curated memory from full searchable session history and procedural skills. [3][5][6] LangGraph’s checkpoint model separately preserves graph state, metadata, lineage, and pending writes. [7][8] These mechanisms solve different parts of the continuity problem. DRC/EASTER provides a way to ask which part failed rather than labeling every failure “memory.”</w:t>
      </w:r>
    </w:p>
    <w:p>
      <w:pPr>
        <w:pStyle w:val="Heading2"/>
      </w:pPr>
      <w:r>
        <w:t>9.2 EASTER as an external continuity layer</w:t>
      </w:r>
    </w:p>
    <w:p>
      <w:r>
        <w:t>EASTER need not be natively implemented by every vendor. Its reference architecture can sit outside an agent harness:</w:t>
      </w:r>
    </w:p>
    <w:p>
      <w:pPr>
        <w:pStyle w:val="Equation"/>
        <w:jc w:val="center"/>
      </w:pPr>
      <w:r>
        <w:t>Runtime A  →  EASTER_external  →  Runtime B</w:t>
      </w:r>
    </w:p>
    <w:p>
      <w:r>
        <w:t>The critical precondition is observability/exportability. If userland exposes the consequential distinctions, relations, constraints, evidence, authority facts, states, transitions, failures and outcomes needed for projection, an external kernel can preserve them. If a managed runtime exposes only input and final output, an external continuity layer cannot reconstruct hidden consequential structure. We treat this as a boundary condition on projection, not as a seventh EASTER primitive.</w:t>
      </w:r>
    </w:p>
    <w:p>
      <w:pPr>
        <w:pStyle w:val="Heading2"/>
      </w:pPr>
      <w:r>
        <w:t>9.3 Deliberate omissions are not automatically defects</w:t>
      </w:r>
    </w:p>
    <w:p>
      <w:r>
        <w:t>An EASTER GAP is not synonymous with a bad system. Privacy, deletion guarantees, security boundaries, cost, simplicity, and product design can justify intentionally omitting recoverability. OpenAI’s tracing documentation, for example, notes that tracing can be disabled and is unavailable for organizations using Zero Data Retention. [11] The framework therefore identifies a continuity tradeoff; it does not prescribe that every system maximize persistence.</w:t>
      </w:r>
    </w:p>
    <w:p>
      <w:pPr>
        <w:pStyle w:val="Heading1"/>
      </w:pPr>
      <w:r>
        <w:t>10. Threats to validity and limitations</w:t>
      </w:r>
    </w:p>
    <w:p>
      <w:pPr>
        <w:pStyle w:val="ListBullet"/>
      </w:pPr>
      <w:r>
        <w:t>Selection bias. The corpus contains sophisticated agent systems; 6/6 DRC coverage cannot establish universality.</w:t>
      </w:r>
    </w:p>
    <w:p>
      <w:pPr>
        <w:pStyle w:val="ListBullet"/>
      </w:pPr>
      <w:r>
        <w:t>Researcher interpretation. Primitive classification is a structured architectural judgment, not a mechanically computed metric.</w:t>
      </w:r>
    </w:p>
    <w:p>
      <w:pPr>
        <w:pStyle w:val="ListBullet"/>
      </w:pPr>
      <w:r>
        <w:t>Version drift. Agent frameworks evolve quickly. Final publication must pin commits/tags and dates for every reviewed source.</w:t>
      </w:r>
    </w:p>
    <w:p>
      <w:pPr>
        <w:pStyle w:val="ListBullet"/>
      </w:pPr>
      <w:r>
        <w:t>Unequal observability. Open-source frameworks expose more internals than managed products. GAP claims are bounded to the inspected source/system boundary.</w:t>
      </w:r>
    </w:p>
    <w:p>
      <w:pPr>
        <w:pStyle w:val="ListBullet"/>
      </w:pPr>
      <w:r>
        <w:t>No proof of DRC minimality. DRC survived the research program’s reductions and adversarial attacks, but no formal proof establishes that no alternative or smaller basis exists.</w:t>
      </w:r>
    </w:p>
    <w:p>
      <w:pPr>
        <w:pStyle w:val="ListBullet"/>
      </w:pPr>
      <w:r>
        <w:t>No proof of philosophical meaning. DRC concerns functional/structural meaning only; it makes no claim about consciousness or intrinsic intentionality.</w:t>
      </w:r>
    </w:p>
    <w:p>
      <w:pPr>
        <w:pStyle w:val="ListBullet"/>
      </w:pPr>
      <w:r>
        <w:t>No statistical independence claim. The invariant DRC / varying EASTER pattern is descriptive comparative evidence, not an inferential statistical result.</w:t>
      </w:r>
    </w:p>
    <w:p>
      <w:pPr>
        <w:pStyle w:val="ListBullet"/>
      </w:pPr>
      <w:r>
        <w:t>Observer effect after disclosure. Once the framework is public, vendors or open-source maintainers may change architectures in response; the present corpus should therefore be preserved as pre-disclosure evidence.</w:t>
      </w:r>
    </w:p>
    <w:p>
      <w:pPr>
        <w:pStyle w:val="ListBullet"/>
      </w:pPr>
      <w:r>
        <w:t>Goodhart risk. If DRC/EASTER becomes a checklist, systems may adopt labels without preserving behavior. Coverage must remain behavior/source demonstrated rather than name-based.</w:t>
      </w:r>
    </w:p>
    <w:p>
      <w:pPr>
        <w:pStyle w:val="Heading1"/>
      </w:pPr>
      <w:r>
        <w:t>11. Publication and ecosystem effects</w:t>
      </w:r>
    </w:p>
    <w:p>
      <w:r>
        <w:t>Disclosure changes the object of study. Before publication, zero-gap findings can be interpreted as independent convergence more readily than after publication. After disclosure, architecture changes may be treatment effects of the framework itself. This makes the frozen pre-disclosure corpus valuable and argues for preserving versions, source evidence, classifications, and dates.</w:t>
      </w:r>
    </w:p>
    <w:p>
      <w:r>
        <w:t>The framework’s value does not depend on vendors adopting nine named primitives. Its more general contribution is a vocabulary for locating loss. Developers can ask whether a failure arose because functional meaning was collapsed before projection (D/R/C) or because consequential history was not preserved after projection (E/A/S/T/E/R). If systems improve continuity after disclosure, that is compatible with success of the idea even if the EASTER kernel itself is not adopted.</w:t>
      </w:r>
    </w:p>
    <w:p>
      <w:pPr>
        <w:pStyle w:val="Heading1"/>
      </w:pPr>
      <w:r>
        <w:t>12. Implications for semantic work-state portability</w:t>
      </w:r>
    </w:p>
    <w:p>
      <w:r>
        <w:t>The combined model suggests a future portability target. A runtime may project consequential userland work into EASTER, terminate or lose its private state, and allow a heterogeneous runtime to recover from the external continuity record. The research question is not whether two runtimes share internal checkpoints, but whether consequential semantic work-state can survive across heterogeneous intelligence runtimes.</w:t>
      </w:r>
    </w:p>
    <w:p>
      <w:pPr>
        <w:pStyle w:val="Equation"/>
        <w:jc w:val="center"/>
      </w:pPr>
      <w:r>
        <w:t>DRC_A  →  EASTER  →  transport  →  EASTER′  →  DRC_B</w:t>
      </w:r>
    </w:p>
    <w:p>
      <w:r>
        <w:t>The target is semantic work-state portability rather than checkpoint portability or context-window portability. This remains future work; it is not required for the claims of the present paper.</w:t>
      </w:r>
    </w:p>
    <w:p>
      <w:pPr>
        <w:pStyle w:val="Heading1"/>
      </w:pPr>
      <w:r>
        <w:t>13. Conclusion</w:t>
      </w:r>
    </w:p>
    <w:p>
      <w:r>
        <w:t>This paper proposes that two architectural problems commonly conflated under “memory” should be treated separately. DRC — Distinction, Relation, Constraint — provides a candidate minimal lens for functional/structural meaning in agent userland. EASTER — Evidence, Authority, State, Transition, Exception, Receipt — provides a six-primitive model and reference kernel for consequential continuity. Across six pre-disclosure agent architectures, DRC coverage remained invariant while EASTER findings varied. The result is consistent with the hypothesis that functional meaning and consequential continuity are separable architectural properties. The bounded contribution is not a universal theory of meaning and not a vendor leaderboard. It is a vocabulary, an implementation boundary, and a reverse-review method for making continuity loss more inspectable.</w:t>
      </w:r>
    </w:p>
    <w:p>
      <w:pPr>
        <w:pStyle w:val="Heading1"/>
      </w:pPr>
      <w:r>
        <w:t>14. Reproducibility status and next publication steps</w:t>
      </w:r>
    </w:p>
    <w:p>
      <w:r>
        <w:t>This Draft 0.2 intentionally distinguishes paper-ready claims from archival work still required before submission. The research phase for the initial paper is frozen; the remaining work is preservation and documentation, not additional experiments.</w:t>
      </w:r>
    </w:p>
    <w:p>
      <w:pPr>
        <w:pStyle w:val="ListBullet"/>
      </w:pPr>
      <w:r>
        <w:t>Pin exact commit SHA/tag and review date for all six system specimens.</w:t>
      </w:r>
    </w:p>
    <w:p>
      <w:pPr>
        <w:pStyle w:val="ListBullet"/>
      </w:pPr>
      <w:r>
        <w:t>Attach or publish the primitive-level DRC and EASTER review receipts used to produce the comparison table.</w:t>
      </w:r>
    </w:p>
    <w:p>
      <w:pPr>
        <w:pStyle w:val="ListBullet"/>
      </w:pPr>
      <w:r>
        <w:t>Publish the EASTER repository tag/release corresponding to the kernel described here and cite its immutable release URL/DOI if archived.</w:t>
      </w:r>
    </w:p>
    <w:p>
      <w:pPr>
        <w:pStyle w:val="ListBullet"/>
      </w:pPr>
      <w:r>
        <w:t>Replace provisional source URLs with archival citations (commit permalinks, releases, documentation snapshots, or Zenodo/Software Heritage where practical).</w:t>
      </w:r>
    </w:p>
    <w:p>
      <w:pPr>
        <w:pStyle w:val="ListBullet"/>
      </w:pPr>
      <w:r>
        <w:t>Add a chronology appendix showing that EASTER and relevant EASTER reviews preceded DRC, and that DRC definitions were frozen before overlay.</w:t>
      </w:r>
    </w:p>
    <w:p>
      <w:pPr>
        <w:pStyle w:val="ListBullet"/>
      </w:pPr>
      <w:r>
        <w:t>Run an independent source audit of every GAP/COVERED claim before submission.</w:t>
      </w:r>
    </w:p>
    <w:p>
      <w:pPr>
        <w:pStyle w:val="ListBullet"/>
      </w:pPr>
      <w:r>
        <w:t>Adapt the authorship/byline disclosure to the target venue’s AI authorship policy while preserving the co-creation record.</w:t>
      </w:r>
    </w:p>
    <w:p>
      <w:pPr>
        <w:pStyle w:val="Heading1"/>
      </w:pPr>
      <w:r>
        <w:t>References</w:t>
      </w:r>
    </w:p>
    <w:p>
      <w:pPr>
        <w:ind w:left="360" w:hanging="360"/>
      </w:pPr>
      <w:r>
        <w:t>[1] Woolen, N. EASTER reference kernel source and research artifacts (2026). Internal/public repository materials; current kernel implementation documents authoritative SQLite writes, authority validation, append-only semantics, atomic state/transition/receipt commits, and failure receipts. Final submission should cite the immutable public release/commit.</w:t>
      </w:r>
    </w:p>
    <w:p>
      <w:pPr>
        <w:ind w:left="360" w:hanging="360"/>
      </w:pPr>
      <w:r>
        <w:t>[2] Woolen, N. EASTER State adversarial review / isolated red-team notes (20 Sep 2026). Archived research artifact. Final submission should publish or attach the review receipt and exact kernel commit.</w:t>
      </w:r>
    </w:p>
    <w:p>
      <w:pPr>
        <w:ind w:left="360" w:hanging="360"/>
      </w:pPr>
      <w:r>
        <w:t>[3] Nous Research. Hermes Agent — Persistent Memory. GitHub documentation, accessed 25 Sep 2026. https://github.com/NousResearch/hermes-agent/blob/main/website/docs/user-guide/features/memory.md</w:t>
      </w:r>
    </w:p>
    <w:p>
      <w:pPr>
        <w:ind w:left="360" w:hanging="360"/>
      </w:pPr>
      <w:r>
        <w:t>[4] Nous Research. Hermes Agent — Sessions. GitHub documentation, accessed 25 Sep 2026. https://github.com/NousResearch/hermes-agent/blob/main/website/docs/user-guide/sessions.md</w:t>
      </w:r>
    </w:p>
    <w:p>
      <w:pPr>
        <w:ind w:left="360" w:hanging="360"/>
      </w:pPr>
      <w:r>
        <w:t>[5] OpenClaw. Memory overview. GitHub documentation, accessed 25 Sep 2026. https://github.com/openclaw/openclaw/blob/main/docs/concepts/memory.md</w:t>
      </w:r>
    </w:p>
    <w:p>
      <w:pPr>
        <w:ind w:left="360" w:hanging="360"/>
      </w:pPr>
      <w:r>
        <w:t>[6] OpenClaw. Agent / workspace bootstrap documentation, accessed 25 Sep 2026. https://github.com/openclaw/openclaw/blob/main/docs/concepts/agent.md</w:t>
      </w:r>
    </w:p>
    <w:p>
      <w:pPr>
        <w:ind w:left="360" w:hanging="360"/>
      </w:pPr>
      <w:r>
        <w:t>[7] LangChain AI. LangGraph Checkpoint README. GitHub, accessed 25 Sep 2026. https://github.com/langchain-ai/langgraph/blob/main/libs/checkpoint/README.md</w:t>
      </w:r>
    </w:p>
    <w:p>
      <w:pPr>
        <w:ind w:left="360" w:hanging="360"/>
      </w:pPr>
      <w:r>
        <w:t>[8] LangChain AI. LangGraph checkpointers / persistence documentation. GitHub, accessed 25 Sep 2026. https://github.com/langchain-ai/docs/blob/main/src/oss/langgraph/checkpointers.mdx</w:t>
      </w:r>
    </w:p>
    <w:p>
      <w:pPr>
        <w:ind w:left="360" w:hanging="360"/>
      </w:pPr>
      <w:r>
        <w:t>[9] Anthropic. Claude Agent SDK for Python README. GitHub, accessed 25 Sep 2026. https://github.com/anthropics/claude-agent-sdk-python/blob/main/README.md</w:t>
      </w:r>
    </w:p>
    <w:p>
      <w:pPr>
        <w:ind w:left="360" w:hanging="360"/>
      </w:pPr>
      <w:r>
        <w:t>[10] OpenAI. OpenAI Agents SDK documentation, accessed 25 Sep 2026. https://openai.github.io/openai-agents-python/</w:t>
      </w:r>
    </w:p>
    <w:p>
      <w:pPr>
        <w:ind w:left="360" w:hanging="360"/>
      </w:pPr>
      <w:r>
        <w:t>[11] OpenAI. Agents SDK tracing documentation, accessed 25 Sep 2026. https://openai.github.io/openai-agents-python/tracing/</w:t>
      </w:r>
    </w:p>
    <w:p>
      <w:pPr>
        <w:ind w:left="360" w:hanging="360"/>
      </w:pPr>
      <w:r>
        <w:t>[12] OpenAI. Agents SDK sessions documentation, accessed 25 Sep 2026. https://openai.github.io/openai-agents-python/sessions/</w:t>
      </w:r>
    </w:p>
    <w:p>
      <w:pPr>
        <w:ind w:left="360" w:hanging="360"/>
      </w:pPr>
      <w:r>
        <w:t>[13] Google Antigravity Team. “Build with Google Antigravity, our new agentic development platform.” Google Developers Blog, 20 Nov 2025. https://developers.googleblog.com/build-with-google-antigravity-our-new-agentic-development-platform/</w:t>
      </w:r>
    </w:p>
    <w:p>
      <w:pPr>
        <w:ind w:left="360" w:hanging="360"/>
      </w:pPr>
      <w:r>
        <w:t>[14] OpenClaw. Main-session continuity documentation, accessed 25 Sep 2026. https://github.com/openclaw/openclaw/blob/main/docs/concepts/main-session.md</w:t>
      </w:r>
    </w:p>
    <w:p>
      <w:pPr>
        <w:ind w:left="360" w:hanging="360"/>
      </w:pPr>
      <w:r>
        <w:t>[15] Nous Research. Hermes Agent tools reference, accessed 25 Sep 2026. https://github.com/NousResearch/hermes-agent/blob/main/website/docs/reference/tools-reference.md</w:t>
      </w:r>
    </w:p>
    <w:p>
      <w:pPr>
        <w:pStyle w:val="Heading1"/>
      </w:pPr>
      <w:r>
        <w:t>Appendix A. Frozen comparative claim</w:t>
      </w:r>
    </w:p>
    <w:p>
      <w:r>
        <w:t>Frozen initial-paper claim: Across a pre-disclosure corpus of six materially different agent architectures, the DRC functional-meaning lens found 3/3 coverage in all six, while independently conducted EASTER continuity reviews found 0, 0, 0, 0, 1, and 3 gaps. This supports continued investigation of functional meaning and consequential continuity as separable architectural properties, without establishing universality, formal minimality, or statistical independence.</w:t>
      </w:r>
    </w:p>
    <w:p>
      <w:pPr>
        <w:pStyle w:val="Heading1"/>
      </w:pPr>
      <w:r>
        <w:t>Appendix B. Co-creation provenance</w:t>
      </w:r>
    </w:p>
    <w:p>
      <w:r>
        <w:t>The research program was developed iteratively through dialogue between Nathan Woolen and ChatGPT. Nathan exercised human authority over goals, acceptance, stopping decisions, system selection, experiment execution, and publication intent. ChatGPT contributed conceptual formulations, counterarguments, reduction attempts, architecture comparisons, synthesis, and manuscript drafting. The collaboration repeatedly used an evidence-over-agreement norm: claims were attacked, frozen only after review, and revised when source evidence contradicted earlier formulations. This appendix is included because the method of human–AI co-creation is itself relevant to provenance and reproducibility.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DRC × EASTER — Initial Working Paper Draft 0.2 — 25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