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Georgia" w:cs="Georgia" w:eastAsia="Georgia" w:hAnsi="Georgia"/>
          <w:b/>
          <w:bCs/>
          <w:color w:val="2E5EAA"/>
          <w:sz w:val="52"/>
          <w:szCs w:val="52"/>
        </w:rPr>
        <w:t xml:space="preserve">Cuneiform Lexicography</w:t>
      </w:r>
    </w:p>
    <w:p>
      <w:pPr>
        <w:spacing w:before="0" w:after="80"/>
      </w:pPr>
      <w:r>
        <w:rPr>
          <w:rFonts w:ascii="Georgia" w:cs="Georgia" w:eastAsia="Georgia" w:hAnsi="Georgia"/>
          <w:i/>
          <w:iCs/>
          <w:color w:val="555555"/>
          <w:sz w:val="26"/>
          <w:szCs w:val="26"/>
        </w:rPr>
        <w:t xml:space="preserve">Terminology, Concepts &amp; Taxonomy for a Multi-Language Gloss Dictionary</w:t>
      </w:r>
    </w:p>
    <w:p>
      <w:pPr>
        <w:spacing w:before="0" w:after="320"/>
      </w:pPr>
      <w:r>
        <w:rPr>
          <w:rFonts w:ascii="Arial" w:cs="Arial" w:eastAsia="Arial" w:hAnsi="Arial"/>
          <w:color w:val="888888"/>
          <w:sz w:val="20"/>
          <w:szCs w:val="20"/>
        </w:rPr>
        <w:t xml:space="preserve">Covering Sumerian · Akkadian · Hittite · Elamite</w:t>
      </w:r>
    </w:p>
    <w:p>
      <w:pPr>
        <w:pBdr>
          <w:bottom w:val="single" w:color="C0CCE0" w:sz="4" w:space="1"/>
        </w:pBdr>
        <w:spacing w:before="240" w:after="240"/>
      </w:pPr>
    </w:p>
    <w:p>
      <w:pPr>
        <w:spacing w:before="480" w:after="160"/>
      </w:pPr>
      <w:r>
        <w:rPr>
          <w:rFonts w:ascii="Georgia" w:cs="Georgia" w:eastAsia="Georgia" w:hAnsi="Georgia"/>
          <w:b/>
          <w:bCs/>
          <w:color w:val="2E5EAA"/>
          <w:sz w:val="32"/>
          <w:szCs w:val="32"/>
        </w:rPr>
        <w:t xml:space="preserve">1. Core Terminology</w:t>
      </w:r>
    </w:p>
    <w:p>
      <w:pPr>
        <w:spacing w:before="80" w:after="120"/>
      </w:pPr>
      <w:r>
        <w:rPr>
          <w:rFonts w:ascii="Arial" w:cs="Arial" w:eastAsia="Arial" w:hAnsi="Arial"/>
          <w:sz w:val="20"/>
          <w:szCs w:val="20"/>
        </w:rPr>
        <w:t xml:space="preserve">The following terms form the conceptual foundation for working with cuneiform lexical data. Each term operates at a different level of abstraction — from physical tablet through linguistic reconstruction to philosophical referent.</w:t>
      </w:r>
    </w:p>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2E5EAA" w:sz="1"/>
              <w:left w:val="single" w:color="2E5EAA" w:sz="1"/>
              <w:bottom w:val="single" w:color="2E5EAA" w:sz="1"/>
              <w:right w:val="single" w:color="2E5EAA" w:sz="1"/>
            </w:tcBorders>
            <w:shd w:fill="2E5EAA" w:val="clear"/>
            <w:tcMar>
              <w:top w:type="dxa" w:w="100"/>
              <w:left w:type="dxa" w:w="160"/>
              <w:bottom w:type="dxa" w:w="100"/>
              <w:right w:type="dxa" w:w="160"/>
            </w:tcMar>
          </w:tcPr>
          <w:p>
            <w:r>
              <w:rPr>
                <w:rFonts w:ascii="Arial" w:cs="Arial" w:eastAsia="Arial" w:hAnsi="Arial"/>
                <w:b/>
                <w:bCs/>
                <w:color w:val="FFFFFF"/>
                <w:sz w:val="20"/>
                <w:szCs w:val="20"/>
              </w:rPr>
              <w:t xml:space="preserve">Term</w:t>
            </w:r>
          </w:p>
        </w:tc>
        <w:tc>
          <w:tcPr>
            <w:tcW w:type="dxa" w:w="4800"/>
            <w:tcBorders>
              <w:top w:val="single" w:color="2E5EAA" w:sz="1"/>
              <w:left w:val="single" w:color="2E5EAA" w:sz="1"/>
              <w:bottom w:val="single" w:color="2E5EAA" w:sz="1"/>
              <w:right w:val="single" w:color="2E5EAA" w:sz="1"/>
            </w:tcBorders>
            <w:shd w:fill="2E5EAA" w:val="clear"/>
            <w:tcMar>
              <w:top w:type="dxa" w:w="100"/>
              <w:left w:type="dxa" w:w="160"/>
              <w:bottom w:type="dxa" w:w="100"/>
              <w:right w:type="dxa" w:w="160"/>
            </w:tcMar>
          </w:tcPr>
          <w:p>
            <w:r>
              <w:rPr>
                <w:rFonts w:ascii="Arial" w:cs="Arial" w:eastAsia="Arial" w:hAnsi="Arial"/>
                <w:b/>
                <w:bCs/>
                <w:color w:val="FFFFFF"/>
                <w:sz w:val="20"/>
                <w:szCs w:val="20"/>
              </w:rPr>
              <w:t xml:space="preserve">Definition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60"/>
              <w:bottom w:type="dxa" w:w="100"/>
              <w:right w:type="dxa" w:w="160"/>
            </w:tcMar>
          </w:tcPr>
          <w:p>
            <w:r>
              <w:rPr>
                <w:rFonts w:ascii="Arial" w:cs="Arial" w:eastAsia="Arial" w:hAnsi="Arial"/>
                <w:b/>
                <w:bCs/>
                <w:color w:val="FFFFFF"/>
                <w:sz w:val="20"/>
                <w:szCs w:val="20"/>
              </w:rPr>
              <w:t xml:space="preserve">In Assyriology</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Sign</w:t>
            </w:r>
          </w:p>
          <w:p>
            <w:pPr>
              <w:spacing w:before="40"/>
            </w:pPr>
            <w:r>
              <w:rPr>
                <w:rFonts w:ascii="Arial" w:cs="Arial" w:eastAsia="Arial" w:hAnsi="Arial"/>
                <w:i/>
                <w:iCs/>
                <w:color w:val="666666"/>
                <w:sz w:val="18"/>
                <w:szCs w:val="18"/>
              </w:rPr>
              <w:t xml:space="preserve">philological</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A specific cuneiform impression on a tablet — the physical mark made by a stylus. Signs are the raw unit of identification. A single sign can be read multiple ways depending on language and context.</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Identified by Borger number (e.g. DUMU = Borger 296). The entry point to all analysis.</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Reading</w:t>
            </w:r>
          </w:p>
          <w:p>
            <w:pPr>
              <w:spacing w:before="40"/>
            </w:pPr>
            <w:r>
              <w:rPr>
                <w:rFonts w:ascii="Arial" w:cs="Arial" w:eastAsia="Arial" w:hAnsi="Arial"/>
                <w:i/>
                <w:iCs/>
                <w:color w:val="666666"/>
                <w:sz w:val="18"/>
                <w:szCs w:val="18"/>
              </w:rPr>
              <w:t xml:space="preserve">philological / transliteration</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phonological realization of a sign — what you say when you read it aloud. Logographic signs in Sumerian are read in lowercase (dumu). The same sign used as a Sumerogram in Akkadian is read in uppercase (DUMU), signaling a cross-language borrowing.</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Lives at the transliteration layer. Recorded sign-by-sign before normalization.</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Lemma</w:t>
            </w:r>
          </w:p>
          <w:p>
            <w:pPr>
              <w:spacing w:before="40"/>
            </w:pPr>
            <w:r>
              <w:rPr>
                <w:rFonts w:ascii="Arial" w:cs="Arial" w:eastAsia="Arial" w:hAnsi="Arial"/>
                <w:i/>
                <w:iCs/>
                <w:color w:val="666666"/>
                <w:sz w:val="18"/>
                <w:szCs w:val="18"/>
              </w:rPr>
              <w:t xml:space="preserve">philological / transcription</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dictionary citation form — the normalized headword a scholar writes in a lexicon entry. mārum, šak, dumu are lemmata. The lemma is a scholarly construct that represents a word as a stable lexical unit, abstracting away from individual attestations.</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Used by CAD, ePSD, ORACC. The primary organizational unit of Assyriological dictionaries.</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Gloss</w:t>
            </w:r>
          </w:p>
          <w:p>
            <w:pPr>
              <w:spacing w:before="40"/>
            </w:pPr>
            <w:r>
              <w:rPr>
                <w:rFonts w:ascii="Arial" w:cs="Arial" w:eastAsia="Arial" w:hAnsi="Arial"/>
                <w:i/>
                <w:iCs/>
                <w:color w:val="666666"/>
                <w:sz w:val="18"/>
                <w:szCs w:val="18"/>
              </w:rPr>
              <w:t xml:space="preserve">lexicographic</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A short target-language (usually English) translation label offered as a navigational approximation. 'King', 'son', 'house' are glosses. A gloss is honest about being provisional — it claims to orient the reader, not to fully capture meaning. The term originates from the medieval practice of writing explanatory words above or beside difficult text.</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Used throughout CAD and AHw. Best understood as a door into the entry, not the entry itself.</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Sense</w:t>
            </w:r>
          </w:p>
          <w:p>
            <w:pPr>
              <w:spacing w:before="40"/>
            </w:pPr>
            <w:r>
              <w:rPr>
                <w:rFonts w:ascii="Arial" w:cs="Arial" w:eastAsia="Arial" w:hAnsi="Arial"/>
                <w:i/>
                <w:iCs/>
                <w:color w:val="666666"/>
                <w:sz w:val="18"/>
                <w:szCs w:val="18"/>
              </w:rPr>
              <w:t xml:space="preserve">philosophical / semantic</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conceptual content of a word as it existed in a speaker's mind — the full internal meaning-package including connotations, cultural weight, and associative network. Sense is only partially recoverable for dead languages. It is what a native Babylonian speaker carried in their head, not what a scholar reconstructs.</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Not standard Assyriological terminology. Useful for distinguishing what we know from what we've lost. The Lemma box in a diagram approximates sense without fully capturing it.</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Reference</w:t>
            </w:r>
          </w:p>
          <w:p>
            <w:pPr>
              <w:spacing w:before="40"/>
            </w:pPr>
            <w:r>
              <w:rPr>
                <w:rFonts w:ascii="Arial" w:cs="Arial" w:eastAsia="Arial" w:hAnsi="Arial"/>
                <w:i/>
                <w:iCs/>
                <w:color w:val="666666"/>
                <w:sz w:val="18"/>
                <w:szCs w:val="18"/>
              </w:rPr>
              <w:t xml:space="preserve">philosophical / semantic</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actual thing in the world a word points at in a specific use. 'Gilgamesh' has a reference (a legendary king of Uruk). šarrum in a specific inscription has a reference (a particular ruler). Reference is contextual and usage-specific, not a property of the dictionary entry itself.</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Closer to what ORACC calls 'the instance' — the word as used in a specific text, pointing at a specific real-world entity or concept.</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Meaning</w:t>
            </w:r>
          </w:p>
          <w:p>
            <w:pPr>
              <w:spacing w:before="40"/>
            </w:pPr>
            <w:r>
              <w:rPr>
                <w:rFonts w:ascii="Arial" w:cs="Arial" w:eastAsia="Arial" w:hAnsi="Arial"/>
                <w:i/>
                <w:iCs/>
                <w:color w:val="666666"/>
                <w:sz w:val="18"/>
                <w:szCs w:val="18"/>
              </w:rPr>
              <w:t xml:space="preserve">general / umbrella</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everyday term that loosely covers all of the above — sense, reference, gloss, and contextual interpretation together. Most useful in informal discussion. Breaks down under pressure because it conflates distinct layers that matter for database design.</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The most commonly used term in Assyriology. Fine for general discourse; imprecise for data modeling.</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Semantic Range</w:t>
            </w:r>
          </w:p>
          <w:p>
            <w:pPr>
              <w:spacing w:before="40"/>
            </w:pPr>
            <w:r>
              <w:rPr>
                <w:rFonts w:ascii="Arial" w:cs="Arial" w:eastAsia="Arial" w:hAnsi="Arial"/>
                <w:i/>
                <w:iCs/>
                <w:color w:val="666666"/>
                <w:sz w:val="18"/>
                <w:szCs w:val="18"/>
              </w:rPr>
              <w:t xml:space="preserve">linguistic</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full spread of meanings a single sign or lemma can carry across attested uses. DINGIR/AN has a semantic range that includes 'sky', 'heaven', 'god', 'the deity AN', and a silent determinative function. Semantic range is what a dictionary entry maps.</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Used in Assyriological literature. Closely related to the philological concept of polysemy.</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Zero Copula</w:t>
            </w:r>
          </w:p>
          <w:p>
            <w:pPr>
              <w:spacing w:before="40"/>
            </w:pPr>
            <w:r>
              <w:rPr>
                <w:rFonts w:ascii="Arial" w:cs="Arial" w:eastAsia="Arial" w:hAnsi="Arial"/>
                <w:i/>
                <w:iCs/>
                <w:color w:val="666666"/>
                <w:sz w:val="18"/>
                <w:szCs w:val="18"/>
              </w:rPr>
              <w:t xml:space="preserve">grammatical</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absence of a 'to be' verb in nominal sentences. Akkadian, Hittite, and Elamite all form grammatically complete sentences like 'house big' without any equivalent of the English 'is'. The copula is conceptually present but has no written form.</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Relevant for parsing nominal clauses on tablets — an apparent 'missing verb' is often not missing at all.</w:t>
            </w:r>
          </w:p>
        </w:tc>
      </w:tr>
      <w:tr>
        <w:tc>
          <w:tcPr>
            <w:tcW w:type="dxa" w:w="2000"/>
            <w:tcBorders>
              <w:top w:val="single" w:color="C0CCE0" w:sz="1"/>
              <w:left w:val="single" w:color="C0CCE0" w:sz="1"/>
              <w:bottom w:val="single" w:color="C0CCE0" w:sz="1"/>
              <w:right w:val="single" w:color="C0CCE0" w:sz="1"/>
            </w:tcBorders>
            <w:shd w:fill="D8E4F5" w:val="clear"/>
            <w:tcMar>
              <w:top w:type="dxa" w:w="120"/>
              <w:left w:type="dxa" w:w="160"/>
              <w:bottom w:type="dxa" w:w="120"/>
              <w:right w:type="dxa" w:w="160"/>
            </w:tcMar>
          </w:tcPr>
          <w:p>
            <w:r>
              <w:rPr>
                <w:rFonts w:ascii="Georgia" w:cs="Georgia" w:eastAsia="Georgia" w:hAnsi="Georgia"/>
                <w:b/>
                <w:bCs/>
                <w:color w:val="1A1A1A"/>
                <w:sz w:val="22"/>
                <w:szCs w:val="22"/>
              </w:rPr>
              <w:t xml:space="preserve">Phonological Inference</w:t>
            </w:r>
          </w:p>
          <w:p>
            <w:pPr>
              <w:spacing w:before="40"/>
            </w:pPr>
            <w:r>
              <w:rPr>
                <w:rFonts w:ascii="Arial" w:cs="Arial" w:eastAsia="Arial" w:hAnsi="Arial"/>
                <w:i/>
                <w:iCs/>
                <w:color w:val="666666"/>
                <w:sz w:val="18"/>
                <w:szCs w:val="18"/>
              </w:rPr>
              <w:t xml:space="preserve">philological</w:t>
            </w:r>
          </w:p>
        </w:tc>
        <w:tc>
          <w:tcPr>
            <w:tcW w:type="dxa" w:w="4800"/>
            <w:tcBorders>
              <w:top w:val="single" w:color="C0CCE0" w:sz="1"/>
              <w:left w:val="single" w:color="C0CCE0" w:sz="1"/>
              <w:bottom w:val="single" w:color="C0CCE0" w:sz="1"/>
              <w:right w:val="single" w:color="C0CCE0" w:sz="1"/>
            </w:tcBorders>
            <w:shd w:fill="FFFFFF" w:val="clear"/>
            <w:tcMar>
              <w:top w:type="dxa" w:w="120"/>
              <w:left w:type="dxa" w:w="160"/>
              <w:bottom w:type="dxa" w:w="120"/>
              <w:right w:type="dxa" w:w="160"/>
            </w:tcMar>
          </w:tcPr>
          <w:p>
            <w:r>
              <w:rPr>
                <w:rFonts w:ascii="Arial" w:cs="Arial" w:eastAsia="Arial" w:hAnsi="Arial"/>
                <w:color w:val="1A1A1A"/>
                <w:sz w:val="20"/>
                <w:szCs w:val="20"/>
              </w:rPr>
              <w:t xml:space="preserve">The interpretive step between a sign's reading and its lemma — reconstructing what a word actually sounded like from the writing system's imperfect phonological representation. The longer and more uncertain this inference, the more the lemma is a scholarly hypothesis.</w:t>
            </w:r>
          </w:p>
        </w:tc>
        <w:tc>
          <w:tcPr>
            <w:tcW w:type="dxa" w:w="2560"/>
            <w:tcBorders>
              <w:top w:val="single" w:color="C0CCE0" w:sz="1"/>
              <w:left w:val="single" w:color="C0CCE0" w:sz="1"/>
              <w:bottom w:val="single" w:color="C0CCE0" w:sz="1"/>
              <w:right w:val="single" w:color="C0CCE0" w:sz="1"/>
            </w:tcBorders>
            <w:shd w:fill="F0F4FB" w:val="clear"/>
            <w:tcMar>
              <w:top w:type="dxa" w:w="120"/>
              <w:left w:type="dxa" w:w="160"/>
              <w:bottom w:type="dxa" w:w="120"/>
              <w:right w:type="dxa" w:w="160"/>
            </w:tcMar>
          </w:tcPr>
          <w:p>
            <w:r>
              <w:rPr>
                <w:rFonts w:ascii="Arial" w:cs="Arial" w:eastAsia="Arial" w:hAnsi="Arial"/>
                <w:i/>
                <w:iCs/>
                <w:color w:val="444444"/>
                <w:sz w:val="18"/>
                <w:szCs w:val="18"/>
              </w:rPr>
              <w:t xml:space="preserve">Visualized as the dashed arrow in the tablet→sign→reading→lemma diagram. Most tenuous for Hittite Sumerograms.</w:t>
            </w:r>
          </w:p>
        </w:tc>
      </w:tr>
    </w:tbl>
    <w:p>
      <w:pPr>
        <w:pBdr>
          <w:bottom w:val="single" w:color="C0CCE0" w:sz="4" w:space="1"/>
        </w:pBdr>
        <w:spacing w:before="240" w:after="240"/>
      </w:pPr>
    </w:p>
    <w:p>
      <w:pPr>
        <w:spacing w:before="480" w:after="160"/>
      </w:pPr>
      <w:r>
        <w:rPr>
          <w:rFonts w:ascii="Georgia" w:cs="Georgia" w:eastAsia="Georgia" w:hAnsi="Georgia"/>
          <w:b/>
          <w:bCs/>
          <w:color w:val="2E5EAA"/>
          <w:sz w:val="32"/>
          <w:szCs w:val="32"/>
        </w:rPr>
        <w:t xml:space="preserve">2. The Critical Three-Way Distinction</w:t>
      </w:r>
    </w:p>
    <w:p>
      <w:pPr>
        <w:spacing w:before="80" w:after="120"/>
      </w:pPr>
      <w:r>
        <w:rPr>
          <w:rFonts w:ascii="Arial" w:cs="Arial" w:eastAsia="Arial" w:hAnsi="Arial"/>
          <w:sz w:val="20"/>
          <w:szCs w:val="20"/>
        </w:rPr>
        <w:t xml:space="preserve">The most important conceptual distinction for dictionary design is the difference between </w:t>
      </w:r>
      <w:r>
        <w:rPr>
          <w:rFonts w:ascii="Arial" w:cs="Arial" w:eastAsia="Arial" w:hAnsi="Arial"/>
          <w:b/>
          <w:bCs/>
          <w:sz w:val="20"/>
          <w:szCs w:val="20"/>
        </w:rPr>
        <w:t xml:space="preserve">gloss</w:t>
      </w:r>
      <w:r>
        <w:rPr>
          <w:rFonts w:ascii="Arial" w:cs="Arial" w:eastAsia="Arial" w:hAnsi="Arial"/>
          <w:sz w:val="20"/>
          <w:szCs w:val="20"/>
        </w:rPr>
        <w:t xml:space="preserve">, </w:t>
      </w:r>
      <w:r>
        <w:rPr>
          <w:rFonts w:ascii="Arial" w:cs="Arial" w:eastAsia="Arial" w:hAnsi="Arial"/>
          <w:b/>
          <w:bCs/>
          <w:sz w:val="20"/>
          <w:szCs w:val="20"/>
        </w:rPr>
        <w:t xml:space="preserve">sense</w:t>
      </w:r>
      <w:r>
        <w:rPr>
          <w:rFonts w:ascii="Arial" w:cs="Arial" w:eastAsia="Arial" w:hAnsi="Arial"/>
          <w:sz w:val="20"/>
          <w:szCs w:val="20"/>
        </w:rPr>
        <w:t xml:space="preserve">, and </w:t>
      </w:r>
      <w:r>
        <w:rPr>
          <w:rFonts w:ascii="Arial" w:cs="Arial" w:eastAsia="Arial" w:hAnsi="Arial"/>
          <w:b/>
          <w:bCs/>
          <w:sz w:val="20"/>
          <w:szCs w:val="20"/>
        </w:rPr>
        <w:t xml:space="preserve">reference</w:t>
      </w:r>
      <w:r>
        <w:rPr>
          <w:rFonts w:ascii="Arial" w:cs="Arial" w:eastAsia="Arial" w:hAnsi="Arial"/>
          <w:sz w:val="20"/>
          <w:szCs w:val="20"/>
        </w:rPr>
        <w:t xml:space="preserve">. They are easy to conflate but serve different functions.</w:t>
      </w:r>
    </w:p>
    <w:p>
      <w:pPr>
        <w:spacing w:before="80" w:after="80"/>
      </w:pPr>
    </w:p>
    <w:p>
      <w:pPr>
        <w:spacing w:before="240" w:after="80"/>
      </w:pPr>
      <w:r>
        <w:rPr>
          <w:rFonts w:ascii="Arial" w:cs="Arial" w:eastAsia="Arial" w:hAnsi="Arial"/>
          <w:b/>
          <w:bCs/>
          <w:color w:val="2E5EAA"/>
          <w:sz w:val="22"/>
          <w:szCs w:val="22"/>
        </w:rPr>
        <w:t xml:space="preserve">Gloss vs. Sense</w:t>
      </w:r>
    </w:p>
    <w:p>
      <w:pPr>
        <w:spacing w:before="80" w:after="120"/>
      </w:pPr>
      <w:r>
        <w:rPr>
          <w:rFonts w:ascii="Arial" w:cs="Arial" w:eastAsia="Arial" w:hAnsi="Arial"/>
          <w:sz w:val="20"/>
          <w:szCs w:val="20"/>
        </w:rPr>
        <w:t xml:space="preserve">A gloss is what a lexicographer </w:t>
      </w:r>
      <w:r>
        <w:rPr>
          <w:rFonts w:ascii="Arial" w:cs="Arial" w:eastAsia="Arial" w:hAnsi="Arial"/>
          <w:b/>
          <w:bCs/>
          <w:sz w:val="20"/>
          <w:szCs w:val="20"/>
        </w:rPr>
        <w:t xml:space="preserve">writes</w:t>
      </w:r>
      <w:r>
        <w:rPr>
          <w:rFonts w:ascii="Arial" w:cs="Arial" w:eastAsia="Arial" w:hAnsi="Arial"/>
          <w:sz w:val="20"/>
          <w:szCs w:val="20"/>
        </w:rPr>
        <w:t xml:space="preserve">. A sense is what a speaker </w:t>
      </w:r>
      <w:r>
        <w:rPr>
          <w:rFonts w:ascii="Arial" w:cs="Arial" w:eastAsia="Arial" w:hAnsi="Arial"/>
          <w:b/>
          <w:bCs/>
          <w:sz w:val="20"/>
          <w:szCs w:val="20"/>
        </w:rPr>
        <w:t xml:space="preserve">knew</w:t>
      </w:r>
      <w:r>
        <w:rPr>
          <w:rFonts w:ascii="Arial" w:cs="Arial" w:eastAsia="Arial" w:hAnsi="Arial"/>
          <w:sz w:val="20"/>
          <w:szCs w:val="20"/>
        </w:rPr>
        <w:t xml:space="preserve">. For living languages the gap is small enough to ignore. For dead languages reconstructed from clay tablets, the gap is where all the interpretive uncertainty lives. When the CAD writes šarrum = 'king', that gloss captures perhaps sixty percent of the sense — the referential category, but not the divine connotations, the relationship to the gods, the distinction from rubûm or bēlum that a native speaker felt immediately.</w:t>
      </w:r>
    </w:p>
    <w:p>
      <w:pPr>
        <w:spacing w:before="80" w:after="80"/>
      </w:pPr>
    </w:p>
    <w:p>
      <w:pPr>
        <w:spacing w:before="240" w:after="80"/>
      </w:pPr>
      <w:r>
        <w:rPr>
          <w:rFonts w:ascii="Arial" w:cs="Arial" w:eastAsia="Arial" w:hAnsi="Arial"/>
          <w:b/>
          <w:bCs/>
          <w:color w:val="2E5EAA"/>
          <w:sz w:val="22"/>
          <w:szCs w:val="22"/>
        </w:rPr>
        <w:t xml:space="preserve">Gloss vs. Reference</w:t>
      </w:r>
    </w:p>
    <w:p>
      <w:pPr>
        <w:spacing w:before="80" w:after="120"/>
      </w:pPr>
      <w:r>
        <w:rPr>
          <w:rFonts w:ascii="Arial" w:cs="Arial" w:eastAsia="Arial" w:hAnsi="Arial"/>
          <w:sz w:val="20"/>
          <w:szCs w:val="20"/>
        </w:rPr>
        <w:t xml:space="preserve">A gloss lives in the </w:t>
      </w:r>
      <w:r>
        <w:rPr>
          <w:rFonts w:ascii="Arial" w:cs="Arial" w:eastAsia="Arial" w:hAnsi="Arial"/>
          <w:b/>
          <w:bCs/>
          <w:sz w:val="20"/>
          <w:szCs w:val="20"/>
        </w:rPr>
        <w:t xml:space="preserve">dictionary entry</w:t>
      </w:r>
      <w:r>
        <w:rPr>
          <w:rFonts w:ascii="Arial" w:cs="Arial" w:eastAsia="Arial" w:hAnsi="Arial"/>
          <w:sz w:val="20"/>
          <w:szCs w:val="20"/>
        </w:rPr>
        <w:t xml:space="preserve">. A reference lives in a </w:t>
      </w:r>
      <w:r>
        <w:rPr>
          <w:rFonts w:ascii="Arial" w:cs="Arial" w:eastAsia="Arial" w:hAnsi="Arial"/>
          <w:b/>
          <w:bCs/>
          <w:sz w:val="20"/>
          <w:szCs w:val="20"/>
        </w:rPr>
        <w:t xml:space="preserve">specific text</w:t>
      </w:r>
      <w:r>
        <w:rPr>
          <w:rFonts w:ascii="Arial" w:cs="Arial" w:eastAsia="Arial" w:hAnsi="Arial"/>
          <w:sz w:val="20"/>
          <w:szCs w:val="20"/>
        </w:rPr>
        <w:t xml:space="preserve">. 'King' is a gloss for šarrum. But in the prologue to the Code of Hammurabi, šarrum refers to Hammurabi specifically — that is the reference. The same lemma with the same gloss can have thousands of different references across the corpus. This is a database layer distinction: gloss belongs to the lexical record; reference belongs to the attestation record.</w:t>
      </w:r>
    </w:p>
    <w:p>
      <w:pPr>
        <w:spacing w:before="80" w:after="80"/>
      </w:pPr>
    </w:p>
    <w:p>
      <w:pPr>
        <w:spacing w:before="240" w:after="80"/>
      </w:pPr>
      <w:r>
        <w:rPr>
          <w:rFonts w:ascii="Arial" w:cs="Arial" w:eastAsia="Arial" w:hAnsi="Arial"/>
          <w:b/>
          <w:bCs/>
          <w:color w:val="2E5EAA"/>
          <w:sz w:val="22"/>
          <w:szCs w:val="22"/>
        </w:rPr>
        <w:t xml:space="preserve">Sense vs. Reference</w:t>
      </w:r>
    </w:p>
    <w:p>
      <w:pPr>
        <w:spacing w:before="80" w:after="120"/>
      </w:pPr>
      <w:r>
        <w:rPr>
          <w:rFonts w:ascii="Arial" w:cs="Arial" w:eastAsia="Arial" w:hAnsi="Arial"/>
          <w:sz w:val="20"/>
          <w:szCs w:val="20"/>
        </w:rPr>
        <w:t xml:space="preserve">Frege's classic example: 'the morning star' and 'the evening star' share a </w:t>
      </w:r>
      <w:r>
        <w:rPr>
          <w:rFonts w:ascii="Arial" w:cs="Arial" w:eastAsia="Arial" w:hAnsi="Arial"/>
          <w:b/>
          <w:bCs/>
          <w:sz w:val="20"/>
          <w:szCs w:val="20"/>
        </w:rPr>
        <w:t xml:space="preserve">reference</w:t>
      </w:r>
      <w:r>
        <w:rPr>
          <w:rFonts w:ascii="Arial" w:cs="Arial" w:eastAsia="Arial" w:hAnsi="Arial"/>
          <w:sz w:val="20"/>
          <w:szCs w:val="20"/>
        </w:rPr>
        <w:t xml:space="preserve"> (Venus) but have different </w:t>
      </w:r>
      <w:r>
        <w:rPr>
          <w:rFonts w:ascii="Arial" w:cs="Arial" w:eastAsia="Arial" w:hAnsi="Arial"/>
          <w:b/>
          <w:bCs/>
          <w:sz w:val="20"/>
          <w:szCs w:val="20"/>
        </w:rPr>
        <w:t xml:space="preserve">senses</w:t>
      </w:r>
      <w:r>
        <w:rPr>
          <w:rFonts w:ascii="Arial" w:cs="Arial" w:eastAsia="Arial" w:hAnsi="Arial"/>
          <w:sz w:val="20"/>
          <w:szCs w:val="20"/>
        </w:rPr>
        <w:t xml:space="preserve"> (different conceptual pathways to the same object). In cuneiform terms: DUMU in Sumerian, Akkadian, Hittite, and Elamite contexts all share a reference ('son') but carry genuinely different senses — different conceptual packages embedded in different linguistic and cultural systems. The Hittite case is the most extreme: the reference is recoverable but the sense remains debated, meaning scholars can agree on what the sign points at without being able to reconstruct the native speaker's concept.</w:t>
      </w:r>
    </w:p>
    <w:p>
      <w:pPr>
        <w:pBdr>
          <w:bottom w:val="single" w:color="C0CCE0" w:sz="4" w:space="1"/>
        </w:pBdr>
        <w:spacing w:before="240" w:after="240"/>
      </w:pPr>
    </w:p>
    <w:p>
      <w:pPr>
        <w:spacing w:before="480" w:after="160"/>
      </w:pPr>
      <w:r>
        <w:rPr>
          <w:rFonts w:ascii="Georgia" w:cs="Georgia" w:eastAsia="Georgia" w:hAnsi="Georgia"/>
          <w:b/>
          <w:bCs/>
          <w:color w:val="2E5EAA"/>
          <w:sz w:val="32"/>
          <w:szCs w:val="32"/>
        </w:rPr>
        <w:t xml:space="preserve">3. Proposed Taxonomy for a Multi-Language Gloss Dictionary</w:t>
      </w:r>
    </w:p>
    <w:p>
      <w:pPr>
        <w:spacing w:before="80" w:after="120"/>
      </w:pPr>
      <w:r>
        <w:rPr>
          <w:rFonts w:ascii="Arial" w:cs="Arial" w:eastAsia="Arial" w:hAnsi="Arial"/>
          <w:sz w:val="20"/>
          <w:szCs w:val="20"/>
        </w:rPr>
        <w:t xml:space="preserve">The following taxonomy organizes a massive cross-language cuneiform gloss collection into distinct layers. Each layer corresponds to a specific type of information and should be modeled as a distinct record type or field group in a database — not collapsed into a single entry.</w:t>
      </w:r>
    </w:p>
    <w:p>
      <w:pPr>
        <w:spacing w:before="120" w:after="120"/>
      </w:pPr>
    </w:p>
    <w:p>
      <w:pPr>
        <w:spacing w:before="360" w:after="120"/>
      </w:pPr>
      <w:r>
        <w:rPr>
          <w:rFonts w:ascii="Georgia" w:cs="Georgia" w:eastAsia="Georgia" w:hAnsi="Georgia"/>
          <w:b/>
          <w:bCs/>
          <w:color w:val="1A1A1A"/>
          <w:sz w:val="24"/>
          <w:szCs w:val="24"/>
        </w:rPr>
        <w:t xml:space="preserve">Layer 0: Sign</w:t>
      </w:r>
    </w:p>
    <w:p>
      <w:pPr>
        <w:spacing w:before="80" w:after="120"/>
      </w:pPr>
      <w:r>
        <w:rPr>
          <w:rFonts w:ascii="Arial" w:cs="Arial" w:eastAsia="Arial" w:hAnsi="Arial"/>
          <w:sz w:val="20"/>
          <w:szCs w:val="20"/>
        </w:rPr>
        <w:t xml:space="preserve">The physical and graphical unit. Language-independent. Every lexical chain begins here.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Sign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Sign form</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Unicode codepoint(s) and cuneiform character</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𒌉 U+12049</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Sign</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Borger number</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Standard sign list identifier</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Borger 296</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Sign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Sign name</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Conventional Assyriological label</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DUMU</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Sign</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Sign type</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Logograph, syllabogram, determinative, or hybrid</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Logograph (also syllabogram in some uses)</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Sign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Period attested</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Chronological range of attestation</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Ur III through Neo-Babylonian</w:t>
            </w:r>
          </w:p>
        </w:tc>
      </w:tr>
    </w:tbl>
    <w:p>
      <w:pPr>
        <w:spacing w:before="240" w:after="80"/>
      </w:pPr>
    </w:p>
    <w:p>
      <w:pPr>
        <w:spacing w:before="360" w:after="120"/>
      </w:pPr>
      <w:r>
        <w:rPr>
          <w:rFonts w:ascii="Georgia" w:cs="Georgia" w:eastAsia="Georgia" w:hAnsi="Georgia"/>
          <w:b/>
          <w:bCs/>
          <w:color w:val="1A1A1A"/>
          <w:sz w:val="24"/>
          <w:szCs w:val="24"/>
        </w:rPr>
        <w:t xml:space="preserve">Layer 1: Reading</w:t>
      </w:r>
    </w:p>
    <w:p>
      <w:pPr>
        <w:spacing w:before="80" w:after="120"/>
      </w:pPr>
      <w:r>
        <w:rPr>
          <w:rFonts w:ascii="Arial" w:cs="Arial" w:eastAsia="Arial" w:hAnsi="Arial"/>
          <w:sz w:val="20"/>
          <w:szCs w:val="20"/>
        </w:rPr>
        <w:t xml:space="preserve">The phonological realization — language-specific and context-dependent. A single sign can have multiple readings.</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Reading</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Transliteration</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Sign-by-sign phonological representation</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ma-ru-um</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Reading</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Language</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Which language this reading belongs to</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Akkadian</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Reading</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Case convention</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Lowercase = native Sumerian; UPPERCASE = Sumerogram in another language</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DUMU (Akkadian use)</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Reading</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Phonetic complements</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Syllabic additions that clarify the reading of a logogram</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DUMU-šu → māršu</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Reading</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Inference confidence</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How directly the reading maps to the lemma</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High (syllabic) / Low (Sumerogram in Hittite)</w:t>
            </w:r>
          </w:p>
        </w:tc>
      </w:tr>
    </w:tbl>
    <w:p>
      <w:pPr>
        <w:spacing w:before="240" w:after="80"/>
      </w:pPr>
    </w:p>
    <w:p>
      <w:pPr>
        <w:spacing w:before="360" w:after="120"/>
      </w:pPr>
      <w:r>
        <w:rPr>
          <w:rFonts w:ascii="Georgia" w:cs="Georgia" w:eastAsia="Georgia" w:hAnsi="Georgia"/>
          <w:b/>
          <w:bCs/>
          <w:color w:val="1A1A1A"/>
          <w:sz w:val="24"/>
          <w:szCs w:val="24"/>
        </w:rPr>
        <w:t xml:space="preserve">Layer 2: Lemma</w:t>
      </w:r>
    </w:p>
    <w:p>
      <w:pPr>
        <w:spacing w:before="80" w:after="120"/>
      </w:pPr>
      <w:r>
        <w:rPr>
          <w:rFonts w:ascii="Arial" w:cs="Arial" w:eastAsia="Arial" w:hAnsi="Arial"/>
          <w:sz w:val="20"/>
          <w:szCs w:val="20"/>
        </w:rPr>
        <w:t xml:space="preserve">The normalized dictionary headword. The primary organizational unit. Language-specific.</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Citation form</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Normalized headword in scholarly transcription</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mārum</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Language</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Sumerian, Akkadian, Hittite, or Elamite</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Akkadian</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Dialect / period</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Old Babylonian, Neo-Assyrian, Middle Elamite, etc.</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Old Babylonian</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Part of speech</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Noun, verb, adjective, particle, etc.</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Noun, masculine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Stem / derivation</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For verbs: G, D, Š, N stems and variants</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G-stem (basic)</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Lemma</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Certainty flag</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Is this lemma established, debated, or reconstructed?</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[debated] for Hittite DUMU</w:t>
            </w:r>
          </w:p>
        </w:tc>
      </w:tr>
    </w:tbl>
    <w:p>
      <w:pPr>
        <w:spacing w:before="240" w:after="80"/>
      </w:pPr>
    </w:p>
    <w:p>
      <w:pPr>
        <w:spacing w:before="360" w:after="120"/>
      </w:pPr>
      <w:r>
        <w:rPr>
          <w:rFonts w:ascii="Georgia" w:cs="Georgia" w:eastAsia="Georgia" w:hAnsi="Georgia"/>
          <w:b/>
          <w:bCs/>
          <w:color w:val="1A1A1A"/>
          <w:sz w:val="24"/>
          <w:szCs w:val="24"/>
        </w:rPr>
        <w:t xml:space="preserve">Layer 3: Gloss</w:t>
      </w:r>
    </w:p>
    <w:p>
      <w:pPr>
        <w:spacing w:before="80" w:after="120"/>
      </w:pPr>
      <w:r>
        <w:rPr>
          <w:rFonts w:ascii="Arial" w:cs="Arial" w:eastAsia="Arial" w:hAnsi="Arial"/>
          <w:sz w:val="20"/>
          <w:szCs w:val="20"/>
        </w:rPr>
        <w:t xml:space="preserve">The target-language translation label. Navigational and provisional. Can be one-to-many: a single lemma may require multiple glosses to cover its semantic range.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Primary gloss</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The main English translation handle</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"king"</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Secondary glosses</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Additional glosses covering extended semantic range</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"ruler", "lord" (for specific registers)</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Register</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Administrative, legal, literary, religious, royal</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Royal inscription use</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Period qualifier</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Gloss may differ by period</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"chieftain" in early periods</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Source</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Which dictionary or corpus the gloss comes from</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CAD Š/2 p.78</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Gloss</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Gloss type</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Common noun, proper noun, divine name, technical term</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Common noun</w:t>
            </w:r>
          </w:p>
        </w:tc>
      </w:tr>
    </w:tbl>
    <w:p>
      <w:pPr>
        <w:spacing w:before="240" w:after="80"/>
      </w:pPr>
    </w:p>
    <w:p>
      <w:pPr>
        <w:spacing w:before="360" w:after="120"/>
      </w:pPr>
      <w:r>
        <w:rPr>
          <w:rFonts w:ascii="Georgia" w:cs="Georgia" w:eastAsia="Georgia" w:hAnsi="Georgia"/>
          <w:b/>
          <w:bCs/>
          <w:color w:val="1A1A1A"/>
          <w:sz w:val="24"/>
          <w:szCs w:val="24"/>
        </w:rPr>
        <w:t xml:space="preserve">Layer 4: Attestation</w:t>
      </w:r>
    </w:p>
    <w:p>
      <w:pPr>
        <w:spacing w:before="80" w:after="120"/>
      </w:pPr>
      <w:r>
        <w:rPr>
          <w:rFonts w:ascii="Arial" w:cs="Arial" w:eastAsia="Arial" w:hAnsi="Arial"/>
          <w:sz w:val="20"/>
          <w:szCs w:val="20"/>
        </w:rPr>
        <w:t xml:space="preserve">The specific textual instance — where the lemma actually appears, what reference it carries in that context, and what the surrounding sentence structure tells us about its use.</w:t>
      </w:r>
    </w:p>
    <w:p>
      <w:pPr>
        <w:spacing w:before="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600"/>
        <w:gridCol w:w="2560"/>
      </w:tblGrid>
      <w:tr>
        <w:trPr>
          <w:tblHeader/>
        </w:trPr>
        <w:tc>
          <w:tcPr>
            <w:tcW w:type="dxa" w:w="14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18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360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560"/>
            <w:tcBorders>
              <w:top w:val="single" w:color="2E5EAA" w:sz="1"/>
              <w:left w:val="single" w:color="2E5EAA" w:sz="1"/>
              <w:bottom w:val="single" w:color="2E5EAA" w:sz="1"/>
              <w:right w:val="single" w:color="2E5EAA" w:sz="1"/>
            </w:tcBorders>
            <w:shd w:fill="2E5EAA" w:val="clear"/>
            <w:tcMar>
              <w:top w:type="dxa" w:w="100"/>
              <w:left w:type="dxa" w:w="140"/>
              <w:bottom w:type="dxa" w:w="100"/>
              <w:right w:type="dxa" w:w="140"/>
            </w:tcMar>
          </w:tcPr>
          <w:p>
            <w:r>
              <w:rPr>
                <w:rFonts w:ascii="Arial" w:cs="Arial" w:eastAsia="Arial" w:hAnsi="Arial"/>
                <w:b/>
                <w:bCs/>
                <w:color w:val="FFFFFF"/>
                <w:sz w:val="20"/>
                <w:szCs w:val="20"/>
              </w:rPr>
              <w:t xml:space="preserve">Example</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Text ID</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CDLI/ORACC identifier for the source tablet</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P123456</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Line reference</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Tablet, column, line</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obv. ii 14</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Context gloss</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What this specific instance refers to in this text</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Hammurabi (specific ruler)</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Writing form</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How it actually appears on the tablet (syllabic, logographic, mixed)</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LUGAL-ri (mixed)</w:t>
            </w:r>
          </w:p>
        </w:tc>
      </w:tr>
      <w:tr>
        <w:tc>
          <w:tcPr>
            <w:tcW w:type="dxa" w:w="14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Sentence type</w:t>
            </w:r>
          </w:p>
        </w:tc>
        <w:tc>
          <w:tcPr>
            <w:tcW w:type="dxa" w:w="360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Verbal, nominal, imperative, subordinate</w:t>
            </w:r>
          </w:p>
        </w:tc>
        <w:tc>
          <w:tcPr>
            <w:tcW w:type="dxa" w:w="2560"/>
            <w:tcBorders>
              <w:top w:val="single" w:color="C0CCE0" w:sz="1"/>
              <w:left w:val="single" w:color="C0CCE0" w:sz="1"/>
              <w:bottom w:val="single" w:color="C0CCE0" w:sz="1"/>
              <w:right w:val="single" w:color="C0CCE0" w:sz="1"/>
            </w:tcBorders>
            <w:shd w:fill="FFFFFF" w:val="clear"/>
            <w:tcMar>
              <w:top w:type="dxa" w:w="100"/>
              <w:left w:type="dxa" w:w="140"/>
              <w:bottom w:type="dxa" w:w="100"/>
              <w:right w:type="dxa" w:w="140"/>
            </w:tcMar>
          </w:tcPr>
          <w:p>
            <w:r>
              <w:rPr>
                <w:rFonts w:ascii="Arial" w:cs="Arial" w:eastAsia="Arial" w:hAnsi="Arial"/>
                <w:i/>
                <w:iCs/>
                <w:color w:val="444444"/>
                <w:sz w:val="19"/>
                <w:szCs w:val="19"/>
              </w:rPr>
              <w:t xml:space="preserve">Nominal sentence, zero copula</w:t>
            </w:r>
          </w:p>
        </w:tc>
      </w:tr>
      <w:tr>
        <w:tc>
          <w:tcPr>
            <w:tcW w:type="dxa" w:w="14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b/>
                <w:bCs/>
                <w:color w:val="2E5EAA"/>
                <w:sz w:val="19"/>
                <w:szCs w:val="19"/>
              </w:rPr>
              <w:t xml:space="preserve">Attestation</w:t>
            </w:r>
          </w:p>
        </w:tc>
        <w:tc>
          <w:tcPr>
            <w:tcW w:type="dxa" w:w="18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Notes</w:t>
            </w:r>
          </w:p>
        </w:tc>
        <w:tc>
          <w:tcPr>
            <w:tcW w:type="dxa" w:w="360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color w:val="1A1A1A"/>
                <w:sz w:val="19"/>
                <w:szCs w:val="19"/>
              </w:rPr>
              <w:t xml:space="preserve">Any disambiguation, uncertainty, or editorial comment</w:t>
            </w:r>
          </w:p>
        </w:tc>
        <w:tc>
          <w:tcPr>
            <w:tcW w:type="dxa" w:w="2560"/>
            <w:tcBorders>
              <w:top w:val="single" w:color="C0CCE0" w:sz="1"/>
              <w:left w:val="single" w:color="C0CCE0" w:sz="1"/>
              <w:bottom w:val="single" w:color="C0CCE0" w:sz="1"/>
              <w:right w:val="single" w:color="C0CCE0" w:sz="1"/>
            </w:tcBorders>
            <w:shd w:fill="F0F4FB" w:val="clear"/>
            <w:tcMar>
              <w:top w:type="dxa" w:w="100"/>
              <w:left w:type="dxa" w:w="140"/>
              <w:bottom w:type="dxa" w:w="100"/>
              <w:right w:type="dxa" w:w="140"/>
            </w:tcMar>
          </w:tcPr>
          <w:p>
            <w:r>
              <w:rPr>
                <w:rFonts w:ascii="Arial" w:cs="Arial" w:eastAsia="Arial" w:hAnsi="Arial"/>
                <w:i/>
                <w:iCs/>
                <w:color w:val="444444"/>
                <w:sz w:val="19"/>
                <w:szCs w:val="19"/>
              </w:rPr>
              <w:t xml:space="preserve">Phonetic complement confirms case</w:t>
            </w:r>
          </w:p>
        </w:tc>
      </w:tr>
    </w:tbl>
    <w:p>
      <w:pPr>
        <w:pBdr>
          <w:bottom w:val="single" w:color="C0CCE0" w:sz="4" w:space="1"/>
        </w:pBdr>
        <w:spacing w:before="240" w:after="240"/>
      </w:pPr>
    </w:p>
    <w:p>
      <w:pPr>
        <w:spacing w:before="480" w:after="160"/>
      </w:pPr>
      <w:r>
        <w:rPr>
          <w:rFonts w:ascii="Georgia" w:cs="Georgia" w:eastAsia="Georgia" w:hAnsi="Georgia"/>
          <w:b/>
          <w:bCs/>
          <w:color w:val="2E5EAA"/>
          <w:sz w:val="32"/>
          <w:szCs w:val="32"/>
        </w:rPr>
        <w:t xml:space="preserve">4. Key Design Principles</w:t>
      </w:r>
    </w:p>
    <w:p>
      <w:pPr>
        <w:spacing w:before="240" w:after="80"/>
      </w:pPr>
      <w:r>
        <w:rPr>
          <w:rFonts w:ascii="Arial" w:cs="Arial" w:eastAsia="Arial" w:hAnsi="Arial"/>
          <w:b/>
          <w:bCs/>
          <w:color w:val="2E5EAA"/>
          <w:sz w:val="22"/>
          <w:szCs w:val="22"/>
        </w:rPr>
        <w:t xml:space="preserve">Glosses belong to lexical entries; references belong to attestations</w:t>
      </w:r>
    </w:p>
    <w:p>
      <w:pPr>
        <w:spacing w:before="80" w:after="120"/>
      </w:pPr>
      <w:r>
        <w:rPr>
          <w:rFonts w:ascii="Arial" w:cs="Arial" w:eastAsia="Arial" w:hAnsi="Arial"/>
          <w:sz w:val="20"/>
          <w:szCs w:val="20"/>
        </w:rPr>
        <w:t xml:space="preserve">Do not store 'Gilgamesh' and 'king' in the same field type. A proper noun like Gilgamesh is a reference, not a gloss. It belongs at Layer 4 (attestation), not Layer 3 (gloss). Common nouns like 'king' are glosses that live at Layer 3 and apply across all attestations of that lemma.</w:t>
      </w:r>
    </w:p>
    <w:p>
      <w:pPr>
        <w:spacing w:before="240" w:after="80"/>
      </w:pPr>
      <w:r>
        <w:rPr>
          <w:rFonts w:ascii="Arial" w:cs="Arial" w:eastAsia="Arial" w:hAnsi="Arial"/>
          <w:b/>
          <w:bCs/>
          <w:color w:val="2E5EAA"/>
          <w:sz w:val="22"/>
          <w:szCs w:val="22"/>
        </w:rPr>
        <w:t xml:space="preserve">One lemma, many glosses — model this as a one-to-many relationship</w:t>
      </w:r>
    </w:p>
    <w:p>
      <w:pPr>
        <w:spacing w:before="80" w:after="120"/>
      </w:pPr>
      <w:r>
        <w:rPr>
          <w:rFonts w:ascii="Arial" w:cs="Arial" w:eastAsia="Arial" w:hAnsi="Arial"/>
          <w:sz w:val="20"/>
          <w:szCs w:val="20"/>
        </w:rPr>
        <w:t xml:space="preserve">The semantic range of a Sumerian or Akkadian word routinely spans what English requires multiple words to express. dumu means son, child, member of a class, and professional dependent depending on register. Each distinct sense cluster deserves its own gloss record linked to the lemma, with period and register qualifiers, not a single concatenated string like 'son/child/member'.</w:t>
      </w:r>
    </w:p>
    <w:p>
      <w:pPr>
        <w:spacing w:before="240" w:after="80"/>
      </w:pPr>
      <w:r>
        <w:rPr>
          <w:rFonts w:ascii="Arial" w:cs="Arial" w:eastAsia="Arial" w:hAnsi="Arial"/>
          <w:b/>
          <w:bCs/>
          <w:color w:val="2E5EAA"/>
          <w:sz w:val="22"/>
          <w:szCs w:val="22"/>
        </w:rPr>
        <w:t xml:space="preserve">Flag inference confidence explicitly</w:t>
      </w:r>
    </w:p>
    <w:p>
      <w:pPr>
        <w:spacing w:before="80" w:after="120"/>
      </w:pPr>
      <w:r>
        <w:rPr>
          <w:rFonts w:ascii="Arial" w:cs="Arial" w:eastAsia="Arial" w:hAnsi="Arial"/>
          <w:sz w:val="20"/>
          <w:szCs w:val="20"/>
        </w:rPr>
        <w:t xml:space="preserve">The path from sign to lemma is not equally reliable across languages. Akkadian syllabic spellings carry high confidence. Hittite Sumerograms without phonetic complements carry low confidence. The [debated] flag at the lemma layer is not just a note — it is a data quality signal that affects how downstream glosses should be weighted and displayed.</w:t>
      </w:r>
    </w:p>
    <w:p>
      <w:pPr>
        <w:spacing w:before="240" w:after="80"/>
      </w:pPr>
      <w:r>
        <w:rPr>
          <w:rFonts w:ascii="Arial" w:cs="Arial" w:eastAsia="Arial" w:hAnsi="Arial"/>
          <w:b/>
          <w:bCs/>
          <w:color w:val="2E5EAA"/>
          <w:sz w:val="22"/>
          <w:szCs w:val="22"/>
        </w:rPr>
        <w:t xml:space="preserve">Treat the gloss as a door, not a definition</w:t>
      </w:r>
    </w:p>
    <w:p>
      <w:pPr>
        <w:spacing w:before="80" w:after="120"/>
      </w:pPr>
      <w:r>
        <w:rPr>
          <w:rFonts w:ascii="Arial" w:cs="Arial" w:eastAsia="Arial" w:hAnsi="Arial"/>
          <w:sz w:val="20"/>
          <w:szCs w:val="20"/>
        </w:rPr>
        <w:t xml:space="preserve">The gloss column is navigation infrastructure. A user searching for 'king' needs to find šarrum, LUGAL, sunki-*, and ḫaššuš. The full account of what any of those words meant to their native speakers lives in the definition, usage examples, and attestation notes — not in the gloss string itself. Design the interface accordingly: gloss for finding, attestation for understanding.</w:t>
      </w:r>
    </w:p>
    <w:p>
      <w:pPr>
        <w:spacing w:before="240" w:after="80"/>
      </w:pPr>
      <w:r>
        <w:rPr>
          <w:rFonts w:ascii="Arial" w:cs="Arial" w:eastAsia="Arial" w:hAnsi="Arial"/>
          <w:b/>
          <w:bCs/>
          <w:color w:val="2E5EAA"/>
          <w:sz w:val="22"/>
          <w:szCs w:val="22"/>
        </w:rPr>
        <w:t xml:space="preserve">Preserve the sign as language-neutral anchor</w:t>
      </w:r>
    </w:p>
    <w:p>
      <w:pPr>
        <w:spacing w:before="80" w:after="120"/>
      </w:pPr>
      <w:r>
        <w:rPr>
          <w:rFonts w:ascii="Arial" w:cs="Arial" w:eastAsia="Arial" w:hAnsi="Arial"/>
          <w:sz w:val="20"/>
          <w:szCs w:val="20"/>
        </w:rPr>
        <w:t xml:space="preserve">The same physical sign — 𒌉, 𒈗 — appears across all four languages with different lemmata and different glosses. The sign record is the one genuinely language-neutral layer and should be modeled as such, with language-specific reading and lemma records hanging off it rather than duplicating the sign data per language.</w:t>
      </w:r>
    </w:p>
    <w:p>
      <w:pPr>
        <w:spacing w:before="240" w:after="120"/>
      </w:pPr>
    </w:p>
    <w:p>
      <w:pPr>
        <w:pBdr>
          <w:bottom w:val="single" w:color="C0CCE0" w:sz="4" w:space="1"/>
        </w:pBdr>
        <w:spacing w:before="240" w:after="240"/>
      </w:pPr>
    </w:p>
    <w:p>
      <w:pPr>
        <w:spacing w:before="160" w:after="0"/>
        <w:jc w:val="center"/>
      </w:pPr>
      <w:r>
        <w:rPr>
          <w:rFonts w:ascii="Arial" w:cs="Arial" w:eastAsia="Arial" w:hAnsi="Arial"/>
          <w:i/>
          <w:iCs/>
          <w:color w:val="AAAAAA"/>
          <w:sz w:val="18"/>
          <w:szCs w:val="18"/>
        </w:rPr>
        <w:t xml:space="preserve">Sumerian · Akkadian · Hittite · Elamite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2026-02-26T05:38:17.572Z</dcterms:created>
  <dcterms:modified xsi:type="dcterms:W3CDTF">2026-02-26T05:38:17.573Z</dcterms:modified>
</cp:coreProperties>
</file>

<file path=docProps/custom.xml><?xml version="1.0" encoding="utf-8"?>
<Properties xmlns="http://schemas.openxmlformats.org/officeDocument/2006/custom-properties" xmlns:vt="http://schemas.openxmlformats.org/officeDocument/2006/docPropsVTypes"/>
</file>