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rFonts w:ascii="Times New Roman" w:hAnsi="Times New Roman"/>
          <w:b w:val="0"/>
          <w:sz w:val="28"/>
        </w:rPr>
        <w:t>Westminster International University in Tashkent</w:t>
      </w:r>
    </w:p>
    <w:p>
      <w:pPr>
        <w:spacing w:after="720"/>
        <w:jc w:val="center"/>
      </w:pPr>
      <w:r>
        <w:rPr>
          <w:rFonts w:ascii="Times New Roman" w:hAnsi="Times New Roman"/>
          <w:b w:val="0"/>
          <w:sz w:val="24"/>
        </w:rPr>
        <w:t>BSc (Hons) Business Information Systems</w:t>
      </w:r>
    </w:p>
    <w:p>
      <w:pPr>
        <w:spacing w:after="120"/>
        <w:jc w:val="center"/>
      </w:pPr>
      <w:r>
        <w:rPr>
          <w:rFonts w:ascii="Times New Roman" w:hAnsi="Times New Roman"/>
          <w:b/>
          <w:sz w:val="28"/>
        </w:rPr>
        <w:t>6COSC017C Machine Learning and Data Analytics</w:t>
      </w:r>
    </w:p>
    <w:p>
      <w:pPr>
        <w:spacing w:after="720"/>
        <w:jc w:val="center"/>
      </w:pPr>
      <w:r>
        <w:rPr>
          <w:rFonts w:ascii="Times New Roman" w:hAnsi="Times New Roman"/>
          <w:b w:val="0"/>
          <w:sz w:val="26"/>
        </w:rPr>
        <w:t>Coursework 1 (50% of the module mark)</w:t>
      </w:r>
    </w:p>
    <w:p>
      <w:pPr>
        <w:spacing w:after="120"/>
        <w:jc w:val="center"/>
      </w:pPr>
      <w:r>
        <w:rPr>
          <w:rFonts w:ascii="Times New Roman" w:hAnsi="Times New Roman"/>
          <w:b/>
          <w:sz w:val="36"/>
        </w:rPr>
        <w:t>Predicting lost-time mine injuries from MSHA open data</w:t>
      </w:r>
    </w:p>
    <w:p>
      <w:pPr>
        <w:spacing w:after="960"/>
        <w:jc w:val="center"/>
      </w:pPr>
      <w:r>
        <w:rPr>
          <w:rFonts w:ascii="Times New Roman" w:hAnsi="Times New Roman"/>
          <w:b w:val="0"/>
          <w:sz w:val="26"/>
        </w:rPr>
        <w:t>An end-to-end machine learning study with a deployed decision-support application</w:t>
      </w:r>
    </w:p>
    <w:p>
      <w:pPr>
        <w:spacing w:after="80"/>
        <w:jc w:val="center"/>
      </w:pPr>
      <w:r>
        <w:rPr>
          <w:rFonts w:ascii="Times New Roman" w:hAnsi="Times New Roman"/>
          <w:b w:val="0"/>
          <w:sz w:val="24"/>
        </w:rPr>
        <w:t>Student ID: 13130</w:t>
      </w:r>
    </w:p>
    <w:p>
      <w:pPr>
        <w:spacing w:after="80"/>
        <w:jc w:val="center"/>
      </w:pPr>
      <w:r>
        <w:rPr>
          <w:rFonts w:ascii="Times New Roman" w:hAnsi="Times New Roman"/>
          <w:b w:val="0"/>
          <w:sz w:val="24"/>
        </w:rPr>
        <w:t>Marker: Ruslan Isaev</w:t>
      </w:r>
    </w:p>
    <w:p>
      <w:pPr>
        <w:spacing w:after="80"/>
        <w:jc w:val="center"/>
      </w:pPr>
      <w:r>
        <w:rPr>
          <w:rFonts w:ascii="Times New Roman" w:hAnsi="Times New Roman"/>
          <w:b w:val="0"/>
          <w:sz w:val="24"/>
        </w:rPr>
        <w:t>Submission date: December 2026</w:t>
      </w:r>
    </w:p>
    <w:p>
      <w:pPr>
        <w:spacing w:after="80"/>
        <w:jc w:val="center"/>
      </w:pPr>
      <w:r>
        <w:rPr>
          <w:rFonts w:ascii="Times New Roman" w:hAnsi="Times New Roman"/>
          <w:b w:val="0"/>
          <w:sz w:val="24"/>
        </w:rPr>
        <w:t>Word count (sections 1 to 5): 7,339</w:t>
      </w:r>
    </w:p>
    <w:p>
      <w:pPr>
        <w:spacing w:after="80"/>
        <w:jc w:val="center"/>
      </w:pPr>
      <w:r>
        <w:rPr>
          <w:rFonts w:ascii="Times New Roman" w:hAnsi="Times New Roman"/>
          <w:b w:val="0"/>
          <w:sz w:val="24"/>
        </w:rPr>
        <w:t>Repository: to be added after the repository is published</w:t>
      </w:r>
    </w:p>
    <w:p>
      <w:pPr>
        <w:spacing w:after="80"/>
        <w:jc w:val="center"/>
      </w:pPr>
      <w:r>
        <w:rPr>
          <w:rFonts w:ascii="Times New Roman" w:hAnsi="Times New Roman"/>
          <w:b w:val="0"/>
          <w:sz w:val="24"/>
        </w:rPr>
        <w:t>Deployed application: to be added after deployment</w:t>
      </w:r>
    </w:p>
    <w:p>
      <w:r>
        <w:br w:type="page"/>
      </w:r>
    </w:p>
    <w:p>
      <w:r>
        <w:rPr>
          <w:rFonts w:ascii="Times New Roman" w:hAnsi="Times New Roman"/>
          <w:b/>
          <w:sz w:val="32"/>
        </w:rPr>
        <w:t>Table of contents</w:t>
      </w:r>
    </w:p>
    <w:p>
      <w:r>
        <w:rPr>
          <w:rFonts w:ascii="Times New Roman" w:hAnsi="Times New Roman"/>
          <w:sz w:val="24"/>
        </w:rPr>
        <w:fldChar w:fldCharType="begin" w:dirty="true"/>
        <w:instrText xml:space="preserve"> TOC \o "1-3" \h \z \u </w:instrText>
        <w:fldChar w:fldCharType="separate"/>
      </w:r>
      <w:r>
        <w:rPr>
          <w:rFonts w:ascii="Times New Roman" w:hAnsi="Times New Roman"/>
          <w:sz w:val="24"/>
        </w:rPr>
        <w:t>Right-click and choose Update Field (or press F9) to fill the table of contents.</w:t>
      </w:r>
      <w:r>
        <w:rPr>
          <w:rFonts w:ascii="Times New Roman" w:hAnsi="Times New Roman"/>
          <w:sz w:val="24"/>
        </w:rPr>
        <w:fldChar w:fldCharType="end"/>
      </w:r>
    </w:p>
    <w:p/>
    <w:p>
      <w:r>
        <w:rPr>
          <w:rFonts w:ascii="Times New Roman" w:hAnsi="Times New Roman"/>
          <w:b/>
          <w:sz w:val="28"/>
        </w:rPr>
        <w:t>List of figures</w:t>
      </w:r>
    </w:p>
    <w:p>
      <w:pPr>
        <w:spacing w:after="40"/>
        <w:ind w:left="454" w:hanging="454"/>
      </w:pPr>
      <w:r>
        <w:rPr>
          <w:rFonts w:ascii="Times New Roman" w:hAnsi="Times New Roman"/>
          <w:sz w:val="22"/>
        </w:rPr>
        <w:t>Figure 1. Counts and shares of non-lost-time and lost-time cases for all 101,609 in-scope rows before the split, drawn as a bar chart because two class sizes are compared. Source: author's analysis of MSHA open data.</w:t>
      </w:r>
    </w:p>
    <w:p>
      <w:pPr>
        <w:spacing w:after="40"/>
        <w:ind w:left="454" w:hanging="454"/>
      </w:pPr>
      <w:r>
        <w:rPr>
          <w:rFonts w:ascii="Times New Roman" w:hAnsi="Times New Roman"/>
          <w:sz w:val="22"/>
        </w:rPr>
        <w:t>Figure 2. 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spacing w:after="40"/>
        <w:ind w:left="454" w:hanging="454"/>
      </w:pPr>
      <w:r>
        <w:rPr>
          <w:rFonts w:ascii="Times New Roman" w:hAnsi="Times New Roman"/>
          <w:sz w:val="22"/>
        </w:rPr>
        <w:t>Figure 3. Pearson (left) and Spearman (right) correlation matrices of the 20 numeric features on the training split, drawn as heatmaps on one diverging scale centred at zero so that the two coefficients can be compared cell by cell. Source: author's analysis of MSHA open data.</w:t>
      </w:r>
    </w:p>
    <w:p>
      <w:pPr>
        <w:spacing w:after="40"/>
        <w:ind w:left="454" w:hanging="454"/>
      </w:pPr>
      <w:r>
        <w:rPr>
          <w:rFonts w:ascii="Times New Roman" w:hAnsi="Times New Roman"/>
          <w:sz w:val="22"/>
        </w:rPr>
        <w:t>Figure 4. Density histograms (30 bins) with kernel density estimates of the 20 numeric features by outcome class on all 81,289 training rows, drawn as densities so that classes of unequal size share one scale. Source: author's analysis of MSHA open data.</w:t>
      </w:r>
    </w:p>
    <w:p>
      <w:pPr>
        <w:spacing w:after="40"/>
        <w:ind w:left="454" w:hanging="454"/>
      </w:pPr>
      <w:r>
        <w:rPr>
          <w:rFonts w:ascii="Times New Roman" w:hAnsi="Times New Roman"/>
          <w:sz w:val="22"/>
        </w:rPr>
        <w:t>Figure 5. Box plots of the 20 numeric features by outcome class on all 81,289 training rows, with whiskers at 1.5 times the IQR and outlier points omitted, chosen because medians and quartiles are the comparison that skewed features need. Source: author's analysis of MSHA open data.</w:t>
      </w:r>
    </w:p>
    <w:p>
      <w:pPr>
        <w:spacing w:after="40"/>
        <w:ind w:left="454" w:hanging="454"/>
      </w:pPr>
      <w:r>
        <w:rPr>
          <w:rFonts w:ascii="Times New Roman" w:hAnsi="Times New Roman"/>
          <w:sz w:val="22"/>
        </w:rPr>
        <w:t>Figure 6. Corner pair plot of the five numeric features with the largest absolute point-biserial correlation, for 5,000 seeded training rows without missing values, coloured by outcome to show pairwise structure and class overlap. Source: author's analysis of MSHA open data.</w:t>
      </w:r>
    </w:p>
    <w:p>
      <w:pPr>
        <w:spacing w:after="40"/>
        <w:ind w:left="454" w:hanging="454"/>
      </w:pPr>
      <w:r>
        <w:rPr>
          <w:rFonts w:ascii="Times New Roman" w:hAnsi="Times New Roman"/>
          <w:sz w:val="22"/>
        </w:rPr>
        <w:t>Figure 7. 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pPr>
        <w:spacing w:after="40"/>
        <w:ind w:left="454" w:hanging="454"/>
      </w:pPr>
      <w:r>
        <w:rPr>
          <w:rFonts w:ascii="Times New Roman" w:hAnsi="Times New Roman"/>
          <w:sz w:val="22"/>
        </w:rPr>
        <w:t>Figure 8. Percentage of missing values in the 30 most incomplete columns of the joined base table on the training rows, ranked as bars so that structural and sporadic gaps can be told apart. Source: author's analysis of MSHA open data.</w:t>
      </w:r>
    </w:p>
    <w:p>
      <w:pPr>
        <w:spacing w:after="40"/>
        <w:ind w:left="454" w:hanging="454"/>
      </w:pPr>
      <w:r>
        <w:rPr>
          <w:rFonts w:ascii="Times New Roman" w:hAnsi="Times New Roman"/>
          <w:sz w:val="22"/>
        </w:rPr>
        <w:t>Figure 9. 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pPr>
        <w:spacing w:after="40"/>
        <w:ind w:left="454" w:hanging="454"/>
      </w:pPr>
      <w:r>
        <w:rPr>
          <w:rFonts w:ascii="Times New Roman" w:hAnsi="Times New Roman"/>
          <w:sz w:val="22"/>
        </w:rPr>
        <w:t>Figure 10. 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pPr>
        <w:spacing w:after="40"/>
        <w:ind w:left="454" w:hanging="454"/>
      </w:pPr>
      <w:r>
        <w:rPr>
          <w:rFonts w:ascii="Times New Roman" w:hAnsi="Times New Roman"/>
          <w:sz w:val="22"/>
        </w:rPr>
        <w:t>Figure 11. 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spacing w:after="40"/>
        <w:ind w:left="454" w:hanging="454"/>
      </w:pPr>
      <w:r>
        <w:rPr>
          <w:rFonts w:ascii="Times New Roman" w:hAnsi="Times New Roman"/>
          <w:sz w:val="22"/>
        </w:rPr>
        <w:t>Figure 12. 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spacing w:after="40"/>
        <w:ind w:left="454" w:hanging="454"/>
      </w:pPr>
      <w:r>
        <w:rPr>
          <w:rFonts w:ascii="Times New Roman" w:hAnsi="Times New Roman"/>
          <w:sz w:val="22"/>
        </w:rPr>
        <w:t>Figure 13. 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pPr>
        <w:spacing w:after="40"/>
        <w:ind w:left="454" w:hanging="454"/>
      </w:pPr>
      <w:r>
        <w:rPr>
          <w:rFonts w:ascii="Times New Roman" w:hAnsi="Times New Roman"/>
          <w:sz w:val="22"/>
        </w:rPr>
        <w:t>Figure 14. 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spacing w:after="40"/>
        <w:ind w:left="454" w:hanging="454"/>
      </w:pPr>
      <w:r>
        <w:rPr>
          <w:rFonts w:ascii="Times New Roman" w:hAnsi="Times New Roman"/>
          <w:sz w:val="22"/>
        </w:rPr>
        <w:t>Figure 15. Recall, specificity, precision, F1 and flag rate (top) and expected cost per 1,000 cases at six false-negative to false-positive cost ratios on a log scale (bottom) against the decision threshold of HGB on the 20,320 test reports, with the three out-of-fold thresholds dashed and the cost of reviewing everything dotted; the test set only displays the consequences of thresholds fixed beforehand, and a shared threshold axis is used so that each rate and cost can be read at the same cut-off. Source: author's analysis of MSHA open data.</w:t>
      </w:r>
    </w:p>
    <w:p>
      <w:pPr>
        <w:spacing w:after="40"/>
        <w:ind w:left="454" w:hanging="454"/>
      </w:pPr>
      <w:r>
        <w:rPr>
          <w:rFonts w:ascii="Times New Roman" w:hAnsi="Times New Roman"/>
          <w:sz w:val="22"/>
        </w:rPr>
        <w:t>Figure 16. ROC curves of the eight tuned models and the lookup baseline on the 20,320 test reports, with test ROC-AUC in the legend and the chance diagonal dotted; ROC space is shown because it does not depend on prevalence. Source: author's analysis of MSHA open data.</w:t>
      </w:r>
    </w:p>
    <w:p>
      <w:pPr>
        <w:spacing w:after="40"/>
        <w:ind w:left="454" w:hanging="454"/>
      </w:pPr>
      <w:r>
        <w:rPr>
          <w:rFonts w:ascii="Times New Roman" w:hAnsi="Times New Roman"/>
          <w:sz w:val="22"/>
        </w:rPr>
        <w:t>Figure 17. 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spacing w:after="40"/>
        <w:ind w:left="454" w:hanging="454"/>
      </w:pPr>
      <w:r>
        <w:rPr>
          <w:rFonts w:ascii="Times New Roman" w:hAnsi="Times New Roman"/>
          <w:sz w:val="22"/>
        </w:rPr>
        <w:t>Figure 18. 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spacing w:after="40"/>
        <w:ind w:left="454" w:hanging="454"/>
      </w:pPr>
      <w:r>
        <w:rPr>
          <w:rFonts w:ascii="Times New Roman" w:hAnsi="Times New Roman"/>
          <w:sz w:val="22"/>
        </w:rPr>
        <w:t>Figure 19. 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spacing w:after="40"/>
        <w:ind w:left="454" w:hanging="454"/>
      </w:pPr>
      <w:r>
        <w:rPr>
          <w:rFonts w:ascii="Times New Roman" w:hAnsi="Times New Roman"/>
          <w:sz w:val="22"/>
        </w:rPr>
        <w:t>Figure 20. 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p>
      <w:r>
        <w:rPr>
          <w:rFonts w:ascii="Times New Roman" w:hAnsi="Times New Roman"/>
          <w:b/>
          <w:sz w:val="28"/>
        </w:rPr>
        <w:t>List of tables</w:t>
      </w:r>
    </w:p>
    <w:p>
      <w:pPr>
        <w:spacing w:after="40"/>
        <w:ind w:left="454" w:hanging="454"/>
      </w:pPr>
      <w:r>
        <w:rPr>
          <w:rFonts w:ascii="Times New Roman" w:hAnsi="Times New Roman"/>
          <w:sz w:val="22"/>
        </w:rPr>
        <w:t>Table 1. 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p>
      <w:pPr>
        <w:spacing w:after="40"/>
        <w:ind w:left="454" w:hanging="454"/>
      </w:pPr>
      <w:r>
        <w:rPr>
          <w:rFonts w:ascii="Times New Roman" w:hAnsi="Times New Roman"/>
          <w:sz w:val="22"/>
        </w:rPr>
        <w:t>Table 2. Mapping of MSHA degree-of-injury codes to the lost_time target, with row counts and prevalence on all in-scope reports of 2010-2025 before the train/test split, and the two alternative labels that were assessed. Source: author's analysis of MSHA open data.</w:t>
      </w:r>
    </w:p>
    <w:p>
      <w:pPr>
        <w:spacing w:after="40"/>
        <w:ind w:left="454" w:hanging="454"/>
      </w:pPr>
      <w:r>
        <w:rPr>
          <w:rFonts w:ascii="Times New Roman" w:hAnsi="Times New Roman"/>
          <w:sz w:val="22"/>
        </w:rPr>
        <w:t>Table 3. 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p>
      <w:pPr>
        <w:spacing w:after="40"/>
        <w:ind w:left="454" w:hanging="454"/>
      </w:pPr>
      <w:r>
        <w:rPr>
          <w:rFonts w:ascii="Times New Roman" w:hAnsi="Times New Roman"/>
          <w:sz w:val="22"/>
        </w:rPr>
        <w:t>Table 4. 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p>
      <w:pPr>
        <w:spacing w:after="40"/>
        <w:ind w:left="454" w:hanging="454"/>
      </w:pPr>
      <w:r>
        <w:rPr>
          <w:rFonts w:ascii="Times New Roman" w:hAnsi="Times New Roman"/>
          <w:sz w:val="22"/>
        </w:rPr>
        <w:t>Table 5. 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p>
      <w:pPr>
        <w:spacing w:after="40"/>
        <w:ind w:left="454" w:hanging="454"/>
      </w:pPr>
      <w:r>
        <w:rPr>
          <w:rFonts w:ascii="Times New Roman" w:hAnsi="Times New Roman"/>
          <w:sz w:val="22"/>
        </w:rPr>
        <w:t>Table 6. 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p>
      <w:pPr>
        <w:spacing w:after="40"/>
        <w:ind w:left="454" w:hanging="454"/>
      </w:pPr>
      <w:r>
        <w:rPr>
          <w:rFonts w:ascii="Times New Roman" w:hAnsi="Times New Roman"/>
          <w:sz w:val="22"/>
        </w:rPr>
        <w:t>Table 7. 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p>
      <w:pPr>
        <w:spacing w:after="40"/>
        <w:ind w:left="454" w:hanging="454"/>
      </w:pPr>
      <w:r>
        <w:rPr>
          <w:rFonts w:ascii="Times New Roman" w:hAnsi="Times New Roman"/>
          <w:sz w:val="22"/>
        </w:rPr>
        <w:t>Table 8. 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p>
      <w:pPr>
        <w:spacing w:after="40"/>
        <w:ind w:left="454" w:hanging="454"/>
      </w:pPr>
      <w:r>
        <w:rPr>
          <w:rFonts w:ascii="Times New Roman" w:hAnsi="Times New Roman"/>
          <w:sz w:val="22"/>
        </w:rPr>
        <w:t>Table 9. 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p>
      <w:pPr>
        <w:spacing w:after="40"/>
        <w:ind w:left="454" w:hanging="454"/>
      </w:pPr>
      <w:r>
        <w:rPr>
          <w:rFonts w:ascii="Times New Roman" w:hAnsi="Times New Roman"/>
          <w:sz w:val="22"/>
        </w:rPr>
        <w:t>Table 10. Hyperparameter search per model on the 81,289 training rows with five StratifiedGroupKFold folds over mine-years, giving each searched hyperparameter with its meaning, values, rationale and selected value, the best mean validation PR-AUC (average precision) reached by any candidate with another value of that hyperparameter (that value in brackets), and the settings left fixed with the reason; the first row of each model gives the search type, the number of candidates, the selected candidate's validation PR-AUC (mean ± SD over folds) and its training-fold PR-AUC, and KNN and the SVM were searched on their 39,999-row and 9,913-row subsamples. Source: author's analysis of MSHA open data.</w:t>
      </w:r>
    </w:p>
    <w:p>
      <w:pPr>
        <w:spacing w:after="40"/>
        <w:ind w:left="454" w:hanging="454"/>
      </w:pPr>
      <w:r>
        <w:rPr>
          <w:rFonts w:ascii="Times New Roman" w:hAnsi="Times New Roman"/>
          <w:sz w:val="22"/>
        </w:rPr>
        <w:t>Table 11. Cross-validated scores (mean ± SD over five StratifiedGroupKFold folds of mine-year groups in the 81,289-row training split) of the selected candidate of each model, with F1, recall (TPR), TNR, precision and accuracy at the default threshold of 0.5, ordered by PR-AUC (average precision), the refit metric; KNN and the SVM were cross-validated on their 39,999-row and 9,913-row subsamples. TNR (specificity) is the pooled out-of-fold value over all 81,289 training rows and has no SD, because the search did not score specificity per fold; for KNN and the SVM, rows outside their subsamples were scored by the model refitted on the subsample. Source: author's analysis of MSHA open data.</w:t>
      </w:r>
    </w:p>
    <w:p>
      <w:pPr>
        <w:spacing w:after="40"/>
        <w:ind w:left="454" w:hanging="454"/>
      </w:pPr>
      <w:r>
        <w:rPr>
          <w:rFonts w:ascii="Times New Roman" w:hAnsi="Times New Roman"/>
          <w:sz w:val="22"/>
        </w:rPr>
        <w:t>Table 12. 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p>
      <w:pPr>
        <w:spacing w:after="40"/>
        <w:ind w:left="454" w:hanging="454"/>
      </w:pPr>
      <w:r>
        <w:rPr>
          <w:rFonts w:ascii="Times New Roman" w:hAnsi="Times New Roman"/>
          <w:sz w:val="22"/>
        </w:rPr>
        <w:t>Table 13. 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p>
      <w:pPr>
        <w:spacing w:after="40"/>
        <w:ind w:left="454" w:hanging="454"/>
      </w:pPr>
      <w:r>
        <w:rPr>
          <w:rFonts w:ascii="Times New Roman" w:hAnsi="Times New Roman"/>
          <w:sz w:val="22"/>
        </w:rPr>
        <w:t>Table 14. 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p>
      <w:pPr>
        <w:spacing w:after="40"/>
        <w:ind w:left="454" w:hanging="454"/>
      </w:pPr>
      <w:r>
        <w:rPr>
          <w:rFonts w:ascii="Times New Roman" w:hAnsi="Times New Roman"/>
          <w:sz w:val="22"/>
        </w:rPr>
        <w:t>Table 15. Multi-criteria comparison of the four strongest tuned models and the SVM beyond ranking quality alone, with expected cost from the 20,320 test reports at the out-of-fold cost-optimal thresholds, transfer of out-of-fold threshold targets to the test set, the temporal split (re-tuned on 2010-2019 and scored on 2020-2025 for the top two only), explanation methods, tuning time for the full search on eight workers, prediction time for the test reports and the size of the saved pipeline; the whole run took 5,675 s, of which the temporal re-tuning took 2,535 s. Source: author's analysis of MSHA open data.</w:t>
      </w:r>
    </w:p>
    <w:p>
      <w:pPr>
        <w:spacing w:after="40"/>
        <w:ind w:left="454" w:hanging="454"/>
      </w:pPr>
      <w:r>
        <w:rPr>
          <w:rFonts w:ascii="Times New Roman" w:hAnsi="Times New Roman"/>
          <w:sz w:val="22"/>
        </w:rPr>
        <w:t>Table 16. 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p>
      <w:pPr>
        <w:spacing w:after="40"/>
        <w:ind w:left="454" w:hanging="454"/>
      </w:pPr>
      <w:r>
        <w:rPr>
          <w:rFonts w:ascii="Times New Roman" w:hAnsi="Times New Roman"/>
          <w:sz w:val="22"/>
        </w:rPr>
        <w:t>Table 17. 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p>
      <w:pPr>
        <w:spacing w:after="40"/>
        <w:ind w:left="454" w:hanging="454"/>
      </w:pPr>
      <w:r>
        <w:rPr>
          <w:rFonts w:ascii="Times New Roman" w:hAnsi="Times New Roman"/>
          <w:sz w:val="22"/>
        </w:rPr>
        <w:t>Table 18. 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p>
      <w:pPr>
        <w:spacing w:after="40"/>
        <w:ind w:left="454" w:hanging="454"/>
      </w:pPr>
      <w:r>
        <w:rPr>
          <w:rFonts w:ascii="Times New Roman" w:hAnsi="Times New Roman"/>
          <w:sz w:val="22"/>
        </w:rPr>
        <w:t>Table 19. Model card of the HGB pipeline, after Mitchell et al. (2019), with metrics on the 20,320 test reports at the capacity threshold unless stated otherwise. Source: author's analysis of MSHA open data.</w:t>
      </w:r>
    </w:p>
    <w:p>
      <w:pPr>
        <w:spacing w:after="40"/>
        <w:ind w:left="454" w:hanging="454"/>
      </w:pPr>
      <w:r>
        <w:rPr>
          <w:rFonts w:ascii="Times New Roman" w:hAnsi="Times New Roman"/>
          <w:sz w:val="22"/>
        </w:rPr>
        <w:t>Table 20. Outcomes per 1,000 filed cases on the 20,320-row held-out test set for HGB at three thresholds fixed on out-of-fold probabilities, for the lookup baseline at its capacity threshold, for the adjusters' hand rule and for reviewing everything, with the expected cost at the 2:1 and 5:1 cost ratios at USD 200 per review; counts are test confusion counts scaled to 1,000 cases, and reviewing everything costs USD 102,825 per 1,000 on the test set against USD 102,829 on all in-scope reports. Source: author's analysis of MSHA open data.</w:t>
      </w:r>
    </w:p>
    <w:p>
      <w:pPr>
        <w:spacing w:after="40"/>
        <w:ind w:left="454" w:hanging="454"/>
      </w:pPr>
      <w:r>
        <w:rPr>
          <w:rFonts w:ascii="Times New Roman" w:hAnsi="Times New Roman"/>
          <w:sz w:val="22"/>
        </w:rPr>
        <w:t>Table 21. Uncertainty and generalisability checks of HGB, covering cross-validation on the training split, 95% percentile bootstrap intervals and paired tests on the held-out test set, results by sector, a temporal split and a mine-grouped split; the capacity threshold is the out-of-fold threshold for specificity 0.40. Source: author's analysis of MSHA open data.</w:t>
      </w:r>
    </w:p>
    <w:p>
      <w:pPr>
        <w:spacing w:after="40"/>
        <w:ind w:left="454" w:hanging="454"/>
      </w:pPr>
      <w:r>
        <w:rPr>
          <w:rFonts w:ascii="Times New Roman" w:hAnsi="Times New Roman"/>
          <w:sz w:val="22"/>
        </w:rPr>
        <w:t>Table 22. 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p>
      <w:pPr>
        <w:spacing w:after="40"/>
        <w:ind w:left="454" w:hanging="454"/>
      </w:pPr>
      <w:r>
        <w:rPr>
          <w:rFonts w:ascii="Times New Roman" w:hAnsi="Times New Roman"/>
          <w:sz w:val="22"/>
        </w:rPr>
        <w:t>Table 23. 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p/>
    <w:p>
      <w:r>
        <w:br w:type="page"/>
      </w:r>
    </w:p>
    <w:p>
      <w:r>
        <w:rPr>
          <w:rFonts w:ascii="Times New Roman" w:hAnsi="Times New Roman"/>
          <w:b/>
          <w:sz w:val="28"/>
        </w:rPr>
        <w:t>Abbreviations</w:t>
      </w:r>
    </w:p>
    <w:tbl>
      <w:tblPr>
        <w:tblStyle w:val="TableGrid"/>
        <w:tblW w:type="auto" w:w="0"/>
        <w:tblLook w:firstColumn="1" w:firstRow="1" w:lastColumn="0" w:lastRow="0" w:noHBand="0" w:noVBand="1" w:val="04A0"/>
      </w:tblPr>
      <w:tblGrid>
        <w:gridCol w:w="4513"/>
        <w:gridCol w:w="4513"/>
      </w:tblGrid>
      <w:tr>
        <w:tc>
          <w:tcPr>
            <w:tcW w:type="dxa" w:w="4513"/>
          </w:tcPr>
          <w:p>
            <w:pPr>
              <w:spacing w:after="0"/>
            </w:pPr>
            <w:r/>
            <w:r>
              <w:rPr>
                <w:rFonts w:ascii="Times New Roman" w:hAnsi="Times New Roman"/>
                <w:sz w:val="21"/>
              </w:rPr>
              <w:t>ARIMA</w:t>
            </w:r>
          </w:p>
        </w:tc>
        <w:tc>
          <w:tcPr>
            <w:tcW w:type="dxa" w:w="4513"/>
          </w:tcPr>
          <w:p>
            <w:pPr>
              <w:spacing w:after="0"/>
            </w:pPr>
            <w:r/>
            <w:r>
              <w:rPr>
                <w:rFonts w:ascii="Times New Roman" w:hAnsi="Times New Roman"/>
                <w:sz w:val="21"/>
              </w:rPr>
              <w:t>Autoregressive integrated moving average (a time-series model)</w:t>
            </w:r>
          </w:p>
        </w:tc>
      </w:tr>
      <w:tr>
        <w:tc>
          <w:tcPr>
            <w:tcW w:type="dxa" w:w="4513"/>
          </w:tcPr>
          <w:p>
            <w:pPr>
              <w:spacing w:after="0"/>
            </w:pPr>
            <w:r/>
            <w:r>
              <w:rPr>
                <w:rFonts w:ascii="Times New Roman" w:hAnsi="Times New Roman"/>
                <w:sz w:val="21"/>
              </w:rPr>
              <w:t>AUC</w:t>
            </w:r>
          </w:p>
        </w:tc>
        <w:tc>
          <w:tcPr>
            <w:tcW w:type="dxa" w:w="4513"/>
          </w:tcPr>
          <w:p>
            <w:pPr>
              <w:spacing w:after="0"/>
            </w:pPr>
            <w:r/>
            <w:r>
              <w:rPr>
                <w:rFonts w:ascii="Times New Roman" w:hAnsi="Times New Roman"/>
                <w:sz w:val="21"/>
              </w:rPr>
              <w:t>Area under the receiver operating characteristic curve</w:t>
            </w:r>
          </w:p>
        </w:tc>
      </w:tr>
      <w:tr>
        <w:tc>
          <w:tcPr>
            <w:tcW w:type="dxa" w:w="4513"/>
          </w:tcPr>
          <w:p>
            <w:pPr>
              <w:spacing w:after="0"/>
            </w:pPr>
            <w:r/>
            <w:r>
              <w:rPr>
                <w:rFonts w:ascii="Times New Roman" w:hAnsi="Times New Roman"/>
                <w:sz w:val="21"/>
              </w:rPr>
              <w:t>CART</w:t>
            </w:r>
          </w:p>
        </w:tc>
        <w:tc>
          <w:tcPr>
            <w:tcW w:type="dxa" w:w="4513"/>
          </w:tcPr>
          <w:p>
            <w:pPr>
              <w:spacing w:after="0"/>
            </w:pPr>
            <w:r/>
            <w:r>
              <w:rPr>
                <w:rFonts w:ascii="Times New Roman" w:hAnsi="Times New Roman"/>
                <w:sz w:val="21"/>
              </w:rPr>
              <w:t>Classification and regression trees (the decision-tree algorithm of scikit-learn)</w:t>
            </w:r>
          </w:p>
        </w:tc>
      </w:tr>
      <w:tr>
        <w:tc>
          <w:tcPr>
            <w:tcW w:type="dxa" w:w="4513"/>
          </w:tcPr>
          <w:p>
            <w:pPr>
              <w:spacing w:after="0"/>
            </w:pPr>
            <w:r/>
            <w:r>
              <w:rPr>
                <w:rFonts w:ascii="Times New Roman" w:hAnsi="Times New Roman"/>
                <w:sz w:val="21"/>
              </w:rPr>
              <w:t>CV</w:t>
            </w:r>
          </w:p>
        </w:tc>
        <w:tc>
          <w:tcPr>
            <w:tcW w:type="dxa" w:w="4513"/>
          </w:tcPr>
          <w:p>
            <w:pPr>
              <w:spacing w:after="0"/>
            </w:pPr>
            <w:r/>
            <w:r>
              <w:rPr>
                <w:rFonts w:ascii="Times New Roman" w:hAnsi="Times New Roman"/>
                <w:sz w:val="21"/>
              </w:rPr>
              <w:t>Cross-validation</w:t>
            </w:r>
          </w:p>
        </w:tc>
      </w:tr>
      <w:tr>
        <w:tc>
          <w:tcPr>
            <w:tcW w:type="dxa" w:w="4513"/>
          </w:tcPr>
          <w:p>
            <w:pPr>
              <w:spacing w:after="0"/>
            </w:pPr>
            <w:r/>
            <w:r>
              <w:rPr>
                <w:rFonts w:ascii="Times New Roman" w:hAnsi="Times New Roman"/>
                <w:sz w:val="21"/>
              </w:rPr>
              <w:t>DART</w:t>
            </w:r>
          </w:p>
        </w:tc>
        <w:tc>
          <w:tcPr>
            <w:tcW w:type="dxa" w:w="4513"/>
          </w:tcPr>
          <w:p>
            <w:pPr>
              <w:spacing w:after="0"/>
            </w:pPr>
            <w:r/>
            <w:r>
              <w:rPr>
                <w:rFonts w:ascii="Times New Roman" w:hAnsi="Times New Roman"/>
                <w:sz w:val="21"/>
              </w:rPr>
              <w:t>Days away, restricted or transferred (an injury-severity grouping used by US regulators)</w:t>
            </w:r>
          </w:p>
        </w:tc>
      </w:tr>
      <w:tr>
        <w:tc>
          <w:tcPr>
            <w:tcW w:type="dxa" w:w="4513"/>
          </w:tcPr>
          <w:p>
            <w:pPr>
              <w:spacing w:after="0"/>
            </w:pPr>
            <w:r/>
            <w:r>
              <w:rPr>
                <w:rFonts w:ascii="Times New Roman" w:hAnsi="Times New Roman"/>
                <w:sz w:val="21"/>
              </w:rPr>
              <w:t>EDA</w:t>
            </w:r>
          </w:p>
        </w:tc>
        <w:tc>
          <w:tcPr>
            <w:tcW w:type="dxa" w:w="4513"/>
          </w:tcPr>
          <w:p>
            <w:pPr>
              <w:spacing w:after="0"/>
            </w:pPr>
            <w:r/>
            <w:r>
              <w:rPr>
                <w:rFonts w:ascii="Times New Roman" w:hAnsi="Times New Roman"/>
                <w:sz w:val="21"/>
              </w:rPr>
              <w:t>Exploratory data analysis</w:t>
            </w:r>
          </w:p>
        </w:tc>
      </w:tr>
      <w:tr>
        <w:tc>
          <w:tcPr>
            <w:tcW w:type="dxa" w:w="4513"/>
          </w:tcPr>
          <w:p>
            <w:pPr>
              <w:spacing w:after="0"/>
            </w:pPr>
            <w:r/>
            <w:r>
              <w:rPr>
                <w:rFonts w:ascii="Times New Roman" w:hAnsi="Times New Roman"/>
                <w:sz w:val="21"/>
              </w:rPr>
              <w:t>FN / FP</w:t>
            </w:r>
          </w:p>
        </w:tc>
        <w:tc>
          <w:tcPr>
            <w:tcW w:type="dxa" w:w="4513"/>
          </w:tcPr>
          <w:p>
            <w:pPr>
              <w:spacing w:after="0"/>
            </w:pPr>
            <w:r/>
            <w:r>
              <w:rPr>
                <w:rFonts w:ascii="Times New Roman" w:hAnsi="Times New Roman"/>
                <w:sz w:val="21"/>
              </w:rPr>
              <w:t>False negative / false positive</w:t>
            </w:r>
          </w:p>
        </w:tc>
      </w:tr>
      <w:tr>
        <w:tc>
          <w:tcPr>
            <w:tcW w:type="dxa" w:w="4513"/>
          </w:tcPr>
          <w:p>
            <w:pPr>
              <w:spacing w:after="0"/>
            </w:pPr>
            <w:r/>
            <w:r>
              <w:rPr>
                <w:rFonts w:ascii="Times New Roman" w:hAnsi="Times New Roman"/>
                <w:sz w:val="21"/>
              </w:rPr>
              <w:t>HGB</w:t>
            </w:r>
          </w:p>
        </w:tc>
        <w:tc>
          <w:tcPr>
            <w:tcW w:type="dxa" w:w="4513"/>
          </w:tcPr>
          <w:p>
            <w:pPr>
              <w:spacing w:after="0"/>
            </w:pPr>
            <w:r/>
            <w:r>
              <w:rPr>
                <w:rFonts w:ascii="Times New Roman" w:hAnsi="Times New Roman"/>
                <w:sz w:val="21"/>
              </w:rPr>
              <w:t>Histogram-based gradient boosting (scikit-learn HistGradientBoostingClassifier), the selected model</w:t>
            </w:r>
          </w:p>
        </w:tc>
      </w:tr>
      <w:tr>
        <w:tc>
          <w:tcPr>
            <w:tcW w:type="dxa" w:w="4513"/>
          </w:tcPr>
          <w:p>
            <w:pPr>
              <w:spacing w:after="0"/>
            </w:pPr>
            <w:r/>
            <w:r>
              <w:rPr>
                <w:rFonts w:ascii="Times New Roman" w:hAnsi="Times New Roman"/>
                <w:sz w:val="21"/>
              </w:rPr>
              <w:t>IQR</w:t>
            </w:r>
          </w:p>
        </w:tc>
        <w:tc>
          <w:tcPr>
            <w:tcW w:type="dxa" w:w="4513"/>
          </w:tcPr>
          <w:p>
            <w:pPr>
              <w:spacing w:after="0"/>
            </w:pPr>
            <w:r/>
            <w:r>
              <w:rPr>
                <w:rFonts w:ascii="Times New Roman" w:hAnsi="Times New Roman"/>
                <w:sz w:val="21"/>
              </w:rPr>
              <w:t>Interquartile range</w:t>
            </w:r>
          </w:p>
        </w:tc>
      </w:tr>
      <w:tr>
        <w:tc>
          <w:tcPr>
            <w:tcW w:type="dxa" w:w="4513"/>
          </w:tcPr>
          <w:p>
            <w:pPr>
              <w:spacing w:after="0"/>
            </w:pPr>
            <w:r/>
            <w:r>
              <w:rPr>
                <w:rFonts w:ascii="Times New Roman" w:hAnsi="Times New Roman"/>
                <w:sz w:val="21"/>
              </w:rPr>
              <w:t>KNN</w:t>
            </w:r>
          </w:p>
        </w:tc>
        <w:tc>
          <w:tcPr>
            <w:tcW w:type="dxa" w:w="4513"/>
          </w:tcPr>
          <w:p>
            <w:pPr>
              <w:spacing w:after="0"/>
            </w:pPr>
            <w:r/>
            <w:r>
              <w:rPr>
                <w:rFonts w:ascii="Times New Roman" w:hAnsi="Times New Roman"/>
                <w:sz w:val="21"/>
              </w:rPr>
              <w:t>K-nearest neighbours</w:t>
            </w:r>
          </w:p>
        </w:tc>
      </w:tr>
      <w:tr>
        <w:tc>
          <w:tcPr>
            <w:tcW w:type="dxa" w:w="4513"/>
          </w:tcPr>
          <w:p>
            <w:pPr>
              <w:spacing w:after="0"/>
            </w:pPr>
            <w:r/>
            <w:r>
              <w:rPr>
                <w:rFonts w:ascii="Times New Roman" w:hAnsi="Times New Roman"/>
                <w:sz w:val="21"/>
              </w:rPr>
              <w:t>MAR</w:t>
            </w:r>
          </w:p>
        </w:tc>
        <w:tc>
          <w:tcPr>
            <w:tcW w:type="dxa" w:w="4513"/>
          </w:tcPr>
          <w:p>
            <w:pPr>
              <w:spacing w:after="0"/>
            </w:pPr>
            <w:r/>
            <w:r>
              <w:rPr>
                <w:rFonts w:ascii="Times New Roman" w:hAnsi="Times New Roman"/>
                <w:sz w:val="21"/>
              </w:rPr>
              <w:t>Missing at random</w:t>
            </w:r>
          </w:p>
        </w:tc>
      </w:tr>
      <w:tr>
        <w:tc>
          <w:tcPr>
            <w:tcW w:type="dxa" w:w="4513"/>
          </w:tcPr>
          <w:p>
            <w:pPr>
              <w:spacing w:after="0"/>
            </w:pPr>
            <w:r/>
            <w:r>
              <w:rPr>
                <w:rFonts w:ascii="Times New Roman" w:hAnsi="Times New Roman"/>
                <w:sz w:val="21"/>
              </w:rPr>
              <w:t>MCAR</w:t>
            </w:r>
          </w:p>
        </w:tc>
        <w:tc>
          <w:tcPr>
            <w:tcW w:type="dxa" w:w="4513"/>
          </w:tcPr>
          <w:p>
            <w:pPr>
              <w:spacing w:after="0"/>
            </w:pPr>
            <w:r/>
            <w:r>
              <w:rPr>
                <w:rFonts w:ascii="Times New Roman" w:hAnsi="Times New Roman"/>
                <w:sz w:val="21"/>
              </w:rPr>
              <w:t>Missing completely at random</w:t>
            </w:r>
          </w:p>
        </w:tc>
      </w:tr>
      <w:tr>
        <w:tc>
          <w:tcPr>
            <w:tcW w:type="dxa" w:w="4513"/>
          </w:tcPr>
          <w:p>
            <w:pPr>
              <w:spacing w:after="0"/>
            </w:pPr>
            <w:r/>
            <w:r>
              <w:rPr>
                <w:rFonts w:ascii="Times New Roman" w:hAnsi="Times New Roman"/>
                <w:sz w:val="21"/>
              </w:rPr>
              <w:t>MCC</w:t>
            </w:r>
          </w:p>
        </w:tc>
        <w:tc>
          <w:tcPr>
            <w:tcW w:type="dxa" w:w="4513"/>
          </w:tcPr>
          <w:p>
            <w:pPr>
              <w:spacing w:after="0"/>
            </w:pPr>
            <w:r/>
            <w:r>
              <w:rPr>
                <w:rFonts w:ascii="Times New Roman" w:hAnsi="Times New Roman"/>
                <w:sz w:val="21"/>
              </w:rPr>
              <w:t>Matthews correlation coefficient</w:t>
            </w:r>
          </w:p>
        </w:tc>
      </w:tr>
      <w:tr>
        <w:tc>
          <w:tcPr>
            <w:tcW w:type="dxa" w:w="4513"/>
          </w:tcPr>
          <w:p>
            <w:pPr>
              <w:spacing w:after="0"/>
            </w:pPr>
            <w:r/>
            <w:r>
              <w:rPr>
                <w:rFonts w:ascii="Times New Roman" w:hAnsi="Times New Roman"/>
                <w:sz w:val="21"/>
              </w:rPr>
              <w:t>MLP</w:t>
            </w:r>
          </w:p>
        </w:tc>
        <w:tc>
          <w:tcPr>
            <w:tcW w:type="dxa" w:w="4513"/>
          </w:tcPr>
          <w:p>
            <w:pPr>
              <w:spacing w:after="0"/>
            </w:pPr>
            <w:r/>
            <w:r>
              <w:rPr>
                <w:rFonts w:ascii="Times New Roman" w:hAnsi="Times New Roman"/>
                <w:sz w:val="21"/>
              </w:rPr>
              <w:t>Multilayer perceptron</w:t>
            </w:r>
          </w:p>
        </w:tc>
      </w:tr>
      <w:tr>
        <w:tc>
          <w:tcPr>
            <w:tcW w:type="dxa" w:w="4513"/>
          </w:tcPr>
          <w:p>
            <w:pPr>
              <w:spacing w:after="0"/>
            </w:pPr>
            <w:r/>
            <w:r>
              <w:rPr>
                <w:rFonts w:ascii="Times New Roman" w:hAnsi="Times New Roman"/>
                <w:sz w:val="21"/>
              </w:rPr>
              <w:t>MSHA</w:t>
            </w:r>
          </w:p>
        </w:tc>
        <w:tc>
          <w:tcPr>
            <w:tcW w:type="dxa" w:w="4513"/>
          </w:tcPr>
          <w:p>
            <w:pPr>
              <w:spacing w:after="0"/>
            </w:pPr>
            <w:r/>
            <w:r>
              <w:rPr>
                <w:rFonts w:ascii="Times New Roman" w:hAnsi="Times New Roman"/>
                <w:sz w:val="21"/>
              </w:rPr>
              <w:t>Mine Safety and Health Administration (US Department of Labor)</w:t>
            </w:r>
          </w:p>
        </w:tc>
      </w:tr>
      <w:tr>
        <w:tc>
          <w:tcPr>
            <w:tcW w:type="dxa" w:w="4513"/>
          </w:tcPr>
          <w:p>
            <w:pPr>
              <w:spacing w:after="0"/>
            </w:pPr>
            <w:r/>
            <w:r>
              <w:rPr>
                <w:rFonts w:ascii="Times New Roman" w:hAnsi="Times New Roman"/>
                <w:sz w:val="21"/>
              </w:rPr>
              <w:t>NCCI</w:t>
            </w:r>
          </w:p>
        </w:tc>
        <w:tc>
          <w:tcPr>
            <w:tcW w:type="dxa" w:w="4513"/>
          </w:tcPr>
          <w:p>
            <w:pPr>
              <w:spacing w:after="0"/>
            </w:pPr>
            <w:r/>
            <w:r>
              <w:rPr>
                <w:rFonts w:ascii="Times New Roman" w:hAnsi="Times New Roman"/>
                <w:sz w:val="21"/>
              </w:rPr>
              <w:t>National Council on Compensation Insurance</w:t>
            </w:r>
          </w:p>
        </w:tc>
      </w:tr>
      <w:tr>
        <w:tc>
          <w:tcPr>
            <w:tcW w:type="dxa" w:w="4513"/>
          </w:tcPr>
          <w:p>
            <w:pPr>
              <w:spacing w:after="0"/>
            </w:pPr>
            <w:r/>
            <w:r>
              <w:rPr>
                <w:rFonts w:ascii="Times New Roman" w:hAnsi="Times New Roman"/>
                <w:sz w:val="21"/>
              </w:rPr>
              <w:t>PR-AUC</w:t>
            </w:r>
          </w:p>
        </w:tc>
        <w:tc>
          <w:tcPr>
            <w:tcW w:type="dxa" w:w="4513"/>
          </w:tcPr>
          <w:p>
            <w:pPr>
              <w:spacing w:after="0"/>
            </w:pPr>
            <w:r/>
            <w:r>
              <w:rPr>
                <w:rFonts w:ascii="Times New Roman" w:hAnsi="Times New Roman"/>
                <w:sz w:val="21"/>
              </w:rPr>
              <w:t>Area under the precision-recall curve (average precision)</w:t>
            </w:r>
          </w:p>
        </w:tc>
      </w:tr>
      <w:tr>
        <w:tc>
          <w:tcPr>
            <w:tcW w:type="dxa" w:w="4513"/>
          </w:tcPr>
          <w:p>
            <w:pPr>
              <w:spacing w:after="0"/>
            </w:pPr>
            <w:r/>
            <w:r>
              <w:rPr>
                <w:rFonts w:ascii="Times New Roman" w:hAnsi="Times New Roman"/>
                <w:sz w:val="21"/>
              </w:rPr>
              <w:t>RBF</w:t>
            </w:r>
          </w:p>
        </w:tc>
        <w:tc>
          <w:tcPr>
            <w:tcW w:type="dxa" w:w="4513"/>
          </w:tcPr>
          <w:p>
            <w:pPr>
              <w:spacing w:after="0"/>
            </w:pPr>
            <w:r/>
            <w:r>
              <w:rPr>
                <w:rFonts w:ascii="Times New Roman" w:hAnsi="Times New Roman"/>
                <w:sz w:val="21"/>
              </w:rPr>
              <w:t>Radial basis function (the SVM kernel)</w:t>
            </w:r>
          </w:p>
        </w:tc>
      </w:tr>
      <w:tr>
        <w:tc>
          <w:tcPr>
            <w:tcW w:type="dxa" w:w="4513"/>
          </w:tcPr>
          <w:p>
            <w:pPr>
              <w:spacing w:after="0"/>
            </w:pPr>
            <w:r/>
            <w:r>
              <w:rPr>
                <w:rFonts w:ascii="Times New Roman" w:hAnsi="Times New Roman"/>
                <w:sz w:val="21"/>
              </w:rPr>
              <w:t>ReLU</w:t>
            </w:r>
          </w:p>
        </w:tc>
        <w:tc>
          <w:tcPr>
            <w:tcW w:type="dxa" w:w="4513"/>
          </w:tcPr>
          <w:p>
            <w:pPr>
              <w:spacing w:after="0"/>
            </w:pPr>
            <w:r/>
            <w:r>
              <w:rPr>
                <w:rFonts w:ascii="Times New Roman" w:hAnsi="Times New Roman"/>
                <w:sz w:val="21"/>
              </w:rPr>
              <w:t>Rectified linear unit (the MLP activation)</w:t>
            </w:r>
          </w:p>
        </w:tc>
      </w:tr>
      <w:tr>
        <w:tc>
          <w:tcPr>
            <w:tcW w:type="dxa" w:w="4513"/>
          </w:tcPr>
          <w:p>
            <w:pPr>
              <w:spacing w:after="0"/>
            </w:pPr>
            <w:r/>
            <w:r>
              <w:rPr>
                <w:rFonts w:ascii="Times New Roman" w:hAnsi="Times New Roman"/>
                <w:sz w:val="21"/>
              </w:rPr>
              <w:t>ROC</w:t>
            </w:r>
          </w:p>
        </w:tc>
        <w:tc>
          <w:tcPr>
            <w:tcW w:type="dxa" w:w="4513"/>
          </w:tcPr>
          <w:p>
            <w:pPr>
              <w:spacing w:after="0"/>
            </w:pPr>
            <w:r/>
            <w:r>
              <w:rPr>
                <w:rFonts w:ascii="Times New Roman" w:hAnsi="Times New Roman"/>
                <w:sz w:val="21"/>
              </w:rPr>
              <w:t>Receiver operating characteristic</w:t>
            </w:r>
          </w:p>
        </w:tc>
      </w:tr>
      <w:tr>
        <w:tc>
          <w:tcPr>
            <w:tcW w:type="dxa" w:w="4513"/>
          </w:tcPr>
          <w:p>
            <w:pPr>
              <w:spacing w:after="0"/>
            </w:pPr>
            <w:r/>
            <w:r>
              <w:rPr>
                <w:rFonts w:ascii="Times New Roman" w:hAnsi="Times New Roman"/>
                <w:sz w:val="21"/>
              </w:rPr>
              <w:t>ROC-AUC</w:t>
            </w:r>
          </w:p>
        </w:tc>
        <w:tc>
          <w:tcPr>
            <w:tcW w:type="dxa" w:w="4513"/>
          </w:tcPr>
          <w:p>
            <w:pPr>
              <w:spacing w:after="0"/>
            </w:pPr>
            <w:r/>
            <w:r>
              <w:rPr>
                <w:rFonts w:ascii="Times New Roman" w:hAnsi="Times New Roman"/>
                <w:sz w:val="21"/>
              </w:rPr>
              <w:t>Area under the receiver operating characteristic curve</w:t>
            </w:r>
          </w:p>
        </w:tc>
      </w:tr>
      <w:tr>
        <w:tc>
          <w:tcPr>
            <w:tcW w:type="dxa" w:w="4513"/>
          </w:tcPr>
          <w:p>
            <w:pPr>
              <w:spacing w:after="0"/>
            </w:pPr>
            <w:r/>
            <w:r>
              <w:rPr>
                <w:rFonts w:ascii="Times New Roman" w:hAnsi="Times New Roman"/>
                <w:sz w:val="21"/>
              </w:rPr>
              <w:t>SD</w:t>
            </w:r>
          </w:p>
        </w:tc>
        <w:tc>
          <w:tcPr>
            <w:tcW w:type="dxa" w:w="4513"/>
          </w:tcPr>
          <w:p>
            <w:pPr>
              <w:spacing w:after="0"/>
            </w:pPr>
            <w:r/>
            <w:r>
              <w:rPr>
                <w:rFonts w:ascii="Times New Roman" w:hAnsi="Times New Roman"/>
                <w:sz w:val="21"/>
              </w:rPr>
              <w:t>Sample standard deviation</w:t>
            </w:r>
          </w:p>
        </w:tc>
      </w:tr>
      <w:tr>
        <w:tc>
          <w:tcPr>
            <w:tcW w:type="dxa" w:w="4513"/>
          </w:tcPr>
          <w:p>
            <w:pPr>
              <w:spacing w:after="0"/>
            </w:pPr>
            <w:r/>
            <w:r>
              <w:rPr>
                <w:rFonts w:ascii="Times New Roman" w:hAnsi="Times New Roman"/>
                <w:sz w:val="21"/>
              </w:rPr>
              <w:t>SHAP</w:t>
            </w:r>
          </w:p>
        </w:tc>
        <w:tc>
          <w:tcPr>
            <w:tcW w:type="dxa" w:w="4513"/>
          </w:tcPr>
          <w:p>
            <w:pPr>
              <w:spacing w:after="0"/>
            </w:pPr>
            <w:r/>
            <w:r>
              <w:rPr>
                <w:rFonts w:ascii="Times New Roman" w:hAnsi="Times New Roman"/>
                <w:sz w:val="21"/>
              </w:rPr>
              <w:t>Shapley additive explanations (per-feature contributions to a prediction)</w:t>
            </w:r>
          </w:p>
        </w:tc>
      </w:tr>
      <w:tr>
        <w:tc>
          <w:tcPr>
            <w:tcW w:type="dxa" w:w="4513"/>
          </w:tcPr>
          <w:p>
            <w:pPr>
              <w:spacing w:after="0"/>
            </w:pPr>
            <w:r/>
            <w:r>
              <w:rPr>
                <w:rFonts w:ascii="Times New Roman" w:hAnsi="Times New Roman"/>
                <w:sz w:val="21"/>
              </w:rPr>
              <w:t>SMOTE</w:t>
            </w:r>
          </w:p>
        </w:tc>
        <w:tc>
          <w:tcPr>
            <w:tcW w:type="dxa" w:w="4513"/>
          </w:tcPr>
          <w:p>
            <w:pPr>
              <w:spacing w:after="0"/>
            </w:pPr>
            <w:r/>
            <w:r>
              <w:rPr>
                <w:rFonts w:ascii="Times New Roman" w:hAnsi="Times New Roman"/>
                <w:sz w:val="21"/>
              </w:rPr>
              <w:t>Synthetic minority over-sampling technique</w:t>
            </w:r>
          </w:p>
        </w:tc>
      </w:tr>
      <w:tr>
        <w:tc>
          <w:tcPr>
            <w:tcW w:type="dxa" w:w="4513"/>
          </w:tcPr>
          <w:p>
            <w:pPr>
              <w:spacing w:after="0"/>
            </w:pPr>
            <w:r/>
            <w:r>
              <w:rPr>
                <w:rFonts w:ascii="Times New Roman" w:hAnsi="Times New Roman"/>
                <w:sz w:val="21"/>
              </w:rPr>
              <w:t>SVM</w:t>
            </w:r>
          </w:p>
        </w:tc>
        <w:tc>
          <w:tcPr>
            <w:tcW w:type="dxa" w:w="4513"/>
          </w:tcPr>
          <w:p>
            <w:pPr>
              <w:spacing w:after="0"/>
            </w:pPr>
            <w:r/>
            <w:r>
              <w:rPr>
                <w:rFonts w:ascii="Times New Roman" w:hAnsi="Times New Roman"/>
                <w:sz w:val="21"/>
              </w:rPr>
              <w:t>Support vector machine</w:t>
            </w:r>
          </w:p>
        </w:tc>
      </w:tr>
      <w:tr>
        <w:tc>
          <w:tcPr>
            <w:tcW w:type="dxa" w:w="4513"/>
          </w:tcPr>
          <w:p>
            <w:pPr>
              <w:spacing w:after="0"/>
            </w:pPr>
            <w:r/>
            <w:r>
              <w:rPr>
                <w:rFonts w:ascii="Times New Roman" w:hAnsi="Times New Roman"/>
                <w:sz w:val="21"/>
              </w:rPr>
              <w:t>TNR</w:t>
            </w:r>
          </w:p>
        </w:tc>
        <w:tc>
          <w:tcPr>
            <w:tcW w:type="dxa" w:w="4513"/>
          </w:tcPr>
          <w:p>
            <w:pPr>
              <w:spacing w:after="0"/>
            </w:pPr>
            <w:r/>
            <w:r>
              <w:rPr>
                <w:rFonts w:ascii="Times New Roman" w:hAnsi="Times New Roman"/>
                <w:sz w:val="21"/>
              </w:rPr>
              <w:t>True negative rate (specificity)</w:t>
            </w:r>
          </w:p>
        </w:tc>
      </w:tr>
      <w:tr>
        <w:tc>
          <w:tcPr>
            <w:tcW w:type="dxa" w:w="4513"/>
          </w:tcPr>
          <w:p>
            <w:pPr>
              <w:spacing w:after="0"/>
            </w:pPr>
            <w:r/>
            <w:r>
              <w:rPr>
                <w:rFonts w:ascii="Times New Roman" w:hAnsi="Times New Roman"/>
                <w:sz w:val="21"/>
              </w:rPr>
              <w:t>TP / TN</w:t>
            </w:r>
          </w:p>
        </w:tc>
        <w:tc>
          <w:tcPr>
            <w:tcW w:type="dxa" w:w="4513"/>
          </w:tcPr>
          <w:p>
            <w:pPr>
              <w:spacing w:after="0"/>
            </w:pPr>
            <w:r/>
            <w:r>
              <w:rPr>
                <w:rFonts w:ascii="Times New Roman" w:hAnsi="Times New Roman"/>
                <w:sz w:val="21"/>
              </w:rPr>
              <w:t>True positive / true negative</w:t>
            </w:r>
          </w:p>
        </w:tc>
      </w:tr>
      <w:tr>
        <w:tc>
          <w:tcPr>
            <w:tcW w:type="dxa" w:w="4513"/>
          </w:tcPr>
          <w:p>
            <w:pPr>
              <w:spacing w:after="0"/>
            </w:pPr>
            <w:r/>
            <w:r>
              <w:rPr>
                <w:rFonts w:ascii="Times New Roman" w:hAnsi="Times New Roman"/>
                <w:sz w:val="21"/>
              </w:rPr>
              <w:t>TPR</w:t>
            </w:r>
          </w:p>
        </w:tc>
        <w:tc>
          <w:tcPr>
            <w:tcW w:type="dxa" w:w="4513"/>
          </w:tcPr>
          <w:p>
            <w:pPr>
              <w:spacing w:after="0"/>
            </w:pPr>
            <w:r/>
            <w:r>
              <w:rPr>
                <w:rFonts w:ascii="Times New Roman" w:hAnsi="Times New Roman"/>
                <w:sz w:val="21"/>
              </w:rPr>
              <w:t>True positive rate (recall)</w:t>
            </w:r>
          </w:p>
        </w:tc>
      </w:tr>
      <w:tr>
        <w:tc>
          <w:tcPr>
            <w:tcW w:type="dxa" w:w="4513"/>
          </w:tcPr>
          <w:p>
            <w:pPr>
              <w:spacing w:after="0"/>
            </w:pPr>
            <w:r/>
            <w:r>
              <w:rPr>
                <w:rFonts w:ascii="Times New Roman" w:hAnsi="Times New Roman"/>
                <w:sz w:val="21"/>
              </w:rPr>
              <w:t>VIF</w:t>
            </w:r>
          </w:p>
        </w:tc>
        <w:tc>
          <w:tcPr>
            <w:tcW w:type="dxa" w:w="4513"/>
          </w:tcPr>
          <w:p>
            <w:pPr>
              <w:spacing w:after="0"/>
            </w:pPr>
            <w:r/>
            <w:r>
              <w:rPr>
                <w:rFonts w:ascii="Times New Roman" w:hAnsi="Times New Roman"/>
                <w:sz w:val="21"/>
              </w:rPr>
              <w:t>Variance inflation factor</w:t>
            </w:r>
          </w:p>
        </w:tc>
      </w:tr>
    </w:tbl>
    <w:p>
      <w:r>
        <w:br w:type="page"/>
      </w:r>
    </w:p>
    <w:p>
      <w:r>
        <w:br w:type="page"/>
      </w:r>
    </w:p>
    <w:p>
      <w:pPr>
        <w:pStyle w:val="Heading1"/>
      </w:pPr>
      <w:r>
        <w:rPr>
          <w:rFonts w:ascii="Times New Roman" w:hAnsi="Times New Roman"/>
          <w:b/>
          <w:color w:val="000000"/>
          <w:sz w:val="32"/>
        </w:rPr>
        <w:t>Executive summary</w:t>
      </w:r>
    </w:p>
    <w:p>
      <w:r>
        <w:rPr>
          <w:rFonts w:ascii="Times New Roman" w:hAnsi="Times New Roman"/>
          <w:sz w:val="24"/>
        </w:rPr>
        <w:t>The business question is whether a mine injury report can be classified at filing as a lost-time case, one needing an indemnity reserve and a return-to-work plan. The study used 101,609 injury reports filed with the US Mine Safety and Health Administration in 2010-2025, joined to mine attributes and previous-year hours and case history. Eight algorithms were tuned with mine-year-grouped cross-validation, and histogram-based gradient boosting was selected.</w:t>
      </w:r>
    </w:p>
    <w:p>
      <w:r>
        <w:rPr>
          <w:rFonts w:ascii="Times New Roman" w:hAnsi="Times New Roman"/>
          <w:sz w:val="24"/>
        </w:rPr>
        <w:t>It reaches a held-out test recall of 0.943 and a precision of 0.599 at the capacity threshold, which flags about three cases in four, with a PR-AUC of 0.841. I recommend that workers'-compensation insurers and self-insured operators rank new claims by this score for early review, with an adjuster confirming each flag. The label also records whether the operator offered restricted duty. Results are therefore reported by sector, and the score should not rank mines for inspection.</w:t>
      </w:r>
    </w:p>
    <w:p>
      <w:r>
        <w:br w:type="page"/>
      </w:r>
    </w:p>
    <w:p>
      <w:pPr>
        <w:pStyle w:val="Heading1"/>
      </w:pPr>
      <w:r>
        <w:rPr>
          <w:rFonts w:ascii="Times New Roman" w:hAnsi="Times New Roman"/>
          <w:b/>
          <w:color w:val="000000"/>
          <w:sz w:val="32"/>
        </w:rPr>
        <w:t>1 Introduction</w:t>
      </w:r>
    </w:p>
    <w:p>
      <w:pPr>
        <w:pStyle w:val="Heading2"/>
      </w:pPr>
      <w:r>
        <w:rPr>
          <w:rFonts w:ascii="Times New Roman" w:hAnsi="Times New Roman"/>
          <w:b/>
          <w:color w:val="000000"/>
          <w:sz w:val="28"/>
        </w:rPr>
        <w:t>1.1 Business case</w:t>
      </w:r>
    </w:p>
    <w:p>
      <w:r>
        <w:rPr>
          <w:rFonts w:ascii="Times New Roman" w:hAnsi="Times New Roman"/>
          <w:sz w:val="24"/>
        </w:rPr>
        <w:t>The operator's safety officer files every reportable US mine injury on Mine Safety and Health Administration (MSHA) Form 7000-1 within ten working days (Legal Information Institute, no date a). The workers'-compensation insurer or self-insured operator then decides whether to open an indemnity reserve, a return-to-work plan and medical case management. Federal surveillance counted 3,604 non-fatal lost-time injuries at US mines in 2024 (National Institute for Occupational Safety and Health, no date); in-scope reports here averaged about 5,000 a year from 2020. With the days-away field often blank at filing, the decision rests on circumstances, worker and mine. MSHA inspectors, who target mines from aggregate rates, need the broader days away, restricted or transferred (DART) label.</w:t>
      </w:r>
    </w:p>
    <w:p>
      <w:r>
        <w:rPr>
          <w:rFonts w:ascii="Times New Roman" w:hAnsi="Times New Roman"/>
          <w:sz w:val="24"/>
        </w:rPr>
        <w:t>Table 1 prices the two errors. A false negative delays the reserve, return-to-work plan and medical management, and late-reported claims cost more (Business Insurance, 2015); a false positive costs a needless review. Their ratio is assumed and varied. With almost half the reports positive, reviewing everything is cheapest from about 10:1, so review capacity sets the threshold and the model is judged on ranking.</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Error costs assumed for the claim-flagging decision and the evidence behind each value; the false-negative cost and the cost ratio are assumptions varied in the threshold analysis, and the review-everything floor is computed on all 101,609 in-scope reports. Source: author's assumptions from the cited cost sources and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1"/>
              </w:rPr>
              <w:t>Item</w:t>
            </w:r>
          </w:p>
        </w:tc>
        <w:tc>
          <w:tcPr>
            <w:tcW w:type="dxa" w:w="2256"/>
            <w:shd w:val="clear" w:color="auto" w:fill="E7E6E6"/>
          </w:tcPr>
          <w:p>
            <w:pPr>
              <w:jc w:val="left"/>
            </w:pPr>
            <w:r>
              <w:rPr>
                <w:b/>
              </w:rPr>
            </w:r>
            <w:r>
              <w:rPr>
                <w:rFonts w:ascii="Times New Roman" w:hAnsi="Times New Roman"/>
                <w:b/>
                <w:sz w:val="21"/>
              </w:rPr>
              <w:t>Meaning at filing</w:t>
            </w:r>
          </w:p>
        </w:tc>
        <w:tc>
          <w:tcPr>
            <w:tcW w:type="dxa" w:w="2256"/>
            <w:shd w:val="clear" w:color="auto" w:fill="E7E6E6"/>
          </w:tcPr>
          <w:p>
            <w:pPr>
              <w:jc w:val="left"/>
            </w:pPr>
            <w:r>
              <w:rPr>
                <w:b/>
              </w:rPr>
            </w:r>
            <w:r>
              <w:rPr>
                <w:rFonts w:ascii="Times New Roman" w:hAnsi="Times New Roman"/>
                <w:b/>
                <w:sz w:val="21"/>
              </w:rPr>
              <w:t>Value used</w:t>
            </w:r>
          </w:p>
        </w:tc>
        <w:tc>
          <w:tcPr>
            <w:tcW w:type="dxa" w:w="2256"/>
            <w:shd w:val="clear" w:color="auto" w:fill="E7E6E6"/>
          </w:tcPr>
          <w:p>
            <w:pPr>
              <w:jc w:val="left"/>
            </w:pPr>
            <w:r>
              <w:rPr>
                <w:b/>
              </w:rPr>
            </w:r>
            <w:r>
              <w:rPr>
                <w:rFonts w:ascii="Times New Roman" w:hAnsi="Times New Roman"/>
                <w:b/>
                <w:sz w:val="21"/>
              </w:rPr>
              <w:t>Evidence and status</w:t>
            </w:r>
          </w:p>
        </w:tc>
      </w:tr>
      <w:tr>
        <w:tc>
          <w:tcPr>
            <w:tcW w:type="dxa" w:w="2256"/>
          </w:tcPr>
          <w:p>
            <w:pPr>
              <w:spacing w:after="0"/>
              <w:jc w:val="left"/>
            </w:pPr>
            <w:r/>
            <w:r>
              <w:rPr>
                <w:rFonts w:ascii="Times New Roman" w:hAnsi="Times New Roman"/>
                <w:sz w:val="21"/>
              </w:rPr>
              <w:t>False positive (C_FP)</w:t>
            </w:r>
          </w:p>
        </w:tc>
        <w:tc>
          <w:tcPr>
            <w:tcW w:type="dxa" w:w="2256"/>
          </w:tcPr>
          <w:p>
            <w:pPr>
              <w:spacing w:after="0"/>
              <w:jc w:val="left"/>
            </w:pPr>
            <w:r/>
            <w:r>
              <w:rPr>
                <w:rFonts w:ascii="Times New Roman" w:hAnsi="Times New Roman"/>
                <w:sz w:val="21"/>
              </w:rPr>
              <w:t>a case flagged for early review that ends as restricted duty or medical treatment only</w:t>
            </w:r>
          </w:p>
        </w:tc>
        <w:tc>
          <w:tcPr>
            <w:tcW w:type="dxa" w:w="2256"/>
          </w:tcPr>
          <w:p>
            <w:pPr>
              <w:spacing w:after="0"/>
              <w:jc w:val="left"/>
            </w:pPr>
            <w:r/>
            <w:r>
              <w:rPr>
                <w:rFonts w:ascii="Times New Roman" w:hAnsi="Times New Roman"/>
                <w:sz w:val="21"/>
              </w:rPr>
              <w:t>USD 200 (range 105 to 260)</w:t>
            </w:r>
          </w:p>
        </w:tc>
        <w:tc>
          <w:tcPr>
            <w:tcW w:type="dxa" w:w="2256"/>
          </w:tcPr>
          <w:p>
            <w:pPr>
              <w:spacing w:after="0"/>
              <w:jc w:val="left"/>
            </w:pPr>
            <w:r/>
            <w:r>
              <w:rPr>
                <w:rFonts w:ascii="Times New Roman" w:hAnsi="Times New Roman"/>
                <w:sz w:val="21"/>
              </w:rPr>
              <w:t>2 to 4 claims-adjuster hours at the median wage of USD 37.51 per hour, loaded by 1.4, plus about 1 hour of safety-officer time (Bureau of Labor Statistics, 2025)</w:t>
            </w:r>
          </w:p>
        </w:tc>
      </w:tr>
      <w:tr>
        <w:tc>
          <w:tcPr>
            <w:tcW w:type="dxa" w:w="2256"/>
          </w:tcPr>
          <w:p>
            <w:pPr>
              <w:spacing w:after="0"/>
              <w:jc w:val="left"/>
            </w:pPr>
            <w:r/>
            <w:r>
              <w:rPr>
                <w:rFonts w:ascii="Times New Roman" w:hAnsi="Times New Roman"/>
                <w:sz w:val="21"/>
              </w:rPr>
              <w:t>False negative (C_FN)</w:t>
            </w:r>
          </w:p>
        </w:tc>
        <w:tc>
          <w:tcPr>
            <w:tcW w:type="dxa" w:w="2256"/>
          </w:tcPr>
          <w:p>
            <w:pPr>
              <w:spacing w:after="0"/>
              <w:jc w:val="left"/>
            </w:pPr>
            <w:r/>
            <w:r>
              <w:rPr>
                <w:rFonts w:ascii="Times New Roman" w:hAnsi="Times New Roman"/>
                <w:sz w:val="21"/>
              </w:rPr>
              <w:t>a lost-time case left unflagged, so reserve, return-to-work plan and medical management start late</w:t>
            </w:r>
          </w:p>
        </w:tc>
        <w:tc>
          <w:tcPr>
            <w:tcW w:type="dxa" w:w="2256"/>
          </w:tcPr>
          <w:p>
            <w:pPr>
              <w:spacing w:after="0"/>
              <w:jc w:val="left"/>
            </w:pPr>
            <w:r/>
            <w:r>
              <w:rPr>
                <w:rFonts w:ascii="Times New Roman" w:hAnsi="Times New Roman"/>
                <w:sz w:val="21"/>
              </w:rPr>
              <w:t>USD 4,000 (range 3,100 to 6,200), an assumption</w:t>
            </w:r>
          </w:p>
        </w:tc>
        <w:tc>
          <w:tcPr>
            <w:tcW w:type="dxa" w:w="2256"/>
          </w:tcPr>
          <w:p>
            <w:pPr>
              <w:spacing w:after="0"/>
              <w:jc w:val="left"/>
            </w:pPr>
            <w:r/>
            <w:r>
              <w:rPr>
                <w:rFonts w:ascii="Times New Roman" w:hAnsi="Times New Roman"/>
                <w:sz w:val="21"/>
              </w:rPr>
              <w:t>5% to 10% of the National Council on Compensation Insurance (NCCI) accident-year 2025 average lost-time claim of USD 61,900 (indemnity 31,300 plus medical 30,600) (Gen Re, 2026); the share is a judgement, and the NCCI report-lag study, where claims reported in week 3 cost 35% more (Business Insurance, 2015), is an analogy only</w:t>
            </w:r>
          </w:p>
        </w:tc>
      </w:tr>
      <w:tr>
        <w:tc>
          <w:tcPr>
            <w:tcW w:type="dxa" w:w="2256"/>
          </w:tcPr>
          <w:p>
            <w:pPr>
              <w:spacing w:after="0"/>
              <w:jc w:val="left"/>
            </w:pPr>
            <w:r/>
            <w:r>
              <w:rPr>
                <w:rFonts w:ascii="Times New Roman" w:hAnsi="Times New Roman"/>
                <w:sz w:val="21"/>
              </w:rPr>
              <w:t>Cost ratio C_FN : C_FP</w:t>
            </w:r>
          </w:p>
        </w:tc>
        <w:tc>
          <w:tcPr>
            <w:tcW w:type="dxa" w:w="2256"/>
          </w:tcPr>
          <w:p>
            <w:pPr>
              <w:spacing w:after="0"/>
              <w:jc w:val="left"/>
            </w:pPr>
            <w:r/>
            <w:r>
              <w:rPr>
                <w:rFonts w:ascii="Times New Roman" w:hAnsi="Times New Roman"/>
                <w:sz w:val="21"/>
              </w:rPr>
              <w:t>weight of one miss against one unnecessary review</w:t>
            </w:r>
          </w:p>
        </w:tc>
        <w:tc>
          <w:tcPr>
            <w:tcW w:type="dxa" w:w="2256"/>
          </w:tcPr>
          <w:p>
            <w:pPr>
              <w:spacing w:after="0"/>
              <w:jc w:val="left"/>
            </w:pPr>
            <w:r/>
            <w:r>
              <w:rPr>
                <w:rFonts w:ascii="Times New Roman" w:hAnsi="Times New Roman"/>
                <w:sz w:val="21"/>
              </w:rPr>
              <w:t>20:1 base; sensitivity set 2:1, 3:1, 5:1, 10:1, 20:1, 30:1</w:t>
            </w:r>
          </w:p>
        </w:tc>
        <w:tc>
          <w:tcPr>
            <w:tcW w:type="dxa" w:w="2256"/>
          </w:tcPr>
          <w:p>
            <w:pPr>
              <w:spacing w:after="0"/>
              <w:jc w:val="left"/>
            </w:pPr>
            <w:r/>
            <w:r>
              <w:rPr>
                <w:rFonts w:ascii="Times New Roman" w:hAnsi="Times New Roman"/>
                <w:sz w:val="21"/>
              </w:rPr>
              <w:t>implied threshold on a calibrated probability p* = 1 / (1 + ratio), 0.333 at 2:1 and 0.048 at 20:1</w:t>
            </w:r>
          </w:p>
        </w:tc>
      </w:tr>
      <w:tr>
        <w:tc>
          <w:tcPr>
            <w:tcW w:type="dxa" w:w="2256"/>
          </w:tcPr>
          <w:p>
            <w:pPr>
              <w:spacing w:after="0"/>
              <w:jc w:val="left"/>
            </w:pPr>
            <w:r/>
            <w:r>
              <w:rPr>
                <w:rFonts w:ascii="Times New Roman" w:hAnsi="Times New Roman"/>
                <w:sz w:val="21"/>
              </w:rPr>
              <w:t>Review-everything floor</w:t>
            </w:r>
          </w:p>
        </w:tc>
        <w:tc>
          <w:tcPr>
            <w:tcW w:type="dxa" w:w="2256"/>
          </w:tcPr>
          <w:p>
            <w:pPr>
              <w:spacing w:after="0"/>
              <w:jc w:val="left"/>
            </w:pPr>
            <w:r/>
            <w:r>
              <w:rPr>
                <w:rFonts w:ascii="Times New Roman" w:hAnsi="Times New Roman"/>
                <w:sz w:val="21"/>
              </w:rPr>
              <w:t>cost of reviewing every case</w:t>
            </w:r>
          </w:p>
        </w:tc>
        <w:tc>
          <w:tcPr>
            <w:tcW w:type="dxa" w:w="2256"/>
          </w:tcPr>
          <w:p>
            <w:pPr>
              <w:spacing w:after="0"/>
              <w:jc w:val="left"/>
            </w:pPr>
            <w:r/>
            <w:r>
              <w:rPr>
                <w:rFonts w:ascii="Times New Roman" w:hAnsi="Times New Roman"/>
                <w:sz w:val="21"/>
              </w:rPr>
              <w:t>USD 102,829 per 1,000 cases at any ratio</w:t>
            </w:r>
          </w:p>
        </w:tc>
        <w:tc>
          <w:tcPr>
            <w:tcW w:type="dxa" w:w="2256"/>
          </w:tcPr>
          <w:p>
            <w:pPr>
              <w:spacing w:after="0"/>
              <w:jc w:val="left"/>
            </w:pPr>
            <w:r/>
            <w:r>
              <w:rPr>
                <w:rFonts w:ascii="Times New Roman" w:hAnsi="Times New Roman"/>
                <w:sz w:val="21"/>
              </w:rPr>
              <w:t>cost-optimal from about 10:1 upwards at 48.6% prevalence, so review capacity sets the threshold (the capacity threshold: specificity 0.40, about 75% of cases flagged)</w:t>
            </w:r>
          </w:p>
        </w:tc>
      </w:tr>
    </w:tbl>
    <w:p>
      <w:pPr>
        <w:spacing w:after="80"/>
      </w:pPr>
    </w:p>
    <w:p>
      <w:r>
        <w:rPr>
          <w:rFonts w:ascii="Times New Roman" w:hAnsi="Times New Roman"/>
          <w:sz w:val="24"/>
        </w:rPr>
        <w:t>A cheaper hand rule, flagging all but cuts, dust in the eye and scratches, catches most cases of both classes and cannot trade recall for specificity as capacity changes (Section 1.2). In Mitchell's (1997) terms, task T is labelling each new report lost-time or not, experience E is the labelled training reports, and performance P is the held-out area under the precision-recall curve (PR-AUC). Following Provost and Fawcett (2013), this is supervised binary classification with probability estimates, scored in batch on daily filings and interactively in the application.</w:t>
      </w:r>
    </w:p>
    <w:p>
      <w:pPr>
        <w:pStyle w:val="Heading2"/>
      </w:pPr>
      <w:r>
        <w:rPr>
          <w:rFonts w:ascii="Times New Roman" w:hAnsi="Times New Roman"/>
          <w:b/>
          <w:color w:val="000000"/>
          <w:sz w:val="28"/>
        </w:rPr>
        <w:t>1.2 Problem framing</w:t>
      </w:r>
    </w:p>
    <w:p>
      <w:r>
        <w:rPr>
          <w:rFonts w:ascii="Times New Roman" w:hAnsi="Times New Roman"/>
          <w:sz w:val="24"/>
        </w:rPr>
        <w:t>One row is one injured person on one Form 7000-1 (Mine Safety and Health Administration, no date). The target lost_time, derived from DEGREE_INJURY_CD (Table 2), is positive for fatalities, permanent disabilities and days-away cases, which trigger wage replacement, and negative for restricted-duty-only and no-lost-time cases. A "serious" label (fatal, permanent or 30 or more days lost; 24.8% positive) assumes days lost are final at filing, yet open cases are right-censored. The DART label (69.0% positive) assumes restricted duty matters to the payer, which owes no indemnity for it. I kept the days-away label because it matches the reserve decision and the federal injury-survey definition (Bureau of Labor Statistics, no date). Other codes, such as illness, are out of scope.</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Mapping of MSHA degree-of-injury codes to the lost_time target, with row counts and prevalence on all in-scope reports of 2010-2025 before the train/test split, and the two alternative labels that were assessed.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1"/>
              </w:rPr>
              <w:t>DEGREE_INJURY_CD</w:t>
            </w:r>
          </w:p>
        </w:tc>
        <w:tc>
          <w:tcPr>
            <w:tcW w:type="dxa" w:w="2256"/>
            <w:shd w:val="clear" w:color="auto" w:fill="E7E6E6"/>
          </w:tcPr>
          <w:p>
            <w:pPr>
              <w:jc w:val="left"/>
            </w:pPr>
            <w:r>
              <w:rPr>
                <w:b/>
              </w:rPr>
            </w:r>
            <w:r>
              <w:rPr>
                <w:rFonts w:ascii="Times New Roman" w:hAnsi="Times New Roman"/>
                <w:b/>
                <w:sz w:val="21"/>
              </w:rPr>
              <w:t>Codebook meaning</w:t>
            </w:r>
          </w:p>
        </w:tc>
        <w:tc>
          <w:tcPr>
            <w:tcW w:type="dxa" w:w="2256"/>
            <w:shd w:val="clear" w:color="auto" w:fill="E7E6E6"/>
          </w:tcPr>
          <w:p>
            <w:pPr>
              <w:jc w:val="left"/>
            </w:pPr>
            <w:r>
              <w:rPr>
                <w:b/>
              </w:rPr>
            </w:r>
            <w:r>
              <w:rPr>
                <w:rFonts w:ascii="Times New Roman" w:hAnsi="Times New Roman"/>
                <w:b/>
                <w:sz w:val="21"/>
              </w:rPr>
              <w:t>Rows</w:t>
            </w:r>
          </w:p>
        </w:tc>
        <w:tc>
          <w:tcPr>
            <w:tcW w:type="dxa" w:w="2256"/>
            <w:shd w:val="clear" w:color="auto" w:fill="E7E6E6"/>
          </w:tcPr>
          <w:p>
            <w:pPr>
              <w:jc w:val="left"/>
            </w:pPr>
            <w:r>
              <w:rPr>
                <w:b/>
              </w:rPr>
            </w:r>
            <w:r>
              <w:rPr>
                <w:rFonts w:ascii="Times New Roman" w:hAnsi="Times New Roman"/>
                <w:b/>
                <w:sz w:val="21"/>
              </w:rPr>
              <w:t>Class</w:t>
            </w:r>
          </w:p>
        </w:tc>
      </w:tr>
      <w:tr>
        <w:tc>
          <w:tcPr>
            <w:tcW w:type="dxa" w:w="2256"/>
          </w:tcPr>
          <w:p>
            <w:pPr>
              <w:spacing w:after="0"/>
              <w:jc w:val="left"/>
            </w:pPr>
            <w:r/>
            <w:r>
              <w:rPr>
                <w:rFonts w:ascii="Times New Roman" w:hAnsi="Times New Roman"/>
                <w:sz w:val="21"/>
              </w:rPr>
              <w:t>01</w:t>
            </w:r>
          </w:p>
        </w:tc>
        <w:tc>
          <w:tcPr>
            <w:tcW w:type="dxa" w:w="2256"/>
          </w:tcPr>
          <w:p>
            <w:pPr>
              <w:spacing w:after="0"/>
              <w:jc w:val="left"/>
            </w:pPr>
            <w:r/>
            <w:r>
              <w:rPr>
                <w:rFonts w:ascii="Times New Roman" w:hAnsi="Times New Roman"/>
                <w:sz w:val="21"/>
              </w:rPr>
              <w:t>Fatality</w:t>
            </w:r>
          </w:p>
        </w:tc>
        <w:tc>
          <w:tcPr>
            <w:tcW w:type="dxa" w:w="2256"/>
          </w:tcPr>
          <w:p>
            <w:pPr>
              <w:spacing w:after="0"/>
              <w:jc w:val="left"/>
            </w:pPr>
            <w:r/>
            <w:r>
              <w:rPr>
                <w:rFonts w:ascii="Times New Roman" w:hAnsi="Times New Roman"/>
                <w:sz w:val="21"/>
              </w:rPr>
              <w:t>567</w:t>
            </w:r>
          </w:p>
        </w:tc>
        <w:tc>
          <w:tcPr>
            <w:tcW w:type="dxa" w:w="2256"/>
          </w:tcPr>
          <w:p>
            <w:pPr>
              <w:spacing w:after="0"/>
              <w:jc w:val="left"/>
            </w:pPr>
            <w:r/>
            <w:r>
              <w:rPr>
                <w:rFonts w:ascii="Times New Roman" w:hAnsi="Times New Roman"/>
                <w:sz w:val="21"/>
              </w:rPr>
              <w:t>positive</w:t>
            </w:r>
          </w:p>
        </w:tc>
      </w:tr>
      <w:tr>
        <w:tc>
          <w:tcPr>
            <w:tcW w:type="dxa" w:w="2256"/>
          </w:tcPr>
          <w:p>
            <w:pPr>
              <w:spacing w:after="0"/>
              <w:jc w:val="left"/>
            </w:pPr>
            <w:r/>
            <w:r>
              <w:rPr>
                <w:rFonts w:ascii="Times New Roman" w:hAnsi="Times New Roman"/>
                <w:sz w:val="21"/>
              </w:rPr>
              <w:t>02</w:t>
            </w:r>
          </w:p>
        </w:tc>
        <w:tc>
          <w:tcPr>
            <w:tcW w:type="dxa" w:w="2256"/>
          </w:tcPr>
          <w:p>
            <w:pPr>
              <w:spacing w:after="0"/>
              <w:jc w:val="left"/>
            </w:pPr>
            <w:r/>
            <w:r>
              <w:rPr>
                <w:rFonts w:ascii="Times New Roman" w:hAnsi="Times New Roman"/>
                <w:sz w:val="21"/>
              </w:rPr>
              <w:t>Permanent total or partial disability</w:t>
            </w:r>
          </w:p>
        </w:tc>
        <w:tc>
          <w:tcPr>
            <w:tcW w:type="dxa" w:w="2256"/>
          </w:tcPr>
          <w:p>
            <w:pPr>
              <w:spacing w:after="0"/>
              <w:jc w:val="left"/>
            </w:pPr>
            <w:r/>
            <w:r>
              <w:rPr>
                <w:rFonts w:ascii="Times New Roman" w:hAnsi="Times New Roman"/>
                <w:sz w:val="21"/>
              </w:rPr>
              <w:t>1,124</w:t>
            </w:r>
          </w:p>
        </w:tc>
        <w:tc>
          <w:tcPr>
            <w:tcW w:type="dxa" w:w="2256"/>
          </w:tcPr>
          <w:p>
            <w:pPr>
              <w:spacing w:after="0"/>
              <w:jc w:val="left"/>
            </w:pPr>
            <w:r/>
            <w:r>
              <w:rPr>
                <w:rFonts w:ascii="Times New Roman" w:hAnsi="Times New Roman"/>
                <w:sz w:val="21"/>
              </w:rPr>
              <w:t>positive</w:t>
            </w:r>
          </w:p>
        </w:tc>
      </w:tr>
      <w:tr>
        <w:tc>
          <w:tcPr>
            <w:tcW w:type="dxa" w:w="2256"/>
          </w:tcPr>
          <w:p>
            <w:pPr>
              <w:spacing w:after="0"/>
              <w:jc w:val="left"/>
            </w:pPr>
            <w:r/>
            <w:r>
              <w:rPr>
                <w:rFonts w:ascii="Times New Roman" w:hAnsi="Times New Roman"/>
                <w:sz w:val="21"/>
              </w:rPr>
              <w:t>03</w:t>
            </w:r>
          </w:p>
        </w:tc>
        <w:tc>
          <w:tcPr>
            <w:tcW w:type="dxa" w:w="2256"/>
          </w:tcPr>
          <w:p>
            <w:pPr>
              <w:spacing w:after="0"/>
              <w:jc w:val="left"/>
            </w:pPr>
            <w:r/>
            <w:r>
              <w:rPr>
                <w:rFonts w:ascii="Times New Roman" w:hAnsi="Times New Roman"/>
                <w:sz w:val="21"/>
              </w:rPr>
              <w:t>Days away from work only</w:t>
            </w:r>
          </w:p>
        </w:tc>
        <w:tc>
          <w:tcPr>
            <w:tcW w:type="dxa" w:w="2256"/>
          </w:tcPr>
          <w:p>
            <w:pPr>
              <w:spacing w:after="0"/>
              <w:jc w:val="left"/>
            </w:pPr>
            <w:r/>
            <w:r>
              <w:rPr>
                <w:rFonts w:ascii="Times New Roman" w:hAnsi="Times New Roman"/>
                <w:sz w:val="21"/>
              </w:rPr>
              <w:t>36,948</w:t>
            </w:r>
          </w:p>
        </w:tc>
        <w:tc>
          <w:tcPr>
            <w:tcW w:type="dxa" w:w="2256"/>
          </w:tcPr>
          <w:p>
            <w:pPr>
              <w:spacing w:after="0"/>
              <w:jc w:val="left"/>
            </w:pPr>
            <w:r/>
            <w:r>
              <w:rPr>
                <w:rFonts w:ascii="Times New Roman" w:hAnsi="Times New Roman"/>
                <w:sz w:val="21"/>
              </w:rPr>
              <w:t>positive</w:t>
            </w:r>
          </w:p>
        </w:tc>
      </w:tr>
      <w:tr>
        <w:tc>
          <w:tcPr>
            <w:tcW w:type="dxa" w:w="2256"/>
          </w:tcPr>
          <w:p>
            <w:pPr>
              <w:spacing w:after="0"/>
              <w:jc w:val="left"/>
            </w:pPr>
            <w:r/>
            <w:r>
              <w:rPr>
                <w:rFonts w:ascii="Times New Roman" w:hAnsi="Times New Roman"/>
                <w:sz w:val="21"/>
              </w:rPr>
              <w:t>04</w:t>
            </w:r>
          </w:p>
        </w:tc>
        <w:tc>
          <w:tcPr>
            <w:tcW w:type="dxa" w:w="2256"/>
          </w:tcPr>
          <w:p>
            <w:pPr>
              <w:spacing w:after="0"/>
              <w:jc w:val="left"/>
            </w:pPr>
            <w:r/>
            <w:r>
              <w:rPr>
                <w:rFonts w:ascii="Times New Roman" w:hAnsi="Times New Roman"/>
                <w:sz w:val="21"/>
              </w:rPr>
              <w:t>Days away from work and restricted activity</w:t>
            </w:r>
          </w:p>
        </w:tc>
        <w:tc>
          <w:tcPr>
            <w:tcW w:type="dxa" w:w="2256"/>
          </w:tcPr>
          <w:p>
            <w:pPr>
              <w:spacing w:after="0"/>
              <w:jc w:val="left"/>
            </w:pPr>
            <w:r/>
            <w:r>
              <w:rPr>
                <w:rFonts w:ascii="Times New Roman" w:hAnsi="Times New Roman"/>
                <w:sz w:val="21"/>
              </w:rPr>
              <w:t>10,728</w:t>
            </w:r>
          </w:p>
        </w:tc>
        <w:tc>
          <w:tcPr>
            <w:tcW w:type="dxa" w:w="2256"/>
          </w:tcPr>
          <w:p>
            <w:pPr>
              <w:spacing w:after="0"/>
              <w:jc w:val="left"/>
            </w:pPr>
            <w:r/>
            <w:r>
              <w:rPr>
                <w:rFonts w:ascii="Times New Roman" w:hAnsi="Times New Roman"/>
                <w:sz w:val="21"/>
              </w:rPr>
              <w:t>positive</w:t>
            </w:r>
          </w:p>
        </w:tc>
      </w:tr>
      <w:tr>
        <w:tc>
          <w:tcPr>
            <w:tcW w:type="dxa" w:w="2256"/>
          </w:tcPr>
          <w:p>
            <w:pPr>
              <w:spacing w:after="0"/>
              <w:jc w:val="left"/>
            </w:pPr>
            <w:r/>
            <w:r>
              <w:rPr>
                <w:rFonts w:ascii="Times New Roman" w:hAnsi="Times New Roman"/>
                <w:sz w:val="21"/>
              </w:rPr>
              <w:t>05</w:t>
            </w:r>
          </w:p>
        </w:tc>
        <w:tc>
          <w:tcPr>
            <w:tcW w:type="dxa" w:w="2256"/>
          </w:tcPr>
          <w:p>
            <w:pPr>
              <w:spacing w:after="0"/>
              <w:jc w:val="left"/>
            </w:pPr>
            <w:r/>
            <w:r>
              <w:rPr>
                <w:rFonts w:ascii="Times New Roman" w:hAnsi="Times New Roman"/>
                <w:sz w:val="21"/>
              </w:rPr>
              <w:t>Days of restricted activity only</w:t>
            </w:r>
          </w:p>
        </w:tc>
        <w:tc>
          <w:tcPr>
            <w:tcW w:type="dxa" w:w="2256"/>
          </w:tcPr>
          <w:p>
            <w:pPr>
              <w:spacing w:after="0"/>
              <w:jc w:val="left"/>
            </w:pPr>
            <w:r/>
            <w:r>
              <w:rPr>
                <w:rFonts w:ascii="Times New Roman" w:hAnsi="Times New Roman"/>
                <w:sz w:val="21"/>
              </w:rPr>
              <w:t>20,788</w:t>
            </w:r>
          </w:p>
        </w:tc>
        <w:tc>
          <w:tcPr>
            <w:tcW w:type="dxa" w:w="2256"/>
          </w:tcPr>
          <w:p>
            <w:pPr>
              <w:spacing w:after="0"/>
              <w:jc w:val="left"/>
            </w:pPr>
            <w:r/>
            <w:r>
              <w:rPr>
                <w:rFonts w:ascii="Times New Roman" w:hAnsi="Times New Roman"/>
                <w:sz w:val="21"/>
              </w:rPr>
              <w:t>negative</w:t>
            </w:r>
          </w:p>
        </w:tc>
      </w:tr>
      <w:tr>
        <w:tc>
          <w:tcPr>
            <w:tcW w:type="dxa" w:w="2256"/>
          </w:tcPr>
          <w:p>
            <w:pPr>
              <w:spacing w:after="0"/>
              <w:jc w:val="left"/>
            </w:pPr>
            <w:r/>
            <w:r>
              <w:rPr>
                <w:rFonts w:ascii="Times New Roman" w:hAnsi="Times New Roman"/>
                <w:sz w:val="21"/>
              </w:rPr>
              <w:t>06</w:t>
            </w:r>
          </w:p>
        </w:tc>
        <w:tc>
          <w:tcPr>
            <w:tcW w:type="dxa" w:w="2256"/>
          </w:tcPr>
          <w:p>
            <w:pPr>
              <w:spacing w:after="0"/>
              <w:jc w:val="left"/>
            </w:pPr>
            <w:r/>
            <w:r>
              <w:rPr>
                <w:rFonts w:ascii="Times New Roman" w:hAnsi="Times New Roman"/>
                <w:sz w:val="21"/>
              </w:rPr>
              <w:t>No days away from work, no restrictions</w:t>
            </w:r>
          </w:p>
        </w:tc>
        <w:tc>
          <w:tcPr>
            <w:tcW w:type="dxa" w:w="2256"/>
          </w:tcPr>
          <w:p>
            <w:pPr>
              <w:spacing w:after="0"/>
              <w:jc w:val="left"/>
            </w:pPr>
            <w:r/>
            <w:r>
              <w:rPr>
                <w:rFonts w:ascii="Times New Roman" w:hAnsi="Times New Roman"/>
                <w:sz w:val="21"/>
              </w:rPr>
              <w:t>31,454</w:t>
            </w:r>
          </w:p>
        </w:tc>
        <w:tc>
          <w:tcPr>
            <w:tcW w:type="dxa" w:w="2256"/>
          </w:tcPr>
          <w:p>
            <w:pPr>
              <w:spacing w:after="0"/>
              <w:jc w:val="left"/>
            </w:pPr>
            <w:r/>
            <w:r>
              <w:rPr>
                <w:rFonts w:ascii="Times New Roman" w:hAnsi="Times New Roman"/>
                <w:sz w:val="21"/>
              </w:rPr>
              <w:t>negative</w:t>
            </w:r>
          </w:p>
        </w:tc>
      </w:tr>
      <w:tr>
        <w:tc>
          <w:tcPr>
            <w:tcW w:type="dxa" w:w="2256"/>
          </w:tcPr>
          <w:p>
            <w:pPr>
              <w:spacing w:after="0"/>
              <w:jc w:val="left"/>
            </w:pPr>
            <w:r/>
            <w:r>
              <w:rPr>
                <w:rFonts w:ascii="Times New Roman" w:hAnsi="Times New Roman"/>
                <w:sz w:val="21"/>
              </w:rPr>
              <w:t>00, 07, 08, 09, 10</w:t>
            </w:r>
          </w:p>
        </w:tc>
        <w:tc>
          <w:tcPr>
            <w:tcW w:type="dxa" w:w="2256"/>
          </w:tcPr>
          <w:p>
            <w:pPr>
              <w:spacing w:after="0"/>
              <w:jc w:val="left"/>
            </w:pPr>
            <w:r/>
            <w:r>
              <w:rPr>
                <w:rFonts w:ascii="Times New Roman" w:hAnsi="Times New Roman"/>
                <w:sz w:val="21"/>
              </w:rPr>
              <w:t>Accident only, occupational illness, natural causes, non-employee, all other cases including first aid</w:t>
            </w:r>
          </w:p>
        </w:tc>
        <w:tc>
          <w:tcPr>
            <w:tcW w:type="dxa" w:w="2256"/>
          </w:tcPr>
          <w:p>
            <w:pPr>
              <w:spacing w:after="0"/>
              <w:jc w:val="left"/>
            </w:pPr>
            <w:r/>
            <w:r>
              <w:rPr>
                <w:rFonts w:ascii="Times New Roman" w:hAnsi="Times New Roman"/>
                <w:sz w:val="21"/>
              </w:rPr>
              <w:t>19,932</w:t>
            </w:r>
          </w:p>
        </w:tc>
        <w:tc>
          <w:tcPr>
            <w:tcW w:type="dxa" w:w="2256"/>
          </w:tcPr>
          <w:p>
            <w:pPr>
              <w:spacing w:after="0"/>
              <w:jc w:val="left"/>
            </w:pPr>
            <w:r/>
            <w:r>
              <w:rPr>
                <w:rFonts w:ascii="Times New Roman" w:hAnsi="Times New Roman"/>
                <w:sz w:val="21"/>
              </w:rPr>
              <w:t>excluded</w:t>
            </w:r>
          </w:p>
        </w:tc>
      </w:tr>
      <w:tr>
        <w:tc>
          <w:tcPr>
            <w:tcW w:type="dxa" w:w="2256"/>
          </w:tcPr>
          <w:p>
            <w:pPr>
              <w:spacing w:after="0"/>
              <w:jc w:val="left"/>
            </w:pPr>
            <w:r/>
            <w:r>
              <w:rPr>
                <w:rFonts w:ascii="Times New Roman" w:hAnsi="Times New Roman"/>
                <w:sz w:val="21"/>
              </w:rPr>
              <w:t>All in-scope reports</w:t>
            </w:r>
          </w:p>
        </w:tc>
        <w:tc>
          <w:tcPr>
            <w:tcW w:type="dxa" w:w="2256"/>
          </w:tcPr>
          <w:p>
            <w:pPr>
              <w:spacing w:after="0"/>
              <w:jc w:val="left"/>
            </w:pPr>
            <w:r/>
            <w:r>
              <w:rPr>
                <w:rFonts w:ascii="Times New Roman" w:hAnsi="Times New Roman"/>
                <w:sz w:val="21"/>
              </w:rPr>
              <w:t>49,367 positive and 52,242 negative</w:t>
            </w:r>
          </w:p>
        </w:tc>
        <w:tc>
          <w:tcPr>
            <w:tcW w:type="dxa" w:w="2256"/>
          </w:tcPr>
          <w:p>
            <w:pPr>
              <w:spacing w:after="0"/>
              <w:jc w:val="left"/>
            </w:pPr>
            <w:r/>
            <w:r>
              <w:rPr>
                <w:rFonts w:ascii="Times New Roman" w:hAnsi="Times New Roman"/>
                <w:sz w:val="21"/>
              </w:rPr>
              <w:t>101,609</w:t>
            </w:r>
          </w:p>
        </w:tc>
        <w:tc>
          <w:tcPr>
            <w:tcW w:type="dxa" w:w="2256"/>
          </w:tcPr>
          <w:p>
            <w:pPr>
              <w:spacing w:after="0"/>
              <w:jc w:val="left"/>
            </w:pPr>
            <w:r/>
            <w:r>
              <w:rPr>
                <w:rFonts w:ascii="Times New Roman" w:hAnsi="Times New Roman"/>
                <w:sz w:val="21"/>
              </w:rPr>
              <w:t>prevalence 48.6%</w:t>
            </w:r>
          </w:p>
        </w:tc>
      </w:tr>
      <w:tr>
        <w:tc>
          <w:tcPr>
            <w:tcW w:type="dxa" w:w="2256"/>
          </w:tcPr>
          <w:p>
            <w:pPr>
              <w:spacing w:after="0"/>
              <w:jc w:val="left"/>
            </w:pPr>
            <w:r/>
            <w:r>
              <w:rPr>
                <w:rFonts w:ascii="Times New Roman" w:hAnsi="Times New Roman"/>
                <w:sz w:val="21"/>
              </w:rPr>
              <w:t>Coal mines</w:t>
            </w:r>
          </w:p>
        </w:tc>
        <w:tc>
          <w:tcPr>
            <w:tcW w:type="dxa" w:w="2256"/>
          </w:tcPr>
          <w:p>
            <w:pPr>
              <w:spacing w:after="0"/>
              <w:jc w:val="left"/>
            </w:pPr>
            <w:r/>
            <w:r>
              <w:rPr>
                <w:rFonts w:ascii="Times New Roman" w:hAnsi="Times New Roman"/>
                <w:sz w:val="21"/>
              </w:rPr>
              <w:t>sector from COAL_METAL_IND</w:t>
            </w:r>
          </w:p>
        </w:tc>
        <w:tc>
          <w:tcPr>
            <w:tcW w:type="dxa" w:w="2256"/>
          </w:tcPr>
          <w:p>
            <w:pPr>
              <w:spacing w:after="0"/>
              <w:jc w:val="left"/>
            </w:pPr>
            <w:r/>
            <w:r>
              <w:rPr>
                <w:rFonts w:ascii="Times New Roman" w:hAnsi="Times New Roman"/>
                <w:sz w:val="21"/>
              </w:rPr>
              <w:t>41,461</w:t>
            </w:r>
          </w:p>
        </w:tc>
        <w:tc>
          <w:tcPr>
            <w:tcW w:type="dxa" w:w="2256"/>
          </w:tcPr>
          <w:p>
            <w:pPr>
              <w:spacing w:after="0"/>
              <w:jc w:val="left"/>
            </w:pPr>
            <w:r/>
            <w:r>
              <w:rPr>
                <w:rFonts w:ascii="Times New Roman" w:hAnsi="Times New Roman"/>
                <w:sz w:val="21"/>
              </w:rPr>
              <w:t>prevalence 63.0%</w:t>
            </w:r>
          </w:p>
        </w:tc>
      </w:tr>
      <w:tr>
        <w:tc>
          <w:tcPr>
            <w:tcW w:type="dxa" w:w="2256"/>
          </w:tcPr>
          <w:p>
            <w:pPr>
              <w:spacing w:after="0"/>
              <w:jc w:val="left"/>
            </w:pPr>
            <w:r/>
            <w:r>
              <w:rPr>
                <w:rFonts w:ascii="Times New Roman" w:hAnsi="Times New Roman"/>
                <w:sz w:val="21"/>
              </w:rPr>
              <w:t>Metal and non-metal mines</w:t>
            </w:r>
          </w:p>
        </w:tc>
        <w:tc>
          <w:tcPr>
            <w:tcW w:type="dxa" w:w="2256"/>
          </w:tcPr>
          <w:p>
            <w:pPr>
              <w:spacing w:after="0"/>
              <w:jc w:val="left"/>
            </w:pPr>
            <w:r/>
            <w:r>
              <w:rPr>
                <w:rFonts w:ascii="Times New Roman" w:hAnsi="Times New Roman"/>
                <w:sz w:val="21"/>
              </w:rPr>
              <w:t>sector from COAL_METAL_IND</w:t>
            </w:r>
          </w:p>
        </w:tc>
        <w:tc>
          <w:tcPr>
            <w:tcW w:type="dxa" w:w="2256"/>
          </w:tcPr>
          <w:p>
            <w:pPr>
              <w:spacing w:after="0"/>
              <w:jc w:val="left"/>
            </w:pPr>
            <w:r/>
            <w:r>
              <w:rPr>
                <w:rFonts w:ascii="Times New Roman" w:hAnsi="Times New Roman"/>
                <w:sz w:val="21"/>
              </w:rPr>
              <w:t>60,148</w:t>
            </w:r>
          </w:p>
        </w:tc>
        <w:tc>
          <w:tcPr>
            <w:tcW w:type="dxa" w:w="2256"/>
          </w:tcPr>
          <w:p>
            <w:pPr>
              <w:spacing w:after="0"/>
              <w:jc w:val="left"/>
            </w:pPr>
            <w:r/>
            <w:r>
              <w:rPr>
                <w:rFonts w:ascii="Times New Roman" w:hAnsi="Times New Roman"/>
                <w:sz w:val="21"/>
              </w:rPr>
              <w:t>prevalence 38.6%</w:t>
            </w:r>
          </w:p>
        </w:tc>
      </w:tr>
      <w:tr>
        <w:tc>
          <w:tcPr>
            <w:tcW w:type="dxa" w:w="2256"/>
          </w:tcPr>
          <w:p>
            <w:pPr>
              <w:spacing w:after="0"/>
              <w:jc w:val="left"/>
            </w:pPr>
            <w:r/>
            <w:r>
              <w:rPr>
                <w:rFonts w:ascii="Times New Roman" w:hAnsi="Times New Roman"/>
                <w:sz w:val="21"/>
              </w:rPr>
              <w:t>Alternative "serious"</w:t>
            </w:r>
          </w:p>
        </w:tc>
        <w:tc>
          <w:tcPr>
            <w:tcW w:type="dxa" w:w="2256"/>
          </w:tcPr>
          <w:p>
            <w:pPr>
              <w:spacing w:after="0"/>
              <w:jc w:val="left"/>
            </w:pPr>
            <w:r/>
            <w:r>
              <w:rPr>
                <w:rFonts w:ascii="Times New Roman" w:hAnsi="Times New Roman"/>
                <w:sz w:val="21"/>
              </w:rPr>
              <w:t>01 or 02, or DAYS_LOST of 30 or more; DAYS_LOST is right-censored for open cases</w:t>
            </w:r>
          </w:p>
        </w:tc>
        <w:tc>
          <w:tcPr>
            <w:tcW w:type="dxa" w:w="2256"/>
          </w:tcPr>
          <w:p>
            <w:pPr>
              <w:spacing w:after="0"/>
              <w:jc w:val="left"/>
            </w:pPr>
            <w:r/>
            <w:r>
              <w:rPr>
                <w:rFonts w:ascii="Times New Roman" w:hAnsi="Times New Roman"/>
                <w:sz w:val="21"/>
              </w:rPr>
              <w:t>25,233 positive</w:t>
            </w:r>
          </w:p>
        </w:tc>
        <w:tc>
          <w:tcPr>
            <w:tcW w:type="dxa" w:w="2256"/>
          </w:tcPr>
          <w:p>
            <w:pPr>
              <w:spacing w:after="0"/>
              <w:jc w:val="left"/>
            </w:pPr>
            <w:r/>
            <w:r>
              <w:rPr>
                <w:rFonts w:ascii="Times New Roman" w:hAnsi="Times New Roman"/>
                <w:sz w:val="21"/>
              </w:rPr>
              <w:t>prevalence 24.8%; sensitivity analysis only</w:t>
            </w:r>
          </w:p>
        </w:tc>
      </w:tr>
      <w:tr>
        <w:tc>
          <w:tcPr>
            <w:tcW w:type="dxa" w:w="2256"/>
          </w:tcPr>
          <w:p>
            <w:pPr>
              <w:spacing w:after="0"/>
              <w:jc w:val="left"/>
            </w:pPr>
            <w:r/>
            <w:r>
              <w:rPr>
                <w:rFonts w:ascii="Times New Roman" w:hAnsi="Times New Roman"/>
                <w:sz w:val="21"/>
              </w:rPr>
              <w:t>Alternative DART</w:t>
            </w:r>
          </w:p>
        </w:tc>
        <w:tc>
          <w:tcPr>
            <w:tcW w:type="dxa" w:w="2256"/>
          </w:tcPr>
          <w:p>
            <w:pPr>
              <w:spacing w:after="0"/>
              <w:jc w:val="left"/>
            </w:pPr>
            <w:r/>
            <w:r>
              <w:rPr>
                <w:rFonts w:ascii="Times New Roman" w:hAnsi="Times New Roman"/>
                <w:sz w:val="21"/>
              </w:rPr>
              <w:t>01 to 05 against 06; invariant to restricted-duty practice</w:t>
            </w:r>
          </w:p>
        </w:tc>
        <w:tc>
          <w:tcPr>
            <w:tcW w:type="dxa" w:w="2256"/>
          </w:tcPr>
          <w:p>
            <w:pPr>
              <w:spacing w:after="0"/>
              <w:jc w:val="left"/>
            </w:pPr>
            <w:r/>
            <w:r>
              <w:rPr>
                <w:rFonts w:ascii="Times New Roman" w:hAnsi="Times New Roman"/>
                <w:sz w:val="21"/>
              </w:rPr>
              <w:t>70,155 positive</w:t>
            </w:r>
          </w:p>
        </w:tc>
        <w:tc>
          <w:tcPr>
            <w:tcW w:type="dxa" w:w="2256"/>
          </w:tcPr>
          <w:p>
            <w:pPr>
              <w:spacing w:after="0"/>
              <w:jc w:val="left"/>
            </w:pPr>
            <w:r/>
            <w:r>
              <w:rPr>
                <w:rFonts w:ascii="Times New Roman" w:hAnsi="Times New Roman"/>
                <w:sz w:val="21"/>
              </w:rPr>
              <w:t>prevalence 69.0% (coal 69.9%, metal and non-metal 68.5%); Cramer's V with sector 0.015 against 0.240 for lost_time</w:t>
            </w:r>
          </w:p>
        </w:tc>
      </w:tr>
    </w:tbl>
    <w:p>
      <w:pPr>
        <w:spacing w:after="80"/>
      </w:pPr>
    </w:p>
    <w:p>
      <w:r>
        <w:rPr>
          <w:rFonts w:ascii="Times New Roman" w:hAnsi="Times New Roman"/>
          <w:sz w:val="24"/>
        </w:rPr>
        <w:t>Coal reports are lost-time far more often than metal and non-metal ones (63.0% against 38.6%), so metrics are reported by sector. At 48.6% prevalence the classes are near balance, and the cost asymmetry enters through the threshold. I fixed seven success criteria before fitting any model (Table 3). PR-AUC is primary (S2), ahead of the area under the receiver operating characteristic curve (ROC-AUC, S1), because the model must rank lost-time cases first (Saito and Rehmsmeier, 2015). Recall is tested where adjusters review about three cases in four (S3), cost only where a threshold can beat reviewing everything (S4), and calibration because the application shows probabilities (S6). The model must also beat the majority class, review everything, the hand rule and a lookup baseline of cell lost-time rates.</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Success criteria S1 to S7, fixed before modelling and evaluated on the 20% mine-year-grouped held-out test set (S6 also by sector on the temporal split), with the reference value each must beat and the four baselines; reference values come from the pre-modelling data profile, with lookup baseline values on the 2020-2025 temporal split and rule values on all in-scope reports.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1"/>
              </w:rPr>
              <w:t>#</w:t>
            </w:r>
          </w:p>
        </w:tc>
        <w:tc>
          <w:tcPr>
            <w:tcW w:type="dxa" w:w="2256"/>
            <w:shd w:val="clear" w:color="auto" w:fill="E7E6E6"/>
          </w:tcPr>
          <w:p>
            <w:pPr>
              <w:jc w:val="left"/>
            </w:pPr>
            <w:r>
              <w:rPr>
                <w:b/>
              </w:rPr>
            </w:r>
            <w:r>
              <w:rPr>
                <w:rFonts w:ascii="Times New Roman" w:hAnsi="Times New Roman"/>
                <w:b/>
                <w:sz w:val="21"/>
              </w:rPr>
              <w:t>Criterion</w:t>
            </w:r>
          </w:p>
        </w:tc>
        <w:tc>
          <w:tcPr>
            <w:tcW w:type="dxa" w:w="2256"/>
            <w:shd w:val="clear" w:color="auto" w:fill="E7E6E6"/>
          </w:tcPr>
          <w:p>
            <w:pPr>
              <w:jc w:val="left"/>
            </w:pPr>
            <w:r>
              <w:rPr>
                <w:b/>
              </w:rPr>
            </w:r>
            <w:r>
              <w:rPr>
                <w:rFonts w:ascii="Times New Roman" w:hAnsi="Times New Roman"/>
                <w:b/>
                <w:sz w:val="21"/>
              </w:rPr>
              <w:t>Target</w:t>
            </w:r>
          </w:p>
        </w:tc>
        <w:tc>
          <w:tcPr>
            <w:tcW w:type="dxa" w:w="2256"/>
            <w:shd w:val="clear" w:color="auto" w:fill="E7E6E6"/>
          </w:tcPr>
          <w:p>
            <w:pPr>
              <w:jc w:val="left"/>
            </w:pPr>
            <w:r>
              <w:rPr>
                <w:b/>
              </w:rPr>
            </w:r>
            <w:r>
              <w:rPr>
                <w:rFonts w:ascii="Times New Roman" w:hAnsi="Times New Roman"/>
                <w:b/>
                <w:sz w:val="21"/>
              </w:rPr>
              <w:t>Reference value</w:t>
            </w:r>
          </w:p>
        </w:tc>
      </w:tr>
      <w:tr>
        <w:tc>
          <w:tcPr>
            <w:tcW w:type="dxa" w:w="2256"/>
          </w:tcPr>
          <w:p>
            <w:pPr>
              <w:spacing w:after="0"/>
              <w:jc w:val="left"/>
            </w:pPr>
            <w:r/>
            <w:r>
              <w:rPr>
                <w:rFonts w:ascii="Times New Roman" w:hAnsi="Times New Roman"/>
                <w:sz w:val="21"/>
              </w:rPr>
              <w:t>S1</w:t>
            </w:r>
          </w:p>
        </w:tc>
        <w:tc>
          <w:tcPr>
            <w:tcW w:type="dxa" w:w="2256"/>
          </w:tcPr>
          <w:p>
            <w:pPr>
              <w:spacing w:after="0"/>
              <w:jc w:val="left"/>
            </w:pPr>
            <w:r/>
            <w:r>
              <w:rPr>
                <w:rFonts w:ascii="Times New Roman" w:hAnsi="Times New Roman"/>
                <w:sz w:val="21"/>
              </w:rPr>
              <w:t>ROC-AUC (area under the receiver operating characteristic curve)</w:t>
            </w:r>
          </w:p>
        </w:tc>
        <w:tc>
          <w:tcPr>
            <w:tcW w:type="dxa" w:w="2256"/>
          </w:tcPr>
          <w:p>
            <w:pPr>
              <w:spacing w:after="0"/>
              <w:jc w:val="left"/>
            </w:pPr>
            <w:r/>
            <w:r>
              <w:rPr>
                <w:rFonts w:ascii="Times New Roman" w:hAnsi="Times New Roman"/>
                <w:sz w:val="21"/>
              </w:rPr>
              <w:t>0.80 or more</w:t>
            </w:r>
          </w:p>
        </w:tc>
        <w:tc>
          <w:tcPr>
            <w:tcW w:type="dxa" w:w="2256"/>
          </w:tcPr>
          <w:p>
            <w:pPr>
              <w:spacing w:after="0"/>
              <w:jc w:val="left"/>
            </w:pPr>
            <w:r/>
            <w:r>
              <w:rPr>
                <w:rFonts w:ascii="Times New Roman" w:hAnsi="Times New Roman"/>
                <w:sz w:val="21"/>
              </w:rPr>
              <w:t>lookup baseline 0.794</w:t>
            </w:r>
          </w:p>
        </w:tc>
      </w:tr>
      <w:tr>
        <w:tc>
          <w:tcPr>
            <w:tcW w:type="dxa" w:w="2256"/>
          </w:tcPr>
          <w:p>
            <w:pPr>
              <w:spacing w:after="0"/>
              <w:jc w:val="left"/>
            </w:pPr>
            <w:r/>
            <w:r>
              <w:rPr>
                <w:rFonts w:ascii="Times New Roman" w:hAnsi="Times New Roman"/>
                <w:sz w:val="21"/>
              </w:rPr>
              <w:t>S2</w:t>
            </w:r>
          </w:p>
        </w:tc>
        <w:tc>
          <w:tcPr>
            <w:tcW w:type="dxa" w:w="2256"/>
          </w:tcPr>
          <w:p>
            <w:pPr>
              <w:spacing w:after="0"/>
              <w:jc w:val="left"/>
            </w:pPr>
            <w:r/>
            <w:r>
              <w:rPr>
                <w:rFonts w:ascii="Times New Roman" w:hAnsi="Times New Roman"/>
                <w:sz w:val="21"/>
              </w:rPr>
              <w:t>PR-AUC (average precision), the primary metric</w:t>
            </w:r>
          </w:p>
        </w:tc>
        <w:tc>
          <w:tcPr>
            <w:tcW w:type="dxa" w:w="2256"/>
          </w:tcPr>
          <w:p>
            <w:pPr>
              <w:spacing w:after="0"/>
              <w:jc w:val="left"/>
            </w:pPr>
            <w:r/>
            <w:r>
              <w:rPr>
                <w:rFonts w:ascii="Times New Roman" w:hAnsi="Times New Roman"/>
                <w:sz w:val="21"/>
              </w:rPr>
              <w:t>0.75 or more</w:t>
            </w:r>
          </w:p>
        </w:tc>
        <w:tc>
          <w:tcPr>
            <w:tcW w:type="dxa" w:w="2256"/>
          </w:tcPr>
          <w:p>
            <w:pPr>
              <w:spacing w:after="0"/>
              <w:jc w:val="left"/>
            </w:pPr>
            <w:r/>
            <w:r>
              <w:rPr>
                <w:rFonts w:ascii="Times New Roman" w:hAnsi="Times New Roman"/>
                <w:sz w:val="21"/>
              </w:rPr>
              <w:t>prevalence 0.486 (random ranking)</w:t>
            </w:r>
          </w:p>
        </w:tc>
      </w:tr>
      <w:tr>
        <w:tc>
          <w:tcPr>
            <w:tcW w:type="dxa" w:w="2256"/>
          </w:tcPr>
          <w:p>
            <w:pPr>
              <w:spacing w:after="0"/>
              <w:jc w:val="left"/>
            </w:pPr>
            <w:r/>
            <w:r>
              <w:rPr>
                <w:rFonts w:ascii="Times New Roman" w:hAnsi="Times New Roman"/>
                <w:sz w:val="21"/>
              </w:rPr>
              <w:t>S3</w:t>
            </w:r>
          </w:p>
        </w:tc>
        <w:tc>
          <w:tcPr>
            <w:tcW w:type="dxa" w:w="2256"/>
          </w:tcPr>
          <w:p>
            <w:pPr>
              <w:spacing w:after="0"/>
              <w:jc w:val="left"/>
            </w:pPr>
            <w:r/>
            <w:r>
              <w:rPr>
                <w:rFonts w:ascii="Times New Roman" w:hAnsi="Times New Roman"/>
                <w:sz w:val="21"/>
              </w:rPr>
              <w:t>Recall at the capacity threshold (set on out-of-fold probabilities so that specificity is 0.40, about 75% of cases flagged)</w:t>
            </w:r>
          </w:p>
        </w:tc>
        <w:tc>
          <w:tcPr>
            <w:tcW w:type="dxa" w:w="2256"/>
          </w:tcPr>
          <w:p>
            <w:pPr>
              <w:spacing w:after="0"/>
              <w:jc w:val="left"/>
            </w:pPr>
            <w:r/>
            <w:r>
              <w:rPr>
                <w:rFonts w:ascii="Times New Roman" w:hAnsi="Times New Roman"/>
                <w:sz w:val="21"/>
              </w:rPr>
              <w:t>0.92 or more (implied precision about 0.59)</w:t>
            </w:r>
          </w:p>
        </w:tc>
        <w:tc>
          <w:tcPr>
            <w:tcW w:type="dxa" w:w="2256"/>
          </w:tcPr>
          <w:p>
            <w:pPr>
              <w:spacing w:after="0"/>
              <w:jc w:val="left"/>
            </w:pPr>
            <w:r/>
            <w:r>
              <w:rPr>
                <w:rFonts w:ascii="Times New Roman" w:hAnsi="Times New Roman"/>
                <w:sz w:val="21"/>
              </w:rPr>
              <w:t>lookup baseline 0.910; best hand rules 0.928 at specificity 0.293 and 0.896 at 0.429</w:t>
            </w:r>
          </w:p>
        </w:tc>
      </w:tr>
      <w:tr>
        <w:tc>
          <w:tcPr>
            <w:tcW w:type="dxa" w:w="2256"/>
          </w:tcPr>
          <w:p>
            <w:pPr>
              <w:spacing w:after="0"/>
              <w:jc w:val="left"/>
            </w:pPr>
            <w:r/>
            <w:r>
              <w:rPr>
                <w:rFonts w:ascii="Times New Roman" w:hAnsi="Times New Roman"/>
                <w:sz w:val="21"/>
              </w:rPr>
              <w:t>S4</w:t>
            </w:r>
          </w:p>
        </w:tc>
        <w:tc>
          <w:tcPr>
            <w:tcW w:type="dxa" w:w="2256"/>
          </w:tcPr>
          <w:p>
            <w:pPr>
              <w:spacing w:after="0"/>
              <w:jc w:val="left"/>
            </w:pPr>
            <w:r/>
            <w:r>
              <w:rPr>
                <w:rFonts w:ascii="Times New Roman" w:hAnsi="Times New Roman"/>
                <w:sz w:val="21"/>
              </w:rPr>
              <w:t>Expected cost per 1,000 cases at the cost-optimal out-of-fold threshold, ratios 2:1, 3:1 and 5:1</w:t>
            </w:r>
          </w:p>
        </w:tc>
        <w:tc>
          <w:tcPr>
            <w:tcW w:type="dxa" w:w="2256"/>
          </w:tcPr>
          <w:p>
            <w:pPr>
              <w:spacing w:after="0"/>
              <w:jc w:val="left"/>
            </w:pPr>
            <w:r/>
            <w:r>
              <w:rPr>
                <w:rFonts w:ascii="Times New Roman" w:hAnsi="Times New Roman"/>
                <w:sz w:val="21"/>
              </w:rPr>
              <w:t>below the review-everything floor and below the lookup at each ratio</w:t>
            </w:r>
          </w:p>
        </w:tc>
        <w:tc>
          <w:tcPr>
            <w:tcW w:type="dxa" w:w="2256"/>
          </w:tcPr>
          <w:p>
            <w:pPr>
              <w:spacing w:after="0"/>
              <w:jc w:val="left"/>
            </w:pPr>
            <w:r/>
            <w:r>
              <w:rPr>
                <w:rFonts w:ascii="Times New Roman" w:hAnsi="Times New Roman"/>
                <w:sz w:val="21"/>
              </w:rPr>
              <w:t>floor USD 102,829; lookup baseline USD 76,860, 87,677 and 97,437</w:t>
            </w:r>
          </w:p>
        </w:tc>
      </w:tr>
      <w:tr>
        <w:tc>
          <w:tcPr>
            <w:tcW w:type="dxa" w:w="2256"/>
          </w:tcPr>
          <w:p>
            <w:pPr>
              <w:spacing w:after="0"/>
              <w:jc w:val="left"/>
            </w:pPr>
            <w:r/>
            <w:r>
              <w:rPr>
                <w:rFonts w:ascii="Times New Roman" w:hAnsi="Times New Roman"/>
                <w:sz w:val="21"/>
              </w:rPr>
              <w:t>S5</w:t>
            </w:r>
          </w:p>
        </w:tc>
        <w:tc>
          <w:tcPr>
            <w:tcW w:type="dxa" w:w="2256"/>
          </w:tcPr>
          <w:p>
            <w:pPr>
              <w:spacing w:after="0"/>
              <w:jc w:val="left"/>
            </w:pPr>
            <w:r/>
            <w:r>
              <w:rPr>
                <w:rFonts w:ascii="Times New Roman" w:hAnsi="Times New Roman"/>
                <w:sz w:val="21"/>
              </w:rPr>
              <w:t>Recall among the 50% of cases with the highest scores</w:t>
            </w:r>
          </w:p>
        </w:tc>
        <w:tc>
          <w:tcPr>
            <w:tcW w:type="dxa" w:w="2256"/>
          </w:tcPr>
          <w:p>
            <w:pPr>
              <w:spacing w:after="0"/>
              <w:jc w:val="left"/>
            </w:pPr>
            <w:r/>
            <w:r>
              <w:rPr>
                <w:rFonts w:ascii="Times New Roman" w:hAnsi="Times New Roman"/>
                <w:sz w:val="21"/>
              </w:rPr>
              <w:t>0.78 or more</w:t>
            </w:r>
          </w:p>
        </w:tc>
        <w:tc>
          <w:tcPr>
            <w:tcW w:type="dxa" w:w="2256"/>
          </w:tcPr>
          <w:p>
            <w:pPr>
              <w:spacing w:after="0"/>
              <w:jc w:val="left"/>
            </w:pPr>
            <w:r/>
            <w:r>
              <w:rPr>
                <w:rFonts w:ascii="Times New Roman" w:hAnsi="Times New Roman"/>
                <w:sz w:val="21"/>
              </w:rPr>
              <w:t>lookup baseline 0.750; random 0.486</w:t>
            </w:r>
          </w:p>
        </w:tc>
      </w:tr>
      <w:tr>
        <w:tc>
          <w:tcPr>
            <w:tcW w:type="dxa" w:w="2256"/>
          </w:tcPr>
          <w:p>
            <w:pPr>
              <w:spacing w:after="0"/>
              <w:jc w:val="left"/>
            </w:pPr>
            <w:r/>
            <w:r>
              <w:rPr>
                <w:rFonts w:ascii="Times New Roman" w:hAnsi="Times New Roman"/>
                <w:sz w:val="21"/>
              </w:rPr>
              <w:t>S6</w:t>
            </w:r>
          </w:p>
        </w:tc>
        <w:tc>
          <w:tcPr>
            <w:tcW w:type="dxa" w:w="2256"/>
          </w:tcPr>
          <w:p>
            <w:pPr>
              <w:spacing w:after="0"/>
              <w:jc w:val="left"/>
            </w:pPr>
            <w:r/>
            <w:r>
              <w:rPr>
                <w:rFonts w:ascii="Times New Roman" w:hAnsi="Times New Roman"/>
                <w:sz w:val="21"/>
              </w:rPr>
              <w:t>Brier score on the test set, and by sector on the temporal split</w:t>
            </w:r>
          </w:p>
        </w:tc>
        <w:tc>
          <w:tcPr>
            <w:tcW w:type="dxa" w:w="2256"/>
          </w:tcPr>
          <w:p>
            <w:pPr>
              <w:spacing w:after="0"/>
              <w:jc w:val="left"/>
            </w:pPr>
            <w:r/>
            <w:r>
              <w:rPr>
                <w:rFonts w:ascii="Times New Roman" w:hAnsi="Times New Roman"/>
                <w:sz w:val="21"/>
              </w:rPr>
              <w:t>0.20 or less</w:t>
            </w:r>
          </w:p>
        </w:tc>
        <w:tc>
          <w:tcPr>
            <w:tcW w:type="dxa" w:w="2256"/>
          </w:tcPr>
          <w:p>
            <w:pPr>
              <w:spacing w:after="0"/>
              <w:jc w:val="left"/>
            </w:pPr>
            <w:r/>
            <w:r>
              <w:rPr>
                <w:rFonts w:ascii="Times New Roman" w:hAnsi="Times New Roman"/>
                <w:sz w:val="21"/>
              </w:rPr>
              <w:t>constant prediction at the prevalence 0.250</w:t>
            </w:r>
          </w:p>
        </w:tc>
      </w:tr>
      <w:tr>
        <w:tc>
          <w:tcPr>
            <w:tcW w:type="dxa" w:w="2256"/>
          </w:tcPr>
          <w:p>
            <w:pPr>
              <w:spacing w:after="0"/>
              <w:jc w:val="left"/>
            </w:pPr>
            <w:r/>
            <w:r>
              <w:rPr>
                <w:rFonts w:ascii="Times New Roman" w:hAnsi="Times New Roman"/>
                <w:sz w:val="21"/>
              </w:rPr>
              <w:t>S7</w:t>
            </w:r>
          </w:p>
        </w:tc>
        <w:tc>
          <w:tcPr>
            <w:tcW w:type="dxa" w:w="2256"/>
          </w:tcPr>
          <w:p>
            <w:pPr>
              <w:spacing w:after="0"/>
              <w:jc w:val="left"/>
            </w:pPr>
            <w:r/>
            <w:r>
              <w:rPr>
                <w:rFonts w:ascii="Times New Roman" w:hAnsi="Times New Roman"/>
                <w:sz w:val="21"/>
              </w:rPr>
              <w:t>Statistical comparison: McNemar test against the lookup baseline and a paired test across cross-validation folds between the two best models</w:t>
            </w:r>
          </w:p>
        </w:tc>
        <w:tc>
          <w:tcPr>
            <w:tcW w:type="dxa" w:w="2256"/>
          </w:tcPr>
          <w:p>
            <w:pPr>
              <w:spacing w:after="0"/>
              <w:jc w:val="left"/>
            </w:pPr>
            <w:r/>
            <w:r>
              <w:rPr>
                <w:rFonts w:ascii="Times New Roman" w:hAnsi="Times New Roman"/>
                <w:sz w:val="21"/>
              </w:rPr>
              <w:t>reported</w:t>
            </w:r>
          </w:p>
        </w:tc>
        <w:tc>
          <w:tcPr>
            <w:tcW w:type="dxa" w:w="2256"/>
          </w:tcPr>
          <w:p>
            <w:pPr>
              <w:spacing w:after="0"/>
              <w:jc w:val="left"/>
            </w:pPr>
            <w:r/>
            <w:r>
              <w:rPr>
                <w:rFonts w:ascii="Times New Roman" w:hAnsi="Times New Roman"/>
                <w:sz w:val="21"/>
              </w:rPr>
              <w:t>not applicable</w:t>
            </w:r>
          </w:p>
        </w:tc>
      </w:tr>
      <w:tr>
        <w:tc>
          <w:tcPr>
            <w:tcW w:type="dxa" w:w="2256"/>
          </w:tcPr>
          <w:p>
            <w:pPr>
              <w:spacing w:after="0"/>
              <w:jc w:val="left"/>
            </w:pPr>
            <w:r/>
            <w:r>
              <w:rPr>
                <w:rFonts w:ascii="Times New Roman" w:hAnsi="Times New Roman"/>
                <w:sz w:val="21"/>
              </w:rPr>
              <w:t>Baseline</w:t>
            </w:r>
          </w:p>
        </w:tc>
        <w:tc>
          <w:tcPr>
            <w:tcW w:type="dxa" w:w="2256"/>
          </w:tcPr>
          <w:p>
            <w:pPr>
              <w:spacing w:after="0"/>
              <w:jc w:val="left"/>
            </w:pPr>
            <w:r/>
            <w:r>
              <w:rPr>
                <w:rFonts w:ascii="Times New Roman" w:hAnsi="Times New Roman"/>
                <w:sz w:val="21"/>
              </w:rPr>
              <w:t>Majority class (predict "not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1"/>
              </w:rPr>
              <w:t>accuracy 0.514, recall 0.000</w:t>
            </w:r>
          </w:p>
        </w:tc>
      </w:tr>
      <w:tr>
        <w:tc>
          <w:tcPr>
            <w:tcW w:type="dxa" w:w="2256"/>
          </w:tcPr>
          <w:p>
            <w:pPr>
              <w:spacing w:after="0"/>
              <w:jc w:val="left"/>
            </w:pPr>
            <w:r/>
            <w:r>
              <w:rPr>
                <w:rFonts w:ascii="Times New Roman" w:hAnsi="Times New Roman"/>
                <w:sz w:val="21"/>
              </w:rPr>
              <w:t>Baseline</w:t>
            </w:r>
          </w:p>
        </w:tc>
        <w:tc>
          <w:tcPr>
            <w:tcW w:type="dxa" w:w="2256"/>
          </w:tcPr>
          <w:p>
            <w:pPr>
              <w:spacing w:after="0"/>
              <w:jc w:val="left"/>
            </w:pPr>
            <w:r/>
            <w:r>
              <w:rPr>
                <w:rFonts w:ascii="Times New Roman" w:hAnsi="Times New Roman"/>
                <w:sz w:val="21"/>
              </w:rPr>
              <w:t>Review everything (predict "lost-time" for every case)</w:t>
            </w:r>
          </w:p>
        </w:tc>
        <w:tc>
          <w:tcPr>
            <w:tcW w:type="dxa" w:w="2256"/>
          </w:tcPr>
          <w:p>
            <w:pPr>
              <w:spacing w:after="0"/>
              <w:jc w:val="left"/>
            </w:pPr>
            <w:r/>
          </w:p>
        </w:tc>
        <w:tc>
          <w:tcPr>
            <w:tcW w:type="dxa" w:w="2256"/>
          </w:tcPr>
          <w:p>
            <w:pPr>
              <w:spacing w:after="0"/>
              <w:jc w:val="left"/>
            </w:pPr>
            <w:r/>
            <w:r>
              <w:rPr>
                <w:rFonts w:ascii="Times New Roman" w:hAnsi="Times New Roman"/>
                <w:sz w:val="21"/>
              </w:rPr>
              <w:t>recall 1.000, specificity 0.000, precision 0.486, USD 102,829 per 1,000 cases</w:t>
            </w:r>
          </w:p>
        </w:tc>
      </w:tr>
      <w:tr>
        <w:tc>
          <w:tcPr>
            <w:tcW w:type="dxa" w:w="2256"/>
          </w:tcPr>
          <w:p>
            <w:pPr>
              <w:spacing w:after="0"/>
              <w:jc w:val="left"/>
            </w:pPr>
            <w:r/>
            <w:r>
              <w:rPr>
                <w:rFonts w:ascii="Times New Roman" w:hAnsi="Times New Roman"/>
                <w:sz w:val="21"/>
              </w:rPr>
              <w:t>Baseline</w:t>
            </w:r>
          </w:p>
        </w:tc>
        <w:tc>
          <w:tcPr>
            <w:tcW w:type="dxa" w:w="2256"/>
          </w:tcPr>
          <w:p>
            <w:pPr>
              <w:spacing w:after="0"/>
              <w:jc w:val="left"/>
            </w:pPr>
            <w:r/>
            <w:r>
              <w:rPr>
                <w:rFonts w:ascii="Times New Roman" w:hAnsi="Times New Roman"/>
                <w:sz w:val="21"/>
              </w:rPr>
              <w:t>Hand rule: nature of injury is not a cut, dust in the eye or a scratch</w:t>
            </w:r>
          </w:p>
        </w:tc>
        <w:tc>
          <w:tcPr>
            <w:tcW w:type="dxa" w:w="2256"/>
          </w:tcPr>
          <w:p>
            <w:pPr>
              <w:spacing w:after="0"/>
              <w:jc w:val="left"/>
            </w:pPr>
            <w:r/>
          </w:p>
        </w:tc>
        <w:tc>
          <w:tcPr>
            <w:tcW w:type="dxa" w:w="2256"/>
          </w:tcPr>
          <w:p>
            <w:pPr>
              <w:spacing w:after="0"/>
              <w:jc w:val="left"/>
            </w:pPr>
            <w:r/>
            <w:r>
              <w:rPr>
                <w:rFonts w:ascii="Times New Roman" w:hAnsi="Times New Roman"/>
                <w:sz w:val="21"/>
              </w:rPr>
              <w:t>recall 0.896, specificity 0.429, precision 0.597</w:t>
            </w:r>
          </w:p>
        </w:tc>
      </w:tr>
      <w:tr>
        <w:tc>
          <w:tcPr>
            <w:tcW w:type="dxa" w:w="2256"/>
          </w:tcPr>
          <w:p>
            <w:pPr>
              <w:spacing w:after="0"/>
              <w:jc w:val="left"/>
            </w:pPr>
            <w:r/>
            <w:r>
              <w:rPr>
                <w:rFonts w:ascii="Times New Roman" w:hAnsi="Times New Roman"/>
                <w:sz w:val="21"/>
              </w:rPr>
              <w:t>Baseline</w:t>
            </w:r>
          </w:p>
        </w:tc>
        <w:tc>
          <w:tcPr>
            <w:tcW w:type="dxa" w:w="2256"/>
          </w:tcPr>
          <w:p>
            <w:pPr>
              <w:spacing w:after="0"/>
              <w:jc w:val="left"/>
            </w:pPr>
            <w:r/>
            <w:r>
              <w:rPr>
                <w:rFonts w:ascii="Times New Roman" w:hAnsi="Times New Roman"/>
                <w:sz w:val="21"/>
              </w:rPr>
              <w:t>Lookup baseline: lost-time rate of each nature of injury x body part x sector cell, fitted on training rows</w:t>
            </w:r>
          </w:p>
        </w:tc>
        <w:tc>
          <w:tcPr>
            <w:tcW w:type="dxa" w:w="2256"/>
          </w:tcPr>
          <w:p>
            <w:pPr>
              <w:spacing w:after="0"/>
              <w:jc w:val="left"/>
            </w:pPr>
            <w:r/>
          </w:p>
        </w:tc>
        <w:tc>
          <w:tcPr>
            <w:tcW w:type="dxa" w:w="2256"/>
          </w:tcPr>
          <w:p>
            <w:pPr>
              <w:spacing w:after="0"/>
              <w:jc w:val="left"/>
            </w:pPr>
            <w:r/>
            <w:r>
              <w:rPr>
                <w:rFonts w:ascii="Times New Roman" w:hAnsi="Times New Roman"/>
                <w:sz w:val="21"/>
              </w:rPr>
              <w:t>ROC-AUC 0.810 in-sample and 0.794 on the temporal split</w:t>
            </w:r>
          </w:p>
        </w:tc>
      </w:tr>
    </w:tbl>
    <w:p>
      <w:pPr>
        <w:spacing w:after="80"/>
      </w:pPr>
    </w:p>
    <w:p>
      <w:pPr>
        <w:pStyle w:val="Heading2"/>
      </w:pPr>
      <w:r>
        <w:rPr>
          <w:rFonts w:ascii="Times New Roman" w:hAnsi="Times New Roman"/>
          <w:b/>
          <w:color w:val="000000"/>
          <w:sz w:val="28"/>
        </w:rPr>
        <w:t>1.3 Dataset origin, provenance, licensing and integration</w:t>
      </w:r>
    </w:p>
    <w:p>
      <w:r>
        <w:rPr>
          <w:rFonts w:ascii="Times New Roman" w:hAnsi="Times New Roman"/>
          <w:sz w:val="24"/>
        </w:rPr>
        <w:t>The data are three open MSHA files (US Department of Labor, Mine Safety and Health Administration, 2026a, 2026b). Under Title 30, Part 50 of the Code of Federal Regulations, operators file Form 7000-1 for each accident, injury and illness and Form 7000-2 for quarterly hours (Legal Information Institute, no date b). Because MSHA refreshes the files weekly, I pinned the version of 9 October 2026 by SHA-256 digest (Table 4). As federal government works they are public domain under 17 U.S.C. 105, free to copy, modify and redistribute (Office of the Law Revision Counsel, 2020).</w:t>
      </w:r>
    </w:p>
    <w:p>
      <w:r>
        <w:rPr>
          <w:rFonts w:ascii="Times New Roman" w:hAnsi="Times New Roman"/>
          <w:sz w:val="24"/>
        </w:rPr>
        <w:t>MSHA collects the forms for enforcement and for incidence rates per 200,000 employee-hours (Mine Safety and Health Administration, 2026); scoring single reports is a reuse with four collection biases. Operators self-report and may omit first-aid cases, which limits the results to reported injuries. The label also records employer practice, since a back sprain becomes days away or restricted duty depending on whether restricted work is offered. Because the Mines table is a snapshot, attributes that may post-date the accident were dropped or re-dated. Contractor hours are absent from the production file, which understates exposure at mines that use contractors. I kept 2010-2025, as older rows have more blank experience fields and 2026 cases are still open.</w:t>
      </w:r>
    </w:p>
    <w:p>
      <w:r>
        <w:rPr>
          <w:rFonts w:ascii="Times New Roman" w:hAnsi="Times New Roman"/>
          <w:sz w:val="24"/>
        </w:rPr>
        <w:t>I combined the tables with left joins validated as many-to-one and asserted the row count after each (Table 4). Every accident row matched its mine on MINE_ID. Production was summed to mine-years and joined on the previous year, since current-year hours are not yet due for first-quarter accidents; unmatched rows kept a missing-value flag. Table 5 lists the resulting features. The repository's data card follows Gebru et al. (2021), and the dataset was reserved in the module Discussions forum ({{DISCUSSIONS_POST}}).</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The three MSHA source tables with their size, grain, key and licence, and how each was joined to the accident rows; the files were published on 9 October 2026 and pulled on 14 October 2026 at 12:06 UTC from the MSHA Open Government Data page (https://arlweb.msha.gov/OpenGovernmentData/OGIMSHA.asp), each zip file at https://arlweb.msha.gov/OpenGovernmentData/DataSets/ followed by its name, and the full SHA-256 digests are in data/raw/SNAPSHOT.json.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1"/>
              </w:rPr>
              <w:t>Source file (SHA-256, first 12 hex digits)</w:t>
            </w:r>
          </w:p>
        </w:tc>
        <w:tc>
          <w:tcPr>
            <w:tcW w:type="dxa" w:w="1289"/>
            <w:shd w:val="clear" w:color="auto" w:fill="E7E6E6"/>
          </w:tcPr>
          <w:p>
            <w:pPr>
              <w:jc w:val="left"/>
            </w:pPr>
            <w:r>
              <w:rPr>
                <w:b/>
              </w:rPr>
            </w:r>
            <w:r>
              <w:rPr>
                <w:rFonts w:ascii="Times New Roman" w:hAnsi="Times New Roman"/>
                <w:b/>
                <w:sz w:val="21"/>
              </w:rPr>
              <w:t>Rows x columns</w:t>
            </w:r>
          </w:p>
        </w:tc>
        <w:tc>
          <w:tcPr>
            <w:tcW w:type="dxa" w:w="1289"/>
            <w:shd w:val="clear" w:color="auto" w:fill="E7E6E6"/>
          </w:tcPr>
          <w:p>
            <w:pPr>
              <w:jc w:val="left"/>
            </w:pPr>
            <w:r>
              <w:rPr>
                <w:b/>
              </w:rPr>
            </w:r>
            <w:r>
              <w:rPr>
                <w:rFonts w:ascii="Times New Roman" w:hAnsi="Times New Roman"/>
                <w:b/>
                <w:sz w:val="21"/>
              </w:rPr>
              <w:t>Grain (one row is)</w:t>
            </w:r>
          </w:p>
        </w:tc>
        <w:tc>
          <w:tcPr>
            <w:tcW w:type="dxa" w:w="1289"/>
            <w:shd w:val="clear" w:color="auto" w:fill="E7E6E6"/>
          </w:tcPr>
          <w:p>
            <w:pPr>
              <w:jc w:val="left"/>
            </w:pPr>
            <w:r>
              <w:rPr>
                <w:b/>
              </w:rPr>
            </w:r>
            <w:r>
              <w:rPr>
                <w:rFonts w:ascii="Times New Roman" w:hAnsi="Times New Roman"/>
                <w:b/>
                <w:sz w:val="21"/>
              </w:rPr>
              <w:t>Key</w:t>
            </w:r>
          </w:p>
        </w:tc>
        <w:tc>
          <w:tcPr>
            <w:tcW w:type="dxa" w:w="1289"/>
            <w:shd w:val="clear" w:color="auto" w:fill="E7E6E6"/>
          </w:tcPr>
          <w:p>
            <w:pPr>
              <w:jc w:val="left"/>
            </w:pPr>
            <w:r>
              <w:rPr>
                <w:b/>
              </w:rPr>
            </w:r>
            <w:r>
              <w:rPr>
                <w:rFonts w:ascii="Times New Roman" w:hAnsi="Times New Roman"/>
                <w:b/>
                <w:sz w:val="21"/>
              </w:rPr>
              <w:t>Licence</w:t>
            </w:r>
          </w:p>
        </w:tc>
        <w:tc>
          <w:tcPr>
            <w:tcW w:type="dxa" w:w="1289"/>
            <w:shd w:val="clear" w:color="auto" w:fill="E7E6E6"/>
          </w:tcPr>
          <w:p>
            <w:pPr>
              <w:jc w:val="left"/>
            </w:pPr>
            <w:r>
              <w:rPr>
                <w:b/>
              </w:rPr>
            </w:r>
            <w:r>
              <w:rPr>
                <w:rFonts w:ascii="Times New Roman" w:hAnsi="Times New Roman"/>
                <w:b/>
                <w:sz w:val="21"/>
              </w:rPr>
              <w:t>Join and rows before -&gt; after</w:t>
            </w:r>
          </w:p>
        </w:tc>
        <w:tc>
          <w:tcPr>
            <w:tcW w:type="dxa" w:w="1289"/>
            <w:shd w:val="clear" w:color="auto" w:fill="E7E6E6"/>
          </w:tcPr>
          <w:p>
            <w:pPr>
              <w:jc w:val="left"/>
            </w:pPr>
            <w:r>
              <w:rPr>
                <w:b/>
              </w:rPr>
            </w:r>
            <w:r>
              <w:rPr>
                <w:rFonts w:ascii="Times New Roman" w:hAnsi="Times New Roman"/>
                <w:b/>
                <w:sz w:val="21"/>
              </w:rPr>
              <w:t>Matched rows</w:t>
            </w:r>
          </w:p>
        </w:tc>
      </w:tr>
      <w:tr>
        <w:tc>
          <w:tcPr>
            <w:tcW w:type="dxa" w:w="1289"/>
          </w:tcPr>
          <w:p>
            <w:pPr>
              <w:spacing w:after="0"/>
              <w:jc w:val="left"/>
            </w:pPr>
            <w:r/>
            <w:r>
              <w:rPr>
                <w:rFonts w:ascii="Times New Roman" w:hAnsi="Times New Roman"/>
                <w:sz w:val="21"/>
              </w:rPr>
              <w:t>Accidents.txt in Accidents.zip (62d0c861a5c3)</w:t>
            </w:r>
          </w:p>
        </w:tc>
        <w:tc>
          <w:tcPr>
            <w:tcW w:type="dxa" w:w="1289"/>
          </w:tcPr>
          <w:p>
            <w:pPr>
              <w:spacing w:after="0"/>
              <w:jc w:val="left"/>
            </w:pPr>
            <w:r/>
            <w:r>
              <w:rPr>
                <w:rFonts w:ascii="Times New Roman" w:hAnsi="Times New Roman"/>
                <w:sz w:val="21"/>
              </w:rPr>
              <w:t>275,220 x 57</w:t>
            </w:r>
          </w:p>
        </w:tc>
        <w:tc>
          <w:tcPr>
            <w:tcW w:type="dxa" w:w="1289"/>
          </w:tcPr>
          <w:p>
            <w:pPr>
              <w:spacing w:after="0"/>
              <w:jc w:val="left"/>
            </w:pPr>
            <w:r/>
            <w:r>
              <w:rPr>
                <w:rFonts w:ascii="Times New Roman" w:hAnsi="Times New Roman"/>
                <w:sz w:val="21"/>
              </w:rPr>
              <w:t>one injured person on one Form 7000-1, or one accident without injury</w:t>
            </w:r>
          </w:p>
        </w:tc>
        <w:tc>
          <w:tcPr>
            <w:tcW w:type="dxa" w:w="1289"/>
          </w:tcPr>
          <w:p>
            <w:pPr>
              <w:spacing w:after="0"/>
              <w:jc w:val="left"/>
            </w:pPr>
            <w:r/>
            <w:r>
              <w:rPr>
                <w:rFonts w:ascii="Times New Roman" w:hAnsi="Times New Roman"/>
                <w:sz w:val="21"/>
              </w:rPr>
              <w:t>DOCUMENT_NO</w:t>
            </w:r>
          </w:p>
        </w:tc>
        <w:tc>
          <w:tcPr>
            <w:tcW w:type="dxa" w:w="1289"/>
          </w:tcPr>
          <w:p>
            <w:pPr>
              <w:spacing w:after="0"/>
              <w:jc w:val="left"/>
            </w:pPr>
            <w:r/>
            <w:r>
              <w:rPr>
                <w:rFonts w:ascii="Times New Roman" w:hAnsi="Times New Roman"/>
                <w:sz w:val="21"/>
              </w:rPr>
              <w:t>US public domain (17 U.S.C. 105); attribution to the US Department of Labor requested (US Department of Labor, no date)</w:t>
            </w:r>
          </w:p>
        </w:tc>
        <w:tc>
          <w:tcPr>
            <w:tcW w:type="dxa" w:w="1289"/>
          </w:tcPr>
          <w:p>
            <w:pPr>
              <w:spacing w:after="0"/>
              <w:jc w:val="left"/>
            </w:pPr>
            <w:r/>
            <w:r>
              <w:rPr>
                <w:rFonts w:ascii="Times New Roman" w:hAnsi="Times New Roman"/>
                <w:sz w:val="21"/>
              </w:rPr>
              <w:t>base table; CAL_YR from 2010 (275,220 -&gt; 125,718), to 2025 (-&gt; 121,541), degree codes 01 to 06 (-&gt; 101,609)</w:t>
            </w:r>
          </w:p>
        </w:tc>
        <w:tc>
          <w:tcPr>
            <w:tcW w:type="dxa" w:w="1289"/>
          </w:tcPr>
          <w:p>
            <w:pPr>
              <w:spacing w:after="0"/>
              <w:jc w:val="left"/>
            </w:pPr>
            <w:r/>
            <w:r>
              <w:rPr>
                <w:rFonts w:ascii="Times New Roman" w:hAnsi="Times New Roman"/>
                <w:sz w:val="21"/>
              </w:rPr>
              <w:t>not applicable</w:t>
            </w:r>
          </w:p>
        </w:tc>
      </w:tr>
      <w:tr>
        <w:tc>
          <w:tcPr>
            <w:tcW w:type="dxa" w:w="1289"/>
          </w:tcPr>
          <w:p>
            <w:pPr>
              <w:spacing w:after="0"/>
              <w:jc w:val="left"/>
            </w:pPr>
            <w:r/>
            <w:r>
              <w:rPr>
                <w:rFonts w:ascii="Times New Roman" w:hAnsi="Times New Roman"/>
                <w:sz w:val="21"/>
              </w:rPr>
              <w:t>Mines.txt in Mines.zip (1a0957ff0049)</w:t>
            </w:r>
          </w:p>
        </w:tc>
        <w:tc>
          <w:tcPr>
            <w:tcW w:type="dxa" w:w="1289"/>
          </w:tcPr>
          <w:p>
            <w:pPr>
              <w:spacing w:after="0"/>
              <w:jc w:val="left"/>
            </w:pPr>
            <w:r/>
            <w:r>
              <w:rPr>
                <w:rFonts w:ascii="Times New Roman" w:hAnsi="Times New Roman"/>
                <w:sz w:val="21"/>
              </w:rPr>
              <w:t>92,060 x 59</w:t>
            </w:r>
          </w:p>
        </w:tc>
        <w:tc>
          <w:tcPr>
            <w:tcW w:type="dxa" w:w="1289"/>
          </w:tcPr>
          <w:p>
            <w:pPr>
              <w:spacing w:after="0"/>
              <w:jc w:val="left"/>
            </w:pPr>
            <w:r/>
            <w:r>
              <w:rPr>
                <w:rFonts w:ascii="Times New Roman" w:hAnsi="Times New Roman"/>
                <w:sz w:val="21"/>
              </w:rPr>
              <w:t>one mine, with attributes as at the snapshot date</w:t>
            </w:r>
          </w:p>
        </w:tc>
        <w:tc>
          <w:tcPr>
            <w:tcW w:type="dxa" w:w="1289"/>
          </w:tcPr>
          <w:p>
            <w:pPr>
              <w:spacing w:after="0"/>
              <w:jc w:val="left"/>
            </w:pPr>
            <w:r/>
            <w:r>
              <w:rPr>
                <w:rFonts w:ascii="Times New Roman" w:hAnsi="Times New Roman"/>
                <w:sz w:val="21"/>
              </w:rPr>
              <w:t>MINE_ID (7-digit string)</w:t>
            </w:r>
          </w:p>
        </w:tc>
        <w:tc>
          <w:tcPr>
            <w:tcW w:type="dxa" w:w="1289"/>
          </w:tcPr>
          <w:p>
            <w:pPr>
              <w:spacing w:after="0"/>
              <w:jc w:val="left"/>
            </w:pPr>
            <w:r/>
            <w:r>
              <w:rPr>
                <w:rFonts w:ascii="Times New Roman" w:hAnsi="Times New Roman"/>
                <w:sz w:val="21"/>
              </w:rPr>
              <w:t>US public domain (17 U.S.C. 105)</w:t>
            </w:r>
          </w:p>
        </w:tc>
        <w:tc>
          <w:tcPr>
            <w:tcW w:type="dxa" w:w="1289"/>
          </w:tcPr>
          <w:p>
            <w:pPr>
              <w:spacing w:after="0"/>
              <w:jc w:val="left"/>
            </w:pPr>
            <w:r/>
            <w:r>
              <w:rPr>
                <w:rFonts w:ascii="Times New Roman" w:hAnsi="Times New Roman"/>
                <w:sz w:val="21"/>
              </w:rPr>
              <w:t>left join on MINE_ID, many-to-one; 101,609 -&gt; 101,609</w:t>
            </w:r>
          </w:p>
        </w:tc>
        <w:tc>
          <w:tcPr>
            <w:tcW w:type="dxa" w:w="1289"/>
          </w:tcPr>
          <w:p>
            <w:pPr>
              <w:spacing w:after="0"/>
              <w:jc w:val="left"/>
            </w:pPr>
            <w:r/>
            <w:r>
              <w:rPr>
                <w:rFonts w:ascii="Times New Roman" w:hAnsi="Times New Roman"/>
                <w:sz w:val="21"/>
              </w:rPr>
              <w:t>101,609 (100.0%), no orphans</w:t>
            </w:r>
          </w:p>
        </w:tc>
      </w:tr>
      <w:tr>
        <w:tc>
          <w:tcPr>
            <w:tcW w:type="dxa" w:w="1289"/>
          </w:tcPr>
          <w:p>
            <w:pPr>
              <w:spacing w:after="0"/>
              <w:jc w:val="left"/>
            </w:pPr>
            <w:r/>
            <w:r>
              <w:rPr>
                <w:rFonts w:ascii="Times New Roman" w:hAnsi="Times New Roman"/>
                <w:sz w:val="21"/>
              </w:rPr>
              <w:t>MinesProdYearly.txt in MinesProdYearly.zip (c0fdca86d175)</w:t>
            </w:r>
          </w:p>
        </w:tc>
        <w:tc>
          <w:tcPr>
            <w:tcW w:type="dxa" w:w="1289"/>
          </w:tcPr>
          <w:p>
            <w:pPr>
              <w:spacing w:after="0"/>
              <w:jc w:val="left"/>
            </w:pPr>
            <w:r/>
            <w:r>
              <w:rPr>
                <w:rFonts w:ascii="Times New Roman" w:hAnsi="Times New Roman"/>
                <w:sz w:val="21"/>
              </w:rPr>
              <w:t>658,922 x 11</w:t>
            </w:r>
          </w:p>
        </w:tc>
        <w:tc>
          <w:tcPr>
            <w:tcW w:type="dxa" w:w="1289"/>
          </w:tcPr>
          <w:p>
            <w:pPr>
              <w:spacing w:after="0"/>
              <w:jc w:val="left"/>
            </w:pPr>
            <w:r/>
            <w:r>
              <w:rPr>
                <w:rFonts w:ascii="Times New Roman" w:hAnsi="Times New Roman"/>
                <w:sz w:val="21"/>
              </w:rPr>
              <w:t>employee-hours and average employees for one mine, calendar year and subunit (Form 7000-2)</w:t>
            </w:r>
          </w:p>
        </w:tc>
        <w:tc>
          <w:tcPr>
            <w:tcW w:type="dxa" w:w="1289"/>
          </w:tcPr>
          <w:p>
            <w:pPr>
              <w:spacing w:after="0"/>
              <w:jc w:val="left"/>
            </w:pPr>
            <w:r/>
            <w:r>
              <w:rPr>
                <w:rFonts w:ascii="Times New Roman" w:hAnsi="Times New Roman"/>
                <w:sz w:val="21"/>
              </w:rPr>
              <w:t>MINE_ID, CALENDAR_YR, SUBUNIT_CD</w:t>
            </w:r>
          </w:p>
        </w:tc>
        <w:tc>
          <w:tcPr>
            <w:tcW w:type="dxa" w:w="1289"/>
          </w:tcPr>
          <w:p>
            <w:pPr>
              <w:spacing w:after="0"/>
              <w:jc w:val="left"/>
            </w:pPr>
            <w:r/>
            <w:r>
              <w:rPr>
                <w:rFonts w:ascii="Times New Roman" w:hAnsi="Times New Roman"/>
                <w:sz w:val="21"/>
              </w:rPr>
              <w:t>US public domain (17 U.S.C. 105)</w:t>
            </w:r>
          </w:p>
        </w:tc>
        <w:tc>
          <w:tcPr>
            <w:tcW w:type="dxa" w:w="1289"/>
          </w:tcPr>
          <w:p>
            <w:pPr>
              <w:spacing w:after="0"/>
              <w:jc w:val="left"/>
            </w:pPr>
            <w:r/>
            <w:r>
              <w:rPr>
                <w:rFonts w:ascii="Times New Roman" w:hAnsi="Times New Roman"/>
                <w:sz w:val="21"/>
              </w:rPr>
              <w:t>summed to 370,794 mine-years; left join on MINE_ID and CALENDAR_YR = CAL_YR - 1, many-to-one; 101,609 -&gt; 101,609</w:t>
            </w:r>
          </w:p>
        </w:tc>
        <w:tc>
          <w:tcPr>
            <w:tcW w:type="dxa" w:w="1289"/>
          </w:tcPr>
          <w:p>
            <w:pPr>
              <w:spacing w:after="0"/>
              <w:jc w:val="left"/>
            </w:pPr>
            <w:r/>
            <w:r>
              <w:rPr>
                <w:rFonts w:ascii="Times New Roman" w:hAnsi="Times New Roman"/>
                <w:sz w:val="21"/>
              </w:rPr>
              <w:t>100,403 (98.8%); 1,206 kept with missing exposure and prev_year_matched = 0</w:t>
            </w:r>
          </w:p>
        </w:tc>
      </w:tr>
    </w:tbl>
    <w:p>
      <w:pPr>
        <w:spacing w:after="80"/>
      </w:pP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Data dictionary of the 55 model features (23 categorical, 20 numeric and 12 binary) grouped by type, with meaning and source table; the definitions apply to every row of the training and test splits, every feature is known when Form 7000-1 is filed, and outcome fields such as DAYS_LOST are excluded as leakage. Source: author's analysis of MSHA open data and codebooks.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1"/>
              </w:rPr>
              <w:t>Type</w:t>
            </w:r>
          </w:p>
        </w:tc>
        <w:tc>
          <w:tcPr>
            <w:tcW w:type="dxa" w:w="2256"/>
            <w:shd w:val="clear" w:color="auto" w:fill="E7E6E6"/>
          </w:tcPr>
          <w:p>
            <w:pPr>
              <w:jc w:val="left"/>
            </w:pPr>
            <w:r>
              <w:rPr>
                <w:b/>
              </w:rPr>
            </w:r>
            <w:r>
              <w:rPr>
                <w:rFonts w:ascii="Times New Roman" w:hAnsi="Times New Roman"/>
                <w:b/>
                <w:sz w:val="21"/>
              </w:rPr>
              <w:t>Feature(s)</w:t>
            </w:r>
          </w:p>
        </w:tc>
        <w:tc>
          <w:tcPr>
            <w:tcW w:type="dxa" w:w="2256"/>
            <w:shd w:val="clear" w:color="auto" w:fill="E7E6E6"/>
          </w:tcPr>
          <w:p>
            <w:pPr>
              <w:jc w:val="left"/>
            </w:pPr>
            <w:r>
              <w:rPr>
                <w:b/>
              </w:rPr>
            </w:r>
            <w:r>
              <w:rPr>
                <w:rFonts w:ascii="Times New Roman" w:hAnsi="Times New Roman"/>
                <w:b/>
                <w:sz w:val="21"/>
              </w:rPr>
              <w:t>Meaning</w:t>
            </w:r>
          </w:p>
        </w:tc>
        <w:tc>
          <w:tcPr>
            <w:tcW w:type="dxa" w:w="2256"/>
            <w:shd w:val="clear" w:color="auto" w:fill="E7E6E6"/>
          </w:tcPr>
          <w:p>
            <w:pPr>
              <w:jc w:val="left"/>
            </w:pPr>
            <w:r>
              <w:rPr>
                <w:b/>
              </w:rPr>
            </w:r>
            <w:r>
              <w:rPr>
                <w:rFonts w:ascii="Times New Roman" w:hAnsi="Times New Roman"/>
                <w:b/>
                <w:sz w:val="21"/>
              </w:rPr>
              <w:t>Source table</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SUBUNIT_CD</w:t>
            </w:r>
          </w:p>
        </w:tc>
        <w:tc>
          <w:tcPr>
            <w:tcW w:type="dxa" w:w="2256"/>
          </w:tcPr>
          <w:p>
            <w:pPr>
              <w:spacing w:after="0"/>
              <w:jc w:val="left"/>
            </w:pPr>
            <w:r/>
            <w:r>
              <w:rPr>
                <w:rFonts w:ascii="Times New Roman" w:hAnsi="Times New Roman"/>
                <w:sz w:val="21"/>
              </w:rPr>
              <w:t>part of the mine where the accident happened (underground, surface at an underground mine, strip or open pit, mill or preparation plant, office and others)</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FIPS_STATE_CD</w:t>
            </w:r>
          </w:p>
        </w:tc>
        <w:tc>
          <w:tcPr>
            <w:tcW w:type="dxa" w:w="2256"/>
          </w:tcPr>
          <w:p>
            <w:pPr>
              <w:spacing w:after="0"/>
              <w:jc w:val="left"/>
            </w:pPr>
            <w:r/>
            <w:r>
              <w:rPr>
                <w:rFonts w:ascii="Times New Roman" w:hAnsi="Times New Roman"/>
                <w:sz w:val="21"/>
              </w:rPr>
              <w:t>state of the mine</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UG_LOCATION_CD, UG_MINING_METHOD_CD</w:t>
            </w:r>
          </w:p>
        </w:tc>
        <w:tc>
          <w:tcPr>
            <w:tcW w:type="dxa" w:w="2256"/>
          </w:tcPr>
          <w:p>
            <w:pPr>
              <w:spacing w:after="0"/>
              <w:jc w:val="left"/>
            </w:pPr>
            <w:r/>
            <w:r>
              <w:rPr>
                <w:rFonts w:ascii="Times New Roman" w:hAnsi="Times New Roman"/>
                <w:sz w:val="21"/>
              </w:rPr>
              <w:t>underground location and mining method; level "none" when the accident was not underground</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MINING_EQUIP_CD, EQUIP_MFR_NAME</w:t>
            </w:r>
          </w:p>
        </w:tc>
        <w:tc>
          <w:tcPr>
            <w:tcW w:type="dxa" w:w="2256"/>
          </w:tcPr>
          <w:p>
            <w:pPr>
              <w:spacing w:after="0"/>
              <w:jc w:val="left"/>
            </w:pPr>
            <w:r/>
            <w:r>
              <w:rPr>
                <w:rFonts w:ascii="Times New Roman" w:hAnsi="Times New Roman"/>
                <w:sz w:val="21"/>
              </w:rPr>
              <w:t>equipment involved and its manufacturer; level "none" when no equipment was involved</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CLASSIFICATION_CD, ACCIDENT_TYPE_CD</w:t>
            </w:r>
          </w:p>
        </w:tc>
        <w:tc>
          <w:tcPr>
            <w:tcW w:type="dxa" w:w="2256"/>
          </w:tcPr>
          <w:p>
            <w:pPr>
              <w:spacing w:after="0"/>
              <w:jc w:val="left"/>
            </w:pPr>
            <w:r/>
            <w:r>
              <w:rPr>
                <w:rFonts w:ascii="Times New Roman" w:hAnsi="Times New Roman"/>
                <w:sz w:val="21"/>
              </w:rPr>
              <w:t>circumstance class (for example handling materials, slip or fall) and accident type (for example struck by a falling object, over-exertion)</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OCCUPATION, ACTIVITY_CD</w:t>
            </w:r>
          </w:p>
        </w:tc>
        <w:tc>
          <w:tcPr>
            <w:tcW w:type="dxa" w:w="2256"/>
          </w:tcPr>
          <w:p>
            <w:pPr>
              <w:spacing w:after="0"/>
              <w:jc w:val="left"/>
            </w:pPr>
            <w:r/>
            <w:r>
              <w:rPr>
                <w:rFonts w:ascii="Times New Roman" w:hAnsi="Times New Roman"/>
                <w:sz w:val="21"/>
              </w:rPr>
              <w:t>job title of the injured worker and the activity at the time</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INJURY_SOURCE_CD, NATURE_INJURY_CD, INJ_BODY_PART_CD</w:t>
            </w:r>
          </w:p>
        </w:tc>
        <w:tc>
          <w:tcPr>
            <w:tcW w:type="dxa" w:w="2256"/>
          </w:tcPr>
          <w:p>
            <w:pPr>
              <w:spacing w:after="0"/>
              <w:jc w:val="left"/>
            </w:pPr>
            <w:r/>
            <w:r>
              <w:rPr>
                <w:rFonts w:ascii="Times New Roman" w:hAnsi="Times New Roman"/>
                <w:sz w:val="21"/>
              </w:rPr>
              <w:t>object or substance that caused the injury, nature of the injury (for example sprain, fracture, cut) and body part</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COAL_METAL_IND</w:t>
            </w:r>
          </w:p>
        </w:tc>
        <w:tc>
          <w:tcPr>
            <w:tcW w:type="dxa" w:w="2256"/>
          </w:tcPr>
          <w:p>
            <w:pPr>
              <w:spacing w:after="0"/>
              <w:jc w:val="left"/>
            </w:pPr>
            <w:r/>
            <w:r>
              <w:rPr>
                <w:rFonts w:ascii="Times New Roman" w:hAnsi="Times New Roman"/>
                <w:sz w:val="21"/>
              </w:rPr>
              <w:t>sector, coal or metal and non-metal</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PRIMARY_CANVASS</w:t>
            </w:r>
          </w:p>
        </w:tc>
        <w:tc>
          <w:tcPr>
            <w:tcW w:type="dxa" w:w="2256"/>
          </w:tcPr>
          <w:p>
            <w:pPr>
              <w:spacing w:after="0"/>
              <w:jc w:val="left"/>
            </w:pPr>
            <w:r/>
            <w:r>
              <w:rPr>
                <w:rFonts w:ascii="Times New Roman" w:hAnsi="Times New Roman"/>
                <w:sz w:val="21"/>
              </w:rPr>
              <w:t>commodity group of the mine (coal, metal, non-metal, stone, sand and gravel)</w:t>
            </w:r>
          </w:p>
        </w:tc>
        <w:tc>
          <w:tcPr>
            <w:tcW w:type="dxa" w:w="2256"/>
          </w:tcPr>
          <w:p>
            <w:pPr>
              <w:spacing w:after="0"/>
              <w:jc w:val="left"/>
            </w:pPr>
            <w:r/>
            <w:r>
              <w:rPr>
                <w:rFonts w:ascii="Times New Roman" w:hAnsi="Times New Roman"/>
                <w:sz w:val="21"/>
              </w:rPr>
              <w:t>Mines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SAFETY_COMMITTEE_IND, PART48_TRAINING, PORTABLE_OPERATION</w:t>
            </w:r>
          </w:p>
        </w:tc>
        <w:tc>
          <w:tcPr>
            <w:tcW w:type="dxa" w:w="2256"/>
          </w:tcPr>
          <w:p>
            <w:pPr>
              <w:spacing w:after="0"/>
              <w:jc w:val="left"/>
            </w:pPr>
            <w:r/>
            <w:r>
              <w:rPr>
                <w:rFonts w:ascii="Times New Roman" w:hAnsi="Times New Roman"/>
                <w:sz w:val="21"/>
              </w:rPr>
              <w:t>yes/no flags for a safety committee, a restriction on MSHA enforcing Part 48 training, and a portable operation, as recorded at the snapshot</w:t>
            </w:r>
          </w:p>
        </w:tc>
        <w:tc>
          <w:tcPr>
            <w:tcW w:type="dxa" w:w="2256"/>
          </w:tcPr>
          <w:p>
            <w:pPr>
              <w:spacing w:after="0"/>
              <w:jc w:val="left"/>
            </w:pPr>
            <w:r/>
            <w:r>
              <w:rPr>
                <w:rFonts w:ascii="Times New Roman" w:hAnsi="Times New Roman"/>
                <w:sz w:val="21"/>
              </w:rPr>
              <w:t>Mines</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status_103i_at_accident</w:t>
            </w:r>
          </w:p>
        </w:tc>
        <w:tc>
          <w:tcPr>
            <w:tcW w:type="dxa" w:w="2256"/>
          </w:tcPr>
          <w:p>
            <w:pPr>
              <w:spacing w:after="0"/>
              <w:jc w:val="left"/>
            </w:pPr>
            <w:r/>
            <w:r>
              <w:rPr>
                <w:rFonts w:ascii="Times New Roman" w:hAnsi="Times New Roman"/>
                <w:sz w:val="21"/>
              </w:rPr>
              <w:t>section 103(i) spot-inspection status in force at the accident date (never, in force, formerly, unknown)</w:t>
            </w:r>
          </w:p>
        </w:tc>
        <w:tc>
          <w:tcPr>
            <w:tcW w:type="dxa" w:w="2256"/>
          </w:tcPr>
          <w:p>
            <w:pPr>
              <w:spacing w:after="0"/>
              <w:jc w:val="left"/>
            </w:pPr>
            <w:r/>
            <w:r>
              <w:rPr>
                <w:rFonts w:ascii="Times New Roman" w:hAnsi="Times New Roman"/>
                <w:sz w:val="21"/>
              </w:rPr>
              <w:t>Mines, with the accident date</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type_at_time</w:t>
            </w:r>
          </w:p>
        </w:tc>
        <w:tc>
          <w:tcPr>
            <w:tcW w:type="dxa" w:w="2256"/>
          </w:tcPr>
          <w:p>
            <w:pPr>
              <w:spacing w:after="0"/>
              <w:jc w:val="left"/>
            </w:pPr>
            <w:r/>
            <w:r>
              <w:rPr>
                <w:rFonts w:ascii="Times New Roman" w:hAnsi="Times New Roman"/>
                <w:sz w:val="21"/>
              </w:rPr>
              <w:t>mine type (underground, surface or facility) from the previous year's production subunits</w:t>
            </w:r>
          </w:p>
        </w:tc>
        <w:tc>
          <w:tcPr>
            <w:tcW w:type="dxa" w:w="2256"/>
          </w:tcPr>
          <w:p>
            <w:pPr>
              <w:spacing w:after="0"/>
              <w:jc w:val="left"/>
            </w:pPr>
            <w:r/>
            <w:r>
              <w:rPr>
                <w:rFonts w:ascii="Times New Roman" w:hAnsi="Times New Roman"/>
                <w:sz w:val="21"/>
              </w:rPr>
              <w:t>MinesProdYearly (fallback: Accidents SUBUNIT_CD)</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mine_size_band</w:t>
            </w:r>
          </w:p>
        </w:tc>
        <w:tc>
          <w:tcPr>
            <w:tcW w:type="dxa" w:w="2256"/>
          </w:tcPr>
          <w:p>
            <w:pPr>
              <w:spacing w:after="0"/>
              <w:jc w:val="left"/>
            </w:pPr>
            <w:r/>
            <w:r>
              <w:rPr>
                <w:rFonts w:ascii="Times New Roman" w:hAnsi="Times New Roman"/>
                <w:sz w:val="21"/>
              </w:rPr>
              <w:t>previous-year average employees in five bands, from 1-4 to 200+</w:t>
            </w:r>
          </w:p>
        </w:tc>
        <w:tc>
          <w:tcPr>
            <w:tcW w:type="dxa" w:w="2256"/>
          </w:tcPr>
          <w:p>
            <w:pPr>
              <w:spacing w:after="0"/>
              <w:jc w:val="left"/>
            </w:pPr>
            <w:r/>
            <w:r>
              <w:rPr>
                <w:rFonts w:ascii="Times New Roman" w:hAnsi="Times New Roman"/>
                <w:sz w:val="21"/>
              </w:rPr>
              <w:t>MinesProdYearly</w:t>
            </w:r>
          </w:p>
        </w:tc>
      </w:tr>
      <w:tr>
        <w:tc>
          <w:tcPr>
            <w:tcW w:type="dxa" w:w="2256"/>
          </w:tcPr>
          <w:p>
            <w:pPr>
              <w:spacing w:after="0"/>
              <w:jc w:val="left"/>
            </w:pPr>
            <w:r/>
            <w:r>
              <w:rPr>
                <w:rFonts w:ascii="Times New Roman" w:hAnsi="Times New Roman"/>
                <w:sz w:val="21"/>
              </w:rPr>
              <w:t>Categorical</w:t>
            </w:r>
          </w:p>
        </w:tc>
        <w:tc>
          <w:tcPr>
            <w:tcW w:type="dxa" w:w="2256"/>
          </w:tcPr>
          <w:p>
            <w:pPr>
              <w:spacing w:after="0"/>
              <w:jc w:val="left"/>
            </w:pPr>
            <w:r/>
            <w:r>
              <w:rPr>
                <w:rFonts w:ascii="Times New Roman" w:hAnsi="Times New Roman"/>
                <w:sz w:val="21"/>
              </w:rPr>
              <w:t>accident_weekday, accident_month</w:t>
            </w:r>
          </w:p>
        </w:tc>
        <w:tc>
          <w:tcPr>
            <w:tcW w:type="dxa" w:w="2256"/>
          </w:tcPr>
          <w:p>
            <w:pPr>
              <w:spacing w:after="0"/>
              <w:jc w:val="left"/>
            </w:pPr>
            <w:r/>
            <w:r>
              <w:rPr>
                <w:rFonts w:ascii="Times New Roman" w:hAnsi="Times New Roman"/>
                <w:sz w:val="21"/>
              </w:rPr>
              <w:t>day of the week and month of the accident</w:t>
            </w:r>
          </w:p>
        </w:tc>
        <w:tc>
          <w:tcPr>
            <w:tcW w:type="dxa" w:w="2256"/>
          </w:tcPr>
          <w:p>
            <w:pPr>
              <w:spacing w:after="0"/>
              <w:jc w:val="left"/>
            </w:pPr>
            <w:r/>
            <w:r>
              <w:rPr>
                <w:rFonts w:ascii="Times New Roman" w:hAnsi="Times New Roman"/>
                <w:sz w:val="21"/>
              </w:rPr>
              <w:t>Accidents (ACCIDENT_DT)</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TOT_EXPER, MINE_EXPER, JOB_EXPER</w:t>
            </w:r>
          </w:p>
        </w:tc>
        <w:tc>
          <w:tcPr>
            <w:tcW w:type="dxa" w:w="2256"/>
          </w:tcPr>
          <w:p>
            <w:pPr>
              <w:spacing w:after="0"/>
              <w:jc w:val="left"/>
            </w:pPr>
            <w:r/>
            <w:r>
              <w:rPr>
                <w:rFonts w:ascii="Times New Roman" w:hAnsi="Times New Roman"/>
                <w:sz w:val="21"/>
              </w:rPr>
              <w:t>years of total mining, current-mine and current-job experience after the consistency rules</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log1p_tot_exper</w:t>
            </w:r>
          </w:p>
        </w:tc>
        <w:tc>
          <w:tcPr>
            <w:tcW w:type="dxa" w:w="2256"/>
          </w:tcPr>
          <w:p>
            <w:pPr>
              <w:spacing w:after="0"/>
              <w:jc w:val="left"/>
            </w:pPr>
            <w:r/>
            <w:r>
              <w:rPr>
                <w:rFonts w:ascii="Times New Roman" w:hAnsi="Times New Roman"/>
                <w:sz w:val="21"/>
              </w:rPr>
              <w:t>log(1 + TOT_EXPER), which reduces right skew</w:t>
            </w:r>
          </w:p>
        </w:tc>
        <w:tc>
          <w:tcPr>
            <w:tcW w:type="dxa" w:w="2256"/>
          </w:tcPr>
          <w:p>
            <w:pPr>
              <w:spacing w:after="0"/>
              <w:jc w:val="left"/>
            </w:pPr>
            <w:r/>
            <w:r>
              <w:rPr>
                <w:rFonts w:ascii="Times New Roman" w:hAnsi="Times New Roman"/>
                <w:sz w:val="21"/>
              </w:rPr>
              <w:t>derived from Accidents</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exper_ratio_mine, exper_ratio_job</w:t>
            </w:r>
          </w:p>
        </w:tc>
        <w:tc>
          <w:tcPr>
            <w:tcW w:type="dxa" w:w="2256"/>
          </w:tcPr>
          <w:p>
            <w:pPr>
              <w:spacing w:after="0"/>
              <w:jc w:val="left"/>
            </w:pPr>
            <w:r/>
            <w:r>
              <w:rPr>
                <w:rFonts w:ascii="Times New Roman" w:hAnsi="Times New Roman"/>
                <w:sz w:val="21"/>
              </w:rPr>
              <w:t>mine and job experience as a share of total experience, between 0 and 1</w:t>
            </w:r>
          </w:p>
        </w:tc>
        <w:tc>
          <w:tcPr>
            <w:tcW w:type="dxa" w:w="2256"/>
          </w:tcPr>
          <w:p>
            <w:pPr>
              <w:spacing w:after="0"/>
              <w:jc w:val="left"/>
            </w:pPr>
            <w:r/>
            <w:r>
              <w:rPr>
                <w:rFonts w:ascii="Times New Roman" w:hAnsi="Times New Roman"/>
                <w:sz w:val="21"/>
              </w:rPr>
              <w:t>derived from Accidents</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no_injuries_capped</w:t>
            </w:r>
          </w:p>
        </w:tc>
        <w:tc>
          <w:tcPr>
            <w:tcW w:type="dxa" w:w="2256"/>
          </w:tcPr>
          <w:p>
            <w:pPr>
              <w:spacing w:after="0"/>
              <w:jc w:val="left"/>
            </w:pPr>
            <w:r/>
            <w:r>
              <w:rPr>
                <w:rFonts w:ascii="Times New Roman" w:hAnsi="Times New Roman"/>
                <w:sz w:val="21"/>
              </w:rPr>
              <w:t>number of people injured in the occurrence, capped at 10</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accident_hour, shift_begin_hour</w:t>
            </w:r>
          </w:p>
        </w:tc>
        <w:tc>
          <w:tcPr>
            <w:tcW w:type="dxa" w:w="2256"/>
          </w:tcPr>
          <w:p>
            <w:pPr>
              <w:spacing w:after="0"/>
              <w:jc w:val="left"/>
            </w:pPr>
            <w:r/>
            <w:r>
              <w:rPr>
                <w:rFonts w:ascii="Times New Roman" w:hAnsi="Times New Roman"/>
                <w:sz w:val="21"/>
              </w:rPr>
              <w:t>clock hour of the accident and of the start of the shift</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hours_into_shift</w:t>
            </w:r>
          </w:p>
        </w:tc>
        <w:tc>
          <w:tcPr>
            <w:tcW w:type="dxa" w:w="2256"/>
          </w:tcPr>
          <w:p>
            <w:pPr>
              <w:spacing w:after="0"/>
              <w:jc w:val="left"/>
            </w:pPr>
            <w:r/>
            <w:r>
              <w:rPr>
                <w:rFonts w:ascii="Times New Roman" w:hAnsi="Times New Roman"/>
                <w:sz w:val="21"/>
              </w:rPr>
              <w:t>hours from the start of the shift to the accident, missing above 16</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latitude, longitude</w:t>
            </w:r>
          </w:p>
        </w:tc>
        <w:tc>
          <w:tcPr>
            <w:tcW w:type="dxa" w:w="2256"/>
          </w:tcPr>
          <w:p>
            <w:pPr>
              <w:spacing w:after="0"/>
              <w:jc w:val="left"/>
            </w:pPr>
            <w:r/>
            <w:r>
              <w:rPr>
                <w:rFonts w:ascii="Times New Roman" w:hAnsi="Times New Roman"/>
                <w:sz w:val="21"/>
              </w:rPr>
              <w:t>mine coordinates, with invalid pairs set to missing</w:t>
            </w:r>
          </w:p>
        </w:tc>
        <w:tc>
          <w:tcPr>
            <w:tcW w:type="dxa" w:w="2256"/>
          </w:tcPr>
          <w:p>
            <w:pPr>
              <w:spacing w:after="0"/>
              <w:jc w:val="left"/>
            </w:pPr>
            <w:r/>
            <w:r>
              <w:rPr>
                <w:rFonts w:ascii="Times New Roman" w:hAnsi="Times New Roman"/>
                <w:sz w:val="21"/>
              </w:rPr>
              <w:t>Mines</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prev_hours, log1p_prev_hours</w:t>
            </w:r>
          </w:p>
        </w:tc>
        <w:tc>
          <w:tcPr>
            <w:tcW w:type="dxa" w:w="2256"/>
          </w:tcPr>
          <w:p>
            <w:pPr>
              <w:spacing w:after="0"/>
              <w:jc w:val="left"/>
            </w:pPr>
            <w:r/>
            <w:r>
              <w:rPr>
                <w:rFonts w:ascii="Times New Roman" w:hAnsi="Times New Roman"/>
                <w:sz w:val="21"/>
              </w:rPr>
              <w:t>employee-hours worked at the mine in the previous year, raw and log-transformed</w:t>
            </w:r>
          </w:p>
        </w:tc>
        <w:tc>
          <w:tcPr>
            <w:tcW w:type="dxa" w:w="2256"/>
          </w:tcPr>
          <w:p>
            <w:pPr>
              <w:spacing w:after="0"/>
              <w:jc w:val="left"/>
            </w:pPr>
            <w:r/>
            <w:r>
              <w:rPr>
                <w:rFonts w:ascii="Times New Roman" w:hAnsi="Times New Roman"/>
                <w:sz w:val="21"/>
              </w:rPr>
              <w:t>MinesProdYearly</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prev_employees, prev_hours_per_employee</w:t>
            </w:r>
          </w:p>
        </w:tc>
        <w:tc>
          <w:tcPr>
            <w:tcW w:type="dxa" w:w="2256"/>
          </w:tcPr>
          <w:p>
            <w:pPr>
              <w:spacing w:after="0"/>
              <w:jc w:val="left"/>
            </w:pPr>
            <w:r/>
            <w:r>
              <w:rPr>
                <w:rFonts w:ascii="Times New Roman" w:hAnsi="Times New Roman"/>
                <w:sz w:val="21"/>
              </w:rPr>
              <w:t>previous-year average employees and hours per employee</w:t>
            </w:r>
          </w:p>
        </w:tc>
        <w:tc>
          <w:tcPr>
            <w:tcW w:type="dxa" w:w="2256"/>
          </w:tcPr>
          <w:p>
            <w:pPr>
              <w:spacing w:after="0"/>
              <w:jc w:val="left"/>
            </w:pPr>
            <w:r/>
            <w:r>
              <w:rPr>
                <w:rFonts w:ascii="Times New Roman" w:hAnsi="Times New Roman"/>
                <w:sz w:val="21"/>
              </w:rPr>
              <w:t>MinesProdYearly</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prev_incidents</w:t>
            </w:r>
          </w:p>
        </w:tc>
        <w:tc>
          <w:tcPr>
            <w:tcW w:type="dxa" w:w="2256"/>
          </w:tcPr>
          <w:p>
            <w:pPr>
              <w:spacing w:after="0"/>
              <w:jc w:val="left"/>
            </w:pPr>
            <w:r/>
            <w:r>
              <w:rPr>
                <w:rFonts w:ascii="Times New Roman" w:hAnsi="Times New Roman"/>
                <w:sz w:val="21"/>
              </w:rPr>
              <w:t>reports at the mine in the previous year that were filed before the accident date</w:t>
            </w:r>
          </w:p>
        </w:tc>
        <w:tc>
          <w:tcPr>
            <w:tcW w:type="dxa" w:w="2256"/>
          </w:tcPr>
          <w:p>
            <w:pPr>
              <w:spacing w:after="0"/>
              <w:jc w:val="left"/>
            </w:pPr>
            <w:r/>
            <w:r>
              <w:rPr>
                <w:rFonts w:ascii="Times New Roman" w:hAnsi="Times New Roman"/>
                <w:sz w:val="21"/>
              </w:rPr>
              <w:t>Accidents (full file)</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prev_incident_rate_200k, prev_lost_time_rate_200k</w:t>
            </w:r>
          </w:p>
        </w:tc>
        <w:tc>
          <w:tcPr>
            <w:tcW w:type="dxa" w:w="2256"/>
          </w:tcPr>
          <w:p>
            <w:pPr>
              <w:spacing w:after="0"/>
              <w:jc w:val="left"/>
            </w:pPr>
            <w:r/>
            <w:r>
              <w:rPr>
                <w:rFonts w:ascii="Times New Roman" w:hAnsi="Times New Roman"/>
                <w:sz w:val="21"/>
              </w:rPr>
              <w:t>previous-year reports and lost-time cases per 200,000 employee-hours, capped at 50 and log-transformed</w:t>
            </w:r>
          </w:p>
        </w:tc>
        <w:tc>
          <w:tcPr>
            <w:tcW w:type="dxa" w:w="2256"/>
          </w:tcPr>
          <w:p>
            <w:pPr>
              <w:spacing w:after="0"/>
              <w:jc w:val="left"/>
            </w:pPr>
            <w:r/>
            <w:r>
              <w:rPr>
                <w:rFonts w:ascii="Times New Roman" w:hAnsi="Times New Roman"/>
                <w:sz w:val="21"/>
              </w:rPr>
              <w:t>Accidents (full file) and MinesProdYearly</w:t>
            </w:r>
          </w:p>
        </w:tc>
      </w:tr>
      <w:tr>
        <w:tc>
          <w:tcPr>
            <w:tcW w:type="dxa" w:w="2256"/>
          </w:tcPr>
          <w:p>
            <w:pPr>
              <w:spacing w:after="0"/>
              <w:jc w:val="left"/>
            </w:pPr>
            <w:r/>
            <w:r>
              <w:rPr>
                <w:rFonts w:ascii="Times New Roman" w:hAnsi="Times New Roman"/>
                <w:sz w:val="21"/>
              </w:rPr>
              <w:t>Numeric</w:t>
            </w:r>
          </w:p>
        </w:tc>
        <w:tc>
          <w:tcPr>
            <w:tcW w:type="dxa" w:w="2256"/>
          </w:tcPr>
          <w:p>
            <w:pPr>
              <w:spacing w:after="0"/>
              <w:jc w:val="left"/>
            </w:pPr>
            <w:r/>
            <w:r>
              <w:rPr>
                <w:rFonts w:ascii="Times New Roman" w:hAnsi="Times New Roman"/>
                <w:sz w:val="21"/>
              </w:rPr>
              <w:t>prev_lost_time_share</w:t>
            </w:r>
          </w:p>
        </w:tc>
        <w:tc>
          <w:tcPr>
            <w:tcW w:type="dxa" w:w="2256"/>
          </w:tcPr>
          <w:p>
            <w:pPr>
              <w:spacing w:after="0"/>
              <w:jc w:val="left"/>
            </w:pPr>
            <w:r/>
            <w:r>
              <w:rPr>
                <w:rFonts w:ascii="Times New Roman" w:hAnsi="Times New Roman"/>
                <w:sz w:val="21"/>
              </w:rPr>
              <w:t>share of the previous year's valid-code cases (degree 01 to 06) filed before the accident date that were lost-time</w:t>
            </w:r>
          </w:p>
        </w:tc>
        <w:tc>
          <w:tcPr>
            <w:tcW w:type="dxa" w:w="2256"/>
          </w:tcPr>
          <w:p>
            <w:pPr>
              <w:spacing w:after="0"/>
              <w:jc w:val="left"/>
            </w:pPr>
            <w:r/>
            <w:r>
              <w:rPr>
                <w:rFonts w:ascii="Times New Roman" w:hAnsi="Times New Roman"/>
                <w:sz w:val="21"/>
              </w:rPr>
              <w:t>Accidents (full file)</w:t>
            </w:r>
          </w:p>
        </w:tc>
      </w:tr>
      <w:tr>
        <w:tc>
          <w:tcPr>
            <w:tcW w:type="dxa" w:w="2256"/>
          </w:tcPr>
          <w:p>
            <w:pPr>
              <w:spacing w:after="0"/>
              <w:jc w:val="left"/>
            </w:pPr>
            <w:r/>
            <w:r>
              <w:rPr>
                <w:rFonts w:ascii="Times New Roman" w:hAnsi="Times New Roman"/>
                <w:sz w:val="21"/>
              </w:rPr>
              <w:t>Binary</w:t>
            </w:r>
          </w:p>
        </w:tc>
        <w:tc>
          <w:tcPr>
            <w:tcW w:type="dxa" w:w="2256"/>
          </w:tcPr>
          <w:p>
            <w:pPr>
              <w:spacing w:after="0"/>
              <w:jc w:val="left"/>
            </w:pPr>
            <w:r/>
            <w:r>
              <w:rPr>
                <w:rFonts w:ascii="Times New Roman" w:hAnsi="Times New Roman"/>
                <w:sz w:val="21"/>
              </w:rPr>
              <w:t>is_night, is_weekend</w:t>
            </w:r>
          </w:p>
        </w:tc>
        <w:tc>
          <w:tcPr>
            <w:tcW w:type="dxa" w:w="2256"/>
          </w:tcPr>
          <w:p>
            <w:pPr>
              <w:spacing w:after="0"/>
              <w:jc w:val="left"/>
            </w:pPr>
            <w:r/>
            <w:r>
              <w:rPr>
                <w:rFonts w:ascii="Times New Roman" w:hAnsi="Times New Roman"/>
                <w:sz w:val="21"/>
              </w:rPr>
              <w:t>accident between 18:00 and 05:59; accident on a Saturday or Sunday</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Binary</w:t>
            </w:r>
          </w:p>
        </w:tc>
        <w:tc>
          <w:tcPr>
            <w:tcW w:type="dxa" w:w="2256"/>
          </w:tcPr>
          <w:p>
            <w:pPr>
              <w:spacing w:after="0"/>
              <w:jc w:val="left"/>
            </w:pPr>
            <w:r/>
            <w:r>
              <w:rPr>
                <w:rFonts w:ascii="Times New Roman" w:hAnsi="Times New Roman"/>
                <w:sz w:val="21"/>
              </w:rPr>
              <w:t>new_to_mine</w:t>
            </w:r>
          </w:p>
        </w:tc>
        <w:tc>
          <w:tcPr>
            <w:tcW w:type="dxa" w:w="2256"/>
          </w:tcPr>
          <w:p>
            <w:pPr>
              <w:spacing w:after="0"/>
              <w:jc w:val="left"/>
            </w:pPr>
            <w:r/>
            <w:r>
              <w:rPr>
                <w:rFonts w:ascii="Times New Roman" w:hAnsi="Times New Roman"/>
                <w:sz w:val="21"/>
              </w:rPr>
              <w:t>less than one year of experience at the current mine</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Binary</w:t>
            </w:r>
          </w:p>
        </w:tc>
        <w:tc>
          <w:tcPr>
            <w:tcW w:type="dxa" w:w="2256"/>
          </w:tcPr>
          <w:p>
            <w:pPr>
              <w:spacing w:after="0"/>
              <w:jc w:val="left"/>
            </w:pPr>
            <w:r/>
            <w:r>
              <w:rPr>
                <w:rFonts w:ascii="Times New Roman" w:hAnsi="Times New Roman"/>
                <w:sz w:val="21"/>
              </w:rPr>
              <w:t>is_contractor</w:t>
            </w:r>
          </w:p>
        </w:tc>
        <w:tc>
          <w:tcPr>
            <w:tcW w:type="dxa" w:w="2256"/>
          </w:tcPr>
          <w:p>
            <w:pPr>
              <w:spacing w:after="0"/>
              <w:jc w:val="left"/>
            </w:pPr>
            <w:r/>
            <w:r>
              <w:rPr>
                <w:rFonts w:ascii="Times New Roman" w:hAnsi="Times New Roman"/>
                <w:sz w:val="21"/>
              </w:rPr>
              <w:t>the report carries a contractor identifier</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Binary</w:t>
            </w:r>
          </w:p>
        </w:tc>
        <w:tc>
          <w:tcPr>
            <w:tcW w:type="dxa" w:w="2256"/>
          </w:tcPr>
          <w:p>
            <w:pPr>
              <w:spacing w:after="0"/>
              <w:jc w:val="left"/>
            </w:pPr>
            <w:r/>
            <w:r>
              <w:rPr>
                <w:rFonts w:ascii="Times New Roman" w:hAnsi="Times New Roman"/>
                <w:sz w:val="21"/>
              </w:rPr>
              <w:t>immed_reportable</w:t>
            </w:r>
          </w:p>
        </w:tc>
        <w:tc>
          <w:tcPr>
            <w:tcW w:type="dxa" w:w="2256"/>
          </w:tcPr>
          <w:p>
            <w:pPr>
              <w:spacing w:after="0"/>
              <w:jc w:val="left"/>
            </w:pPr>
            <w:r/>
            <w:r>
              <w:rPr>
                <w:rFonts w:ascii="Times New Roman" w:hAnsi="Times New Roman"/>
                <w:sz w:val="21"/>
              </w:rPr>
              <w:t>the accident was one of the types MSHA must be told of within 15 minutes</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Binary</w:t>
            </w:r>
          </w:p>
        </w:tc>
        <w:tc>
          <w:tcPr>
            <w:tcW w:type="dxa" w:w="2256"/>
          </w:tcPr>
          <w:p>
            <w:pPr>
              <w:spacing w:after="0"/>
              <w:jc w:val="left"/>
            </w:pPr>
            <w:r/>
            <w:r>
              <w:rPr>
                <w:rFonts w:ascii="Times New Roman" w:hAnsi="Times New Roman"/>
                <w:sz w:val="21"/>
              </w:rPr>
              <w:t>exper_inconsistent</w:t>
            </w:r>
          </w:p>
        </w:tc>
        <w:tc>
          <w:tcPr>
            <w:tcW w:type="dxa" w:w="2256"/>
          </w:tcPr>
          <w:p>
            <w:pPr>
              <w:spacing w:after="0"/>
              <w:jc w:val="left"/>
            </w:pPr>
            <w:r/>
            <w:r>
              <w:rPr>
                <w:rFonts w:ascii="Times New Roman" w:hAnsi="Times New Roman"/>
                <w:sz w:val="21"/>
              </w:rPr>
              <w:t>job or mine experience exceeded total experience before correction</w:t>
            </w:r>
          </w:p>
        </w:tc>
        <w:tc>
          <w:tcPr>
            <w:tcW w:type="dxa" w:w="2256"/>
          </w:tcPr>
          <w:p>
            <w:pPr>
              <w:spacing w:after="0"/>
              <w:jc w:val="left"/>
            </w:pPr>
            <w:r/>
            <w:r>
              <w:rPr>
                <w:rFonts w:ascii="Times New Roman" w:hAnsi="Times New Roman"/>
                <w:sz w:val="21"/>
              </w:rPr>
              <w:t>Accidents</w:t>
            </w:r>
          </w:p>
        </w:tc>
      </w:tr>
      <w:tr>
        <w:tc>
          <w:tcPr>
            <w:tcW w:type="dxa" w:w="2256"/>
          </w:tcPr>
          <w:p>
            <w:pPr>
              <w:spacing w:after="0"/>
              <w:jc w:val="left"/>
            </w:pPr>
            <w:r/>
            <w:r>
              <w:rPr>
                <w:rFonts w:ascii="Times New Roman" w:hAnsi="Times New Roman"/>
                <w:sz w:val="21"/>
              </w:rPr>
              <w:t>Binary</w:t>
            </w:r>
          </w:p>
        </w:tc>
        <w:tc>
          <w:tcPr>
            <w:tcW w:type="dxa" w:w="2256"/>
          </w:tcPr>
          <w:p>
            <w:pPr>
              <w:spacing w:after="0"/>
              <w:jc w:val="left"/>
            </w:pPr>
            <w:r/>
            <w:r>
              <w:rPr>
                <w:rFonts w:ascii="Times New Roman" w:hAnsi="Times New Roman"/>
                <w:sz w:val="21"/>
              </w:rPr>
              <w:t>prev_year_matched</w:t>
            </w:r>
          </w:p>
        </w:tc>
        <w:tc>
          <w:tcPr>
            <w:tcW w:type="dxa" w:w="2256"/>
          </w:tcPr>
          <w:p>
            <w:pPr>
              <w:spacing w:after="0"/>
              <w:jc w:val="left"/>
            </w:pPr>
            <w:r/>
            <w:r>
              <w:rPr>
                <w:rFonts w:ascii="Times New Roman" w:hAnsi="Times New Roman"/>
                <w:sz w:val="21"/>
              </w:rPr>
              <w:t>previous-year production was found for the mine</w:t>
            </w:r>
          </w:p>
        </w:tc>
        <w:tc>
          <w:tcPr>
            <w:tcW w:type="dxa" w:w="2256"/>
          </w:tcPr>
          <w:p>
            <w:pPr>
              <w:spacing w:after="0"/>
              <w:jc w:val="left"/>
            </w:pPr>
            <w:r/>
            <w:r>
              <w:rPr>
                <w:rFonts w:ascii="Times New Roman" w:hAnsi="Times New Roman"/>
                <w:sz w:val="21"/>
              </w:rPr>
              <w:t>MinesProdYearly</w:t>
            </w:r>
          </w:p>
        </w:tc>
      </w:tr>
      <w:tr>
        <w:tc>
          <w:tcPr>
            <w:tcW w:type="dxa" w:w="2256"/>
          </w:tcPr>
          <w:p>
            <w:pPr>
              <w:spacing w:after="0"/>
              <w:jc w:val="left"/>
            </w:pPr>
            <w:r/>
            <w:r>
              <w:rPr>
                <w:rFonts w:ascii="Times New Roman" w:hAnsi="Times New Roman"/>
                <w:sz w:val="21"/>
              </w:rPr>
              <w:t>Binary</w:t>
            </w:r>
          </w:p>
        </w:tc>
        <w:tc>
          <w:tcPr>
            <w:tcW w:type="dxa" w:w="2256"/>
          </w:tcPr>
          <w:p>
            <w:pPr>
              <w:spacing w:after="0"/>
              <w:jc w:val="left"/>
            </w:pPr>
            <w:r/>
            <w:r>
              <w:rPr>
                <w:rFonts w:ascii="Times New Roman" w:hAnsi="Times New Roman"/>
                <w:sz w:val="21"/>
              </w:rPr>
              <w:t>tot_exper_missing, accident_hour_missing, hours_into_shift_missing, prev_share_missing, coords_missing</w:t>
            </w:r>
          </w:p>
        </w:tc>
        <w:tc>
          <w:tcPr>
            <w:tcW w:type="dxa" w:w="2256"/>
          </w:tcPr>
          <w:p>
            <w:pPr>
              <w:spacing w:after="0"/>
              <w:jc w:val="left"/>
            </w:pPr>
            <w:r/>
            <w:r>
              <w:rPr>
                <w:rFonts w:ascii="Times New Roman" w:hAnsi="Times New Roman"/>
                <w:sz w:val="21"/>
              </w:rPr>
              <w:t>missing-value indicators for total experience, accident hour, hours into shift, previous-year lost-time share and coordinates</w:t>
            </w:r>
          </w:p>
        </w:tc>
        <w:tc>
          <w:tcPr>
            <w:tcW w:type="dxa" w:w="2256"/>
          </w:tcPr>
          <w:p>
            <w:pPr>
              <w:spacing w:after="0"/>
              <w:jc w:val="left"/>
            </w:pPr>
            <w:r/>
            <w:r>
              <w:rPr>
                <w:rFonts w:ascii="Times New Roman" w:hAnsi="Times New Roman"/>
                <w:sz w:val="21"/>
              </w:rPr>
              <w:t>derived</w:t>
            </w:r>
          </w:p>
        </w:tc>
      </w:tr>
    </w:tbl>
    <w:p>
      <w:pPr>
        <w:spacing w:after="80"/>
      </w:pPr>
    </w:p>
    <w:p>
      <w:pPr>
        <w:pStyle w:val="Heading2"/>
      </w:pPr>
      <w:r>
        <w:rPr>
          <w:rFonts w:ascii="Times New Roman" w:hAnsi="Times New Roman"/>
          <w:b/>
          <w:color w:val="000000"/>
          <w:sz w:val="28"/>
        </w:rPr>
        <w:t>1.4 Aims and objectives</w:t>
      </w:r>
    </w:p>
    <w:p>
      <w:r>
        <w:rPr>
          <w:rFonts w:ascii="Times New Roman" w:hAnsi="Times New Roman"/>
          <w:sz w:val="24"/>
        </w:rPr>
        <w:t>The aim is a calibrated lost-time score at filing that ranks cases better than an adjuster's hand rules, pursued through four objectives. Section 2 describes every model feature on the training rows and ties each skewed, redundant or incomplete feature to a preparation step. Section 3 builds a pipeline whose learned steps are fitted on training rows only, with assertions that no mine-year crosses the split. Section 4 tunes eight algorithms with grouped cross-validation and tests the final model against S1 to S7, led by a held-out PR-AUC of at least 0.75. Section 5 states the expected cost per 1,000 cases at the cost ratios of Table 1, recall by sector and the limits of both.</w:t>
      </w:r>
    </w:p>
    <w:p>
      <w:r>
        <w:br w:type="page"/>
      </w:r>
    </w:p>
    <w:p>
      <w:pPr>
        <w:pStyle w:val="Heading1"/>
      </w:pPr>
      <w:r>
        <w:rPr>
          <w:rFonts w:ascii="Times New Roman" w:hAnsi="Times New Roman"/>
          <w:b/>
          <w:color w:val="000000"/>
          <w:sz w:val="32"/>
        </w:rPr>
        <w:t>2 Exploratory Data Analysis</w:t>
      </w:r>
    </w:p>
    <w:p>
      <w:pPr>
        <w:pStyle w:val="Heading2"/>
      </w:pPr>
      <w:r>
        <w:rPr>
          <w:rFonts w:ascii="Times New Roman" w:hAnsi="Times New Roman"/>
          <w:b/>
          <w:color w:val="000000"/>
          <w:sz w:val="28"/>
        </w:rPr>
        <w:t>2.1 Summary</w:t>
      </w:r>
    </w:p>
    <w:p>
      <w:r>
        <w:rPr>
          <w:rFonts w:ascii="Times New Roman" w:hAnsi="Times New Roman"/>
          <w:sz w:val="24"/>
        </w:rPr>
        <w:t>Medians, quartiles and box plots were read before any model was fitted (Tukey, 1977), on training rows only except for the target count. The joined table holds 101,609 rows and 55 features (23 categorical, 20 numeric, 12 binary), and 48.6% of rows are lost-time cases (Figure 1). Raw experience and exposure measures are right-skewed (Table 6, Figure 4, Figure 2), which led to median imputation, log1p features and retained outliers in Section 3 (Figure 9). The mine's previous-year lost-time share and the nature of the injury are most associated with the target (Table 7, Figure 5, Figure 7). Previous-year hours and employees measure mine size twice (Figure 3), a problem for logistic regression and naive Bayes. Missing values sit mainly in structural placeholders (Figure 8), and the classes overlap in every two-dimensional view (Figure 6, Figure 10).</w:t>
      </w:r>
    </w:p>
    <w:p>
      <w:pPr>
        <w:pStyle w:val="Heading2"/>
      </w:pPr>
      <w:r>
        <w:rPr>
          <w:rFonts w:ascii="Times New Roman" w:hAnsi="Times New Roman"/>
          <w:b/>
          <w:color w:val="000000"/>
          <w:sz w:val="28"/>
        </w:rPr>
        <w:t>2.2 Structure, variable types and target</w:t>
      </w:r>
    </w:p>
    <w:p>
      <w:r>
        <w:rPr>
          <w:rFonts w:ascii="Times New Roman" w:hAnsi="Times New Roman"/>
          <w:sz w:val="24"/>
        </w:rPr>
        <w:t>Each row is one injured worker on one Form 7000-1; the statistics describe the 81,289 training rows. I classified every feature by measurement scale, because scale decides the summary statistic, the plot and the encoder (Han et al., 2022); Table 5 gives each type. Categorical features are nominal codes, summarised by mode and level count, except mine_size_band, whose five employee bands are ordinal. The modal nature of injury, sprain or strain, covers 32.4% of rows, and OCCUPATION has 193 levels, which motivated rare-level pooling. Integer-coded weekday and month were also treated as categorical, since their code values carry no magnitude. Type corrections converted numeric text, kept zero-padded codes such as MINE_ID as strings and parsed HHMM clock fields as integers (Section 3.2).</w:t>
      </w:r>
    </w:p>
    <w:p>
      <w:r>
        <w:rPr>
          <w:rFonts w:ascii="Times New Roman" w:hAnsi="Times New Roman"/>
          <w:sz w:val="24"/>
        </w:rPr>
        <w:t>The target lost_time (Section 1.2) is close to balanced, with negatives outnumbering positives by 1.06 to one (Figure 1). The majority-class baseline, predicting no lost time for every case, is correct for 51.4% of cases yet finds none, so accuracy is reported but not used for selection. Resampling methods such as SMOTE target minority classes too rare to learn (He and Garcia, 2009), and this target is not one. The cost gap between a missed lost-time case and an unnecessary review is handled by the decision threshold instead (Section 3.6).</w:t>
      </w:r>
    </w:p>
    <w:p>
      <w:pPr>
        <w:keepNext/>
        <w:jc w:val="center"/>
      </w:pPr>
      <w:r>
        <w:drawing>
          <wp:inline xmlns:a="http://schemas.openxmlformats.org/drawingml/2006/main" xmlns:pic="http://schemas.openxmlformats.org/drawingml/2006/picture">
            <wp:extent cx="3474719" cy="2606040"/>
            <wp:docPr id="1" name="Picture 1"/>
            <wp:cNvGraphicFramePr>
              <a:graphicFrameLocks noChangeAspect="1"/>
            </wp:cNvGraphicFramePr>
            <a:graphic>
              <a:graphicData uri="http://schemas.openxmlformats.org/drawingml/2006/picture">
                <pic:pic>
                  <pic:nvPicPr>
                    <pic:cNvPr id="0" name="F02_target_distribution.png"/>
                    <pic:cNvPicPr/>
                  </pic:nvPicPr>
                  <pic:blipFill>
                    <a:blip r:embed="rId11"/>
                    <a:stretch>
                      <a:fillRect/>
                    </a:stretch>
                  </pic:blipFill>
                  <pic:spPr>
                    <a:xfrm>
                      <a:off x="0" y="0"/>
                      <a:ext cx="3474719" cy="2606040"/>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Counts and shares of non-lost-time and lost-time cases for all 101,609 in-scope rows before the split, drawn as a bar chart because two class sizes are compared. Source: author's analysis of MSHA open data.</w:t>
      </w:r>
    </w:p>
    <w:p>
      <w:pPr>
        <w:pStyle w:val="Heading2"/>
      </w:pPr>
      <w:r>
        <w:rPr>
          <w:rFonts w:ascii="Times New Roman" w:hAnsi="Times New Roman"/>
          <w:b/>
          <w:color w:val="000000"/>
          <w:sz w:val="28"/>
        </w:rPr>
        <w:t>2.3 Descriptive statistics and distributions</w:t>
      </w:r>
    </w:p>
    <w:p>
      <w:r>
        <w:rPr>
          <w:rFonts w:ascii="Times New Roman" w:hAnsi="Times New Roman"/>
          <w:sz w:val="24"/>
        </w:rPr>
        <w:t>Table 6 covers the numeric features with the strongest target association or most extreme shape, and Table 22 in Appendix A covers the rest. Measures of centrality diverge under right skew, and total experience has a mean of 9.8 years, a median of 6.0 and a trimmed mean between them. The mean assumes symmetry and is pulled up by long careers, the median ignores how far the tail reaches, and the trimmed mean discards a fifth of the rows to resist both (Bruce et al., 2020). I chose the median as the imputation centre for skewed features. A mean fill would inflate the tenure of unrecorded rows, which are lost-time more often (Section 3.4), so the bias would fall on the costliest misses.</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Sample statistics of 12 of the 20 numeric features on the 81,289 training rows; the trimmed mean cuts 10% from each tail, variance and SD (sample standard deviation) use the n - 1 denominator, prev_hours is in thousands of employee-hours,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1"/>
              </w:rPr>
              <w:t>Feature (unit)</w:t>
            </w:r>
          </w:p>
        </w:tc>
        <w:tc>
          <w:tcPr>
            <w:tcW w:type="dxa" w:w="694"/>
            <w:shd w:val="clear" w:color="auto" w:fill="E7E6E6"/>
          </w:tcPr>
          <w:p>
            <w:pPr>
              <w:jc w:val="left"/>
            </w:pPr>
            <w:r>
              <w:rPr>
                <w:b/>
              </w:rPr>
            </w:r>
            <w:r>
              <w:rPr>
                <w:rFonts w:ascii="Times New Roman" w:hAnsi="Times New Roman"/>
                <w:b/>
                <w:sz w:val="21"/>
              </w:rPr>
              <w:t>Missing %</w:t>
            </w:r>
          </w:p>
        </w:tc>
        <w:tc>
          <w:tcPr>
            <w:tcW w:type="dxa" w:w="694"/>
            <w:shd w:val="clear" w:color="auto" w:fill="E7E6E6"/>
          </w:tcPr>
          <w:p>
            <w:pPr>
              <w:jc w:val="left"/>
            </w:pPr>
            <w:r>
              <w:rPr>
                <w:b/>
              </w:rPr>
            </w:r>
            <w:r>
              <w:rPr>
                <w:rFonts w:ascii="Times New Roman" w:hAnsi="Times New Roman"/>
                <w:b/>
                <w:sz w:val="21"/>
              </w:rPr>
              <w:t>Mean</w:t>
            </w:r>
          </w:p>
        </w:tc>
        <w:tc>
          <w:tcPr>
            <w:tcW w:type="dxa" w:w="694"/>
            <w:shd w:val="clear" w:color="auto" w:fill="E7E6E6"/>
          </w:tcPr>
          <w:p>
            <w:pPr>
              <w:jc w:val="left"/>
            </w:pPr>
            <w:r>
              <w:rPr>
                <w:b/>
              </w:rPr>
            </w:r>
            <w:r>
              <w:rPr>
                <w:rFonts w:ascii="Times New Roman" w:hAnsi="Times New Roman"/>
                <w:b/>
                <w:sz w:val="21"/>
              </w:rPr>
              <w:t>Median</w:t>
            </w:r>
          </w:p>
        </w:tc>
        <w:tc>
          <w:tcPr>
            <w:tcW w:type="dxa" w:w="694"/>
            <w:shd w:val="clear" w:color="auto" w:fill="E7E6E6"/>
          </w:tcPr>
          <w:p>
            <w:pPr>
              <w:jc w:val="left"/>
            </w:pPr>
            <w:r>
              <w:rPr>
                <w:b/>
              </w:rPr>
            </w:r>
            <w:r>
              <w:rPr>
                <w:rFonts w:ascii="Times New Roman" w:hAnsi="Times New Roman"/>
                <w:b/>
                <w:sz w:val="21"/>
              </w:rPr>
              <w:t>Trimmed mean</w:t>
            </w:r>
          </w:p>
        </w:tc>
        <w:tc>
          <w:tcPr>
            <w:tcW w:type="dxa" w:w="694"/>
            <w:shd w:val="clear" w:color="auto" w:fill="E7E6E6"/>
          </w:tcPr>
          <w:p>
            <w:pPr>
              <w:jc w:val="left"/>
            </w:pPr>
            <w:r>
              <w:rPr>
                <w:b/>
              </w:rPr>
            </w:r>
            <w:r>
              <w:rPr>
                <w:rFonts w:ascii="Times New Roman" w:hAnsi="Times New Roman"/>
                <w:b/>
                <w:sz w:val="21"/>
              </w:rPr>
              <w:t>Variance</w:t>
            </w:r>
          </w:p>
        </w:tc>
        <w:tc>
          <w:tcPr>
            <w:tcW w:type="dxa" w:w="694"/>
            <w:shd w:val="clear" w:color="auto" w:fill="E7E6E6"/>
          </w:tcPr>
          <w:p>
            <w:pPr>
              <w:jc w:val="left"/>
            </w:pPr>
            <w:r>
              <w:rPr>
                <w:b/>
              </w:rPr>
            </w:r>
            <w:r>
              <w:rPr>
                <w:rFonts w:ascii="Times New Roman" w:hAnsi="Times New Roman"/>
                <w:b/>
                <w:sz w:val="21"/>
              </w:rPr>
              <w:t>SD</w:t>
            </w:r>
          </w:p>
        </w:tc>
        <w:tc>
          <w:tcPr>
            <w:tcW w:type="dxa" w:w="694"/>
            <w:shd w:val="clear" w:color="auto" w:fill="E7E6E6"/>
          </w:tcPr>
          <w:p>
            <w:pPr>
              <w:jc w:val="left"/>
            </w:pPr>
            <w:r>
              <w:rPr>
                <w:b/>
              </w:rPr>
            </w:r>
            <w:r>
              <w:rPr>
                <w:rFonts w:ascii="Times New Roman" w:hAnsi="Times New Roman"/>
                <w:b/>
                <w:sz w:val="21"/>
              </w:rPr>
              <w:t>Min</w:t>
            </w:r>
          </w:p>
        </w:tc>
        <w:tc>
          <w:tcPr>
            <w:tcW w:type="dxa" w:w="694"/>
            <w:shd w:val="clear" w:color="auto" w:fill="E7E6E6"/>
          </w:tcPr>
          <w:p>
            <w:pPr>
              <w:jc w:val="left"/>
            </w:pPr>
            <w:r>
              <w:rPr>
                <w:b/>
              </w:rPr>
            </w:r>
            <w:r>
              <w:rPr>
                <w:rFonts w:ascii="Times New Roman" w:hAnsi="Times New Roman"/>
                <w:b/>
                <w:sz w:val="21"/>
              </w:rPr>
              <w:t>Q1</w:t>
            </w:r>
          </w:p>
        </w:tc>
        <w:tc>
          <w:tcPr>
            <w:tcW w:type="dxa" w:w="694"/>
            <w:shd w:val="clear" w:color="auto" w:fill="E7E6E6"/>
          </w:tcPr>
          <w:p>
            <w:pPr>
              <w:jc w:val="left"/>
            </w:pPr>
            <w:r>
              <w:rPr>
                <w:b/>
              </w:rPr>
            </w:r>
            <w:r>
              <w:rPr>
                <w:rFonts w:ascii="Times New Roman" w:hAnsi="Times New Roman"/>
                <w:b/>
                <w:sz w:val="21"/>
              </w:rPr>
              <w:t>Q3</w:t>
            </w:r>
          </w:p>
        </w:tc>
        <w:tc>
          <w:tcPr>
            <w:tcW w:type="dxa" w:w="694"/>
            <w:shd w:val="clear" w:color="auto" w:fill="E7E6E6"/>
          </w:tcPr>
          <w:p>
            <w:pPr>
              <w:jc w:val="left"/>
            </w:pPr>
            <w:r>
              <w:rPr>
                <w:b/>
              </w:rPr>
            </w:r>
            <w:r>
              <w:rPr>
                <w:rFonts w:ascii="Times New Roman" w:hAnsi="Times New Roman"/>
                <w:b/>
                <w:sz w:val="21"/>
              </w:rPr>
              <w:t>Max</w:t>
            </w:r>
          </w:p>
        </w:tc>
        <w:tc>
          <w:tcPr>
            <w:tcW w:type="dxa" w:w="694"/>
            <w:shd w:val="clear" w:color="auto" w:fill="E7E6E6"/>
          </w:tcPr>
          <w:p>
            <w:pPr>
              <w:jc w:val="left"/>
            </w:pPr>
            <w:r>
              <w:rPr>
                <w:b/>
              </w:rPr>
            </w:r>
            <w:r>
              <w:rPr>
                <w:rFonts w:ascii="Times New Roman" w:hAnsi="Times New Roman"/>
                <w:b/>
                <w:sz w:val="21"/>
              </w:rPr>
              <w:t>IQR</w:t>
            </w:r>
          </w:p>
        </w:tc>
        <w:tc>
          <w:tcPr>
            <w:tcW w:type="dxa" w:w="694"/>
            <w:shd w:val="clear" w:color="auto" w:fill="E7E6E6"/>
          </w:tcPr>
          <w:p>
            <w:pPr>
              <w:jc w:val="left"/>
            </w:pPr>
            <w:r>
              <w:rPr>
                <w:b/>
              </w:rPr>
            </w:r>
            <w:r>
              <w:rPr>
                <w:rFonts w:ascii="Times New Roman" w:hAnsi="Times New Roman"/>
                <w:b/>
                <w:sz w:val="21"/>
              </w:rPr>
              <w:t>Skewness</w:t>
            </w:r>
          </w:p>
        </w:tc>
      </w:tr>
      <w:tr>
        <w:tc>
          <w:tcPr>
            <w:tcW w:type="dxa" w:w="694"/>
          </w:tcPr>
          <w:p>
            <w:pPr>
              <w:spacing w:after="0"/>
              <w:jc w:val="left"/>
            </w:pPr>
            <w:r/>
            <w:r>
              <w:rPr>
                <w:rFonts w:ascii="Times New Roman" w:hAnsi="Times New Roman"/>
                <w:sz w:val="21"/>
              </w:rPr>
              <w:t>TOT_EXPER (years)</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9.8</w:t>
            </w:r>
          </w:p>
        </w:tc>
        <w:tc>
          <w:tcPr>
            <w:tcW w:type="dxa" w:w="694"/>
          </w:tcPr>
          <w:p>
            <w:pPr>
              <w:spacing w:after="0"/>
              <w:jc w:val="left"/>
            </w:pPr>
            <w:r/>
            <w:r>
              <w:rPr>
                <w:rFonts w:ascii="Times New Roman" w:hAnsi="Times New Roman"/>
                <w:sz w:val="21"/>
              </w:rPr>
              <w:t>6.0</w:t>
            </w:r>
          </w:p>
        </w:tc>
        <w:tc>
          <w:tcPr>
            <w:tcW w:type="dxa" w:w="694"/>
          </w:tcPr>
          <w:p>
            <w:pPr>
              <w:spacing w:after="0"/>
              <w:jc w:val="left"/>
            </w:pPr>
            <w:r/>
            <w:r>
              <w:rPr>
                <w:rFonts w:ascii="Times New Roman" w:hAnsi="Times New Roman"/>
                <w:sz w:val="21"/>
              </w:rPr>
              <w:t>8.0</w:t>
            </w:r>
          </w:p>
        </w:tc>
        <w:tc>
          <w:tcPr>
            <w:tcW w:type="dxa" w:w="694"/>
          </w:tcPr>
          <w:p>
            <w:pPr>
              <w:spacing w:after="0"/>
              <w:jc w:val="left"/>
            </w:pPr>
            <w:r/>
            <w:r>
              <w:rPr>
                <w:rFonts w:ascii="Times New Roman" w:hAnsi="Times New Roman"/>
                <w:sz w:val="21"/>
              </w:rPr>
              <w:t>108.6</w:t>
            </w:r>
          </w:p>
        </w:tc>
        <w:tc>
          <w:tcPr>
            <w:tcW w:type="dxa" w:w="694"/>
          </w:tcPr>
          <w:p>
            <w:pPr>
              <w:spacing w:after="0"/>
              <w:jc w:val="left"/>
            </w:pPr>
            <w:r/>
            <w:r>
              <w:rPr>
                <w:rFonts w:ascii="Times New Roman" w:hAnsi="Times New Roman"/>
                <w:sz w:val="21"/>
              </w:rPr>
              <w:t>10.4</w:t>
            </w:r>
          </w:p>
        </w:tc>
        <w:tc>
          <w:tcPr>
            <w:tcW w:type="dxa" w:w="694"/>
          </w:tcPr>
          <w:p>
            <w:pPr>
              <w:spacing w:after="0"/>
              <w:jc w:val="left"/>
            </w:pPr>
            <w:r/>
            <w:r>
              <w:rPr>
                <w:rFonts w:ascii="Times New Roman" w:hAnsi="Times New Roman"/>
                <w:sz w:val="21"/>
              </w:rPr>
              <w:t>0.02</w:t>
            </w:r>
          </w:p>
        </w:tc>
        <w:tc>
          <w:tcPr>
            <w:tcW w:type="dxa" w:w="694"/>
          </w:tcPr>
          <w:p>
            <w:pPr>
              <w:spacing w:after="0"/>
              <w:jc w:val="left"/>
            </w:pPr>
            <w:r/>
            <w:r>
              <w:rPr>
                <w:rFonts w:ascii="Times New Roman" w:hAnsi="Times New Roman"/>
                <w:sz w:val="21"/>
              </w:rPr>
              <w:t>1.9</w:t>
            </w:r>
          </w:p>
        </w:tc>
        <w:tc>
          <w:tcPr>
            <w:tcW w:type="dxa" w:w="694"/>
          </w:tcPr>
          <w:p>
            <w:pPr>
              <w:spacing w:after="0"/>
              <w:jc w:val="left"/>
            </w:pPr>
            <w:r/>
            <w:r>
              <w:rPr>
                <w:rFonts w:ascii="Times New Roman" w:hAnsi="Times New Roman"/>
                <w:sz w:val="21"/>
              </w:rPr>
              <w:t>14.4</w:t>
            </w:r>
          </w:p>
        </w:tc>
        <w:tc>
          <w:tcPr>
            <w:tcW w:type="dxa" w:w="694"/>
          </w:tcPr>
          <w:p>
            <w:pPr>
              <w:spacing w:after="0"/>
              <w:jc w:val="left"/>
            </w:pPr>
            <w:r/>
            <w:r>
              <w:rPr>
                <w:rFonts w:ascii="Times New Roman" w:hAnsi="Times New Roman"/>
                <w:sz w:val="21"/>
              </w:rPr>
              <w:t>60.0</w:t>
            </w:r>
          </w:p>
        </w:tc>
        <w:tc>
          <w:tcPr>
            <w:tcW w:type="dxa" w:w="694"/>
          </w:tcPr>
          <w:p>
            <w:pPr>
              <w:spacing w:after="0"/>
              <w:jc w:val="left"/>
            </w:pPr>
            <w:r/>
            <w:r>
              <w:rPr>
                <w:rFonts w:ascii="Times New Roman" w:hAnsi="Times New Roman"/>
                <w:sz w:val="21"/>
              </w:rPr>
              <w:t>12.5</w:t>
            </w:r>
          </w:p>
        </w:tc>
        <w:tc>
          <w:tcPr>
            <w:tcW w:type="dxa" w:w="694"/>
          </w:tcPr>
          <w:p>
            <w:pPr>
              <w:spacing w:after="0"/>
              <w:jc w:val="left"/>
            </w:pPr>
            <w:r/>
            <w:r>
              <w:rPr>
                <w:rFonts w:ascii="Times New Roman" w:hAnsi="Times New Roman"/>
                <w:sz w:val="21"/>
              </w:rPr>
              <w:t>1.37</w:t>
            </w:r>
          </w:p>
        </w:tc>
      </w:tr>
      <w:tr>
        <w:tc>
          <w:tcPr>
            <w:tcW w:type="dxa" w:w="694"/>
          </w:tcPr>
          <w:p>
            <w:pPr>
              <w:spacing w:after="0"/>
              <w:jc w:val="left"/>
            </w:pPr>
            <w:r/>
            <w:r>
              <w:rPr>
                <w:rFonts w:ascii="Times New Roman" w:hAnsi="Times New Roman"/>
                <w:sz w:val="21"/>
              </w:rPr>
              <w:t>log1p_tot_exper</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1.89</w:t>
            </w:r>
          </w:p>
        </w:tc>
        <w:tc>
          <w:tcPr>
            <w:tcW w:type="dxa" w:w="694"/>
          </w:tcPr>
          <w:p>
            <w:pPr>
              <w:spacing w:after="0"/>
              <w:jc w:val="left"/>
            </w:pPr>
            <w:r/>
            <w:r>
              <w:rPr>
                <w:rFonts w:ascii="Times New Roman" w:hAnsi="Times New Roman"/>
                <w:sz w:val="21"/>
              </w:rPr>
              <w:t>1.95</w:t>
            </w:r>
          </w:p>
        </w:tc>
        <w:tc>
          <w:tcPr>
            <w:tcW w:type="dxa" w:w="694"/>
          </w:tcPr>
          <w:p>
            <w:pPr>
              <w:spacing w:after="0"/>
              <w:jc w:val="left"/>
            </w:pPr>
            <w:r/>
            <w:r>
              <w:rPr>
                <w:rFonts w:ascii="Times New Roman" w:hAnsi="Times New Roman"/>
                <w:sz w:val="21"/>
              </w:rPr>
              <w:t>1.90</w:t>
            </w:r>
          </w:p>
        </w:tc>
        <w:tc>
          <w:tcPr>
            <w:tcW w:type="dxa" w:w="694"/>
          </w:tcPr>
          <w:p>
            <w:pPr>
              <w:spacing w:after="0"/>
              <w:jc w:val="left"/>
            </w:pPr>
            <w:r/>
            <w:r>
              <w:rPr>
                <w:rFonts w:ascii="Times New Roman" w:hAnsi="Times New Roman"/>
                <w:sz w:val="21"/>
              </w:rPr>
              <w:t>1.09</w:t>
            </w:r>
          </w:p>
        </w:tc>
        <w:tc>
          <w:tcPr>
            <w:tcW w:type="dxa" w:w="694"/>
          </w:tcPr>
          <w:p>
            <w:pPr>
              <w:spacing w:after="0"/>
              <w:jc w:val="left"/>
            </w:pPr>
            <w:r/>
            <w:r>
              <w:rPr>
                <w:rFonts w:ascii="Times New Roman" w:hAnsi="Times New Roman"/>
                <w:sz w:val="21"/>
              </w:rPr>
              <w:t>1.04</w:t>
            </w:r>
          </w:p>
        </w:tc>
        <w:tc>
          <w:tcPr>
            <w:tcW w:type="dxa" w:w="694"/>
          </w:tcPr>
          <w:p>
            <w:pPr>
              <w:spacing w:after="0"/>
              <w:jc w:val="left"/>
            </w:pPr>
            <w:r/>
            <w:r>
              <w:rPr>
                <w:rFonts w:ascii="Times New Roman" w:hAnsi="Times New Roman"/>
                <w:sz w:val="21"/>
              </w:rPr>
              <w:t>0.02</w:t>
            </w:r>
          </w:p>
        </w:tc>
        <w:tc>
          <w:tcPr>
            <w:tcW w:type="dxa" w:w="694"/>
          </w:tcPr>
          <w:p>
            <w:pPr>
              <w:spacing w:after="0"/>
              <w:jc w:val="left"/>
            </w:pPr>
            <w:r/>
            <w:r>
              <w:rPr>
                <w:rFonts w:ascii="Times New Roman" w:hAnsi="Times New Roman"/>
                <w:sz w:val="21"/>
              </w:rPr>
              <w:t>1.07</w:t>
            </w:r>
          </w:p>
        </w:tc>
        <w:tc>
          <w:tcPr>
            <w:tcW w:type="dxa" w:w="694"/>
          </w:tcPr>
          <w:p>
            <w:pPr>
              <w:spacing w:after="0"/>
              <w:jc w:val="left"/>
            </w:pPr>
            <w:r/>
            <w:r>
              <w:rPr>
                <w:rFonts w:ascii="Times New Roman" w:hAnsi="Times New Roman"/>
                <w:sz w:val="21"/>
              </w:rPr>
              <w:t>2.74</w:t>
            </w:r>
          </w:p>
        </w:tc>
        <w:tc>
          <w:tcPr>
            <w:tcW w:type="dxa" w:w="694"/>
          </w:tcPr>
          <w:p>
            <w:pPr>
              <w:spacing w:after="0"/>
              <w:jc w:val="left"/>
            </w:pPr>
            <w:r/>
            <w:r>
              <w:rPr>
                <w:rFonts w:ascii="Times New Roman" w:hAnsi="Times New Roman"/>
                <w:sz w:val="21"/>
              </w:rPr>
              <w:t>4.11</w:t>
            </w:r>
          </w:p>
        </w:tc>
        <w:tc>
          <w:tcPr>
            <w:tcW w:type="dxa" w:w="694"/>
          </w:tcPr>
          <w:p>
            <w:pPr>
              <w:spacing w:after="0"/>
              <w:jc w:val="left"/>
            </w:pPr>
            <w:r/>
            <w:r>
              <w:rPr>
                <w:rFonts w:ascii="Times New Roman" w:hAnsi="Times New Roman"/>
                <w:sz w:val="21"/>
              </w:rPr>
              <w:t>1.66</w:t>
            </w:r>
          </w:p>
        </w:tc>
        <w:tc>
          <w:tcPr>
            <w:tcW w:type="dxa" w:w="694"/>
          </w:tcPr>
          <w:p>
            <w:pPr>
              <w:spacing w:after="0"/>
              <w:jc w:val="left"/>
            </w:pPr>
            <w:r/>
            <w:r>
              <w:rPr>
                <w:rFonts w:ascii="Times New Roman" w:hAnsi="Times New Roman"/>
                <w:sz w:val="21"/>
              </w:rPr>
              <w:t>-0.07</w:t>
            </w:r>
          </w:p>
        </w:tc>
      </w:tr>
      <w:tr>
        <w:tc>
          <w:tcPr>
            <w:tcW w:type="dxa" w:w="694"/>
          </w:tcPr>
          <w:p>
            <w:pPr>
              <w:spacing w:after="0"/>
              <w:jc w:val="left"/>
            </w:pPr>
            <w:r/>
            <w:r>
              <w:rPr>
                <w:rFonts w:ascii="Times New Roman" w:hAnsi="Times New Roman"/>
                <w:sz w:val="21"/>
              </w:rPr>
              <w:t>MINE_EXPER (years)</w:t>
            </w:r>
          </w:p>
        </w:tc>
        <w:tc>
          <w:tcPr>
            <w:tcW w:type="dxa" w:w="694"/>
          </w:tcPr>
          <w:p>
            <w:pPr>
              <w:spacing w:after="0"/>
              <w:jc w:val="left"/>
            </w:pPr>
            <w:r/>
            <w:r>
              <w:rPr>
                <w:rFonts w:ascii="Times New Roman" w:hAnsi="Times New Roman"/>
                <w:sz w:val="21"/>
              </w:rPr>
              <w:t>1.4</w:t>
            </w:r>
          </w:p>
        </w:tc>
        <w:tc>
          <w:tcPr>
            <w:tcW w:type="dxa" w:w="694"/>
          </w:tcPr>
          <w:p>
            <w:pPr>
              <w:spacing w:after="0"/>
              <w:jc w:val="left"/>
            </w:pPr>
            <w:r/>
            <w:r>
              <w:rPr>
                <w:rFonts w:ascii="Times New Roman" w:hAnsi="Times New Roman"/>
                <w:sz w:val="21"/>
              </w:rPr>
              <w:t>5.8</w:t>
            </w:r>
          </w:p>
        </w:tc>
        <w:tc>
          <w:tcPr>
            <w:tcW w:type="dxa" w:w="694"/>
          </w:tcPr>
          <w:p>
            <w:pPr>
              <w:spacing w:after="0"/>
              <w:jc w:val="left"/>
            </w:pPr>
            <w:r/>
            <w:r>
              <w:rPr>
                <w:rFonts w:ascii="Times New Roman" w:hAnsi="Times New Roman"/>
                <w:sz w:val="21"/>
              </w:rPr>
              <w:t>2.6</w:t>
            </w:r>
          </w:p>
        </w:tc>
        <w:tc>
          <w:tcPr>
            <w:tcW w:type="dxa" w:w="694"/>
          </w:tcPr>
          <w:p>
            <w:pPr>
              <w:spacing w:after="0"/>
              <w:jc w:val="left"/>
            </w:pPr>
            <w:r/>
            <w:r>
              <w:rPr>
                <w:rFonts w:ascii="Times New Roman" w:hAnsi="Times New Roman"/>
                <w:sz w:val="21"/>
              </w:rPr>
              <w:t>4.0</w:t>
            </w:r>
          </w:p>
        </w:tc>
        <w:tc>
          <w:tcPr>
            <w:tcW w:type="dxa" w:w="694"/>
          </w:tcPr>
          <w:p>
            <w:pPr>
              <w:spacing w:after="0"/>
              <w:jc w:val="left"/>
            </w:pPr>
            <w:r/>
            <w:r>
              <w:rPr>
                <w:rFonts w:ascii="Times New Roman" w:hAnsi="Times New Roman"/>
                <w:sz w:val="21"/>
              </w:rPr>
              <w:t>64.6</w:t>
            </w:r>
          </w:p>
        </w:tc>
        <w:tc>
          <w:tcPr>
            <w:tcW w:type="dxa" w:w="694"/>
          </w:tcPr>
          <w:p>
            <w:pPr>
              <w:spacing w:after="0"/>
              <w:jc w:val="left"/>
            </w:pPr>
            <w:r/>
            <w:r>
              <w:rPr>
                <w:rFonts w:ascii="Times New Roman" w:hAnsi="Times New Roman"/>
                <w:sz w:val="21"/>
              </w:rPr>
              <w:t>8.0</w:t>
            </w:r>
          </w:p>
        </w:tc>
        <w:tc>
          <w:tcPr>
            <w:tcW w:type="dxa" w:w="694"/>
          </w:tcPr>
          <w:p>
            <w:pPr>
              <w:spacing w:after="0"/>
              <w:jc w:val="left"/>
            </w:pPr>
            <w:r/>
            <w:r>
              <w:rPr>
                <w:rFonts w:ascii="Times New Roman" w:hAnsi="Times New Roman"/>
                <w:sz w:val="21"/>
              </w:rPr>
              <w:t>0.02</w:t>
            </w:r>
          </w:p>
        </w:tc>
        <w:tc>
          <w:tcPr>
            <w:tcW w:type="dxa" w:w="694"/>
          </w:tcPr>
          <w:p>
            <w:pPr>
              <w:spacing w:after="0"/>
              <w:jc w:val="left"/>
            </w:pPr>
            <w:r/>
            <w:r>
              <w:rPr>
                <w:rFonts w:ascii="Times New Roman" w:hAnsi="Times New Roman"/>
                <w:sz w:val="21"/>
              </w:rPr>
              <w:t>0.7</w:t>
            </w:r>
          </w:p>
        </w:tc>
        <w:tc>
          <w:tcPr>
            <w:tcW w:type="dxa" w:w="694"/>
          </w:tcPr>
          <w:p>
            <w:pPr>
              <w:spacing w:after="0"/>
              <w:jc w:val="left"/>
            </w:pPr>
            <w:r/>
            <w:r>
              <w:rPr>
                <w:rFonts w:ascii="Times New Roman" w:hAnsi="Times New Roman"/>
                <w:sz w:val="21"/>
              </w:rPr>
              <w:t>7.5</w:t>
            </w:r>
          </w:p>
        </w:tc>
        <w:tc>
          <w:tcPr>
            <w:tcW w:type="dxa" w:w="694"/>
          </w:tcPr>
          <w:p>
            <w:pPr>
              <w:spacing w:after="0"/>
              <w:jc w:val="left"/>
            </w:pPr>
            <w:r/>
            <w:r>
              <w:rPr>
                <w:rFonts w:ascii="Times New Roman" w:hAnsi="Times New Roman"/>
                <w:sz w:val="21"/>
              </w:rPr>
              <w:t>58.0</w:t>
            </w:r>
          </w:p>
        </w:tc>
        <w:tc>
          <w:tcPr>
            <w:tcW w:type="dxa" w:w="694"/>
          </w:tcPr>
          <w:p>
            <w:pPr>
              <w:spacing w:after="0"/>
              <w:jc w:val="left"/>
            </w:pPr>
            <w:r/>
            <w:r>
              <w:rPr>
                <w:rFonts w:ascii="Times New Roman" w:hAnsi="Times New Roman"/>
                <w:sz w:val="21"/>
              </w:rPr>
              <w:t>6.8</w:t>
            </w:r>
          </w:p>
        </w:tc>
        <w:tc>
          <w:tcPr>
            <w:tcW w:type="dxa" w:w="694"/>
          </w:tcPr>
          <w:p>
            <w:pPr>
              <w:spacing w:after="0"/>
              <w:jc w:val="left"/>
            </w:pPr>
            <w:r/>
            <w:r>
              <w:rPr>
                <w:rFonts w:ascii="Times New Roman" w:hAnsi="Times New Roman"/>
                <w:sz w:val="21"/>
              </w:rPr>
              <w:t>2.25</w:t>
            </w:r>
          </w:p>
        </w:tc>
      </w:tr>
      <w:tr>
        <w:tc>
          <w:tcPr>
            <w:tcW w:type="dxa" w:w="694"/>
          </w:tcPr>
          <w:p>
            <w:pPr>
              <w:spacing w:after="0"/>
              <w:jc w:val="left"/>
            </w:pPr>
            <w:r/>
            <w:r>
              <w:rPr>
                <w:rFonts w:ascii="Times New Roman" w:hAnsi="Times New Roman"/>
                <w:sz w:val="21"/>
              </w:rPr>
              <w:t>JOB_EXPER (years)</w:t>
            </w:r>
          </w:p>
        </w:tc>
        <w:tc>
          <w:tcPr>
            <w:tcW w:type="dxa" w:w="694"/>
          </w:tcPr>
          <w:p>
            <w:pPr>
              <w:spacing w:after="0"/>
              <w:jc w:val="left"/>
            </w:pPr>
            <w:r/>
            <w:r>
              <w:rPr>
                <w:rFonts w:ascii="Times New Roman" w:hAnsi="Times New Roman"/>
                <w:sz w:val="21"/>
              </w:rPr>
              <w:t>4.5</w:t>
            </w:r>
          </w:p>
        </w:tc>
        <w:tc>
          <w:tcPr>
            <w:tcW w:type="dxa" w:w="694"/>
          </w:tcPr>
          <w:p>
            <w:pPr>
              <w:spacing w:after="0"/>
              <w:jc w:val="left"/>
            </w:pPr>
            <w:r/>
            <w:r>
              <w:rPr>
                <w:rFonts w:ascii="Times New Roman" w:hAnsi="Times New Roman"/>
                <w:sz w:val="21"/>
              </w:rPr>
              <w:t>6.2</w:t>
            </w:r>
          </w:p>
        </w:tc>
        <w:tc>
          <w:tcPr>
            <w:tcW w:type="dxa" w:w="694"/>
          </w:tcPr>
          <w:p>
            <w:pPr>
              <w:spacing w:after="0"/>
              <w:jc w:val="left"/>
            </w:pPr>
            <w:r/>
            <w:r>
              <w:rPr>
                <w:rFonts w:ascii="Times New Roman" w:hAnsi="Times New Roman"/>
                <w:sz w:val="21"/>
              </w:rPr>
              <w:t>3.0</w:t>
            </w:r>
          </w:p>
        </w:tc>
        <w:tc>
          <w:tcPr>
            <w:tcW w:type="dxa" w:w="694"/>
          </w:tcPr>
          <w:p>
            <w:pPr>
              <w:spacing w:after="0"/>
              <w:jc w:val="left"/>
            </w:pPr>
            <w:r/>
            <w:r>
              <w:rPr>
                <w:rFonts w:ascii="Times New Roman" w:hAnsi="Times New Roman"/>
                <w:sz w:val="21"/>
              </w:rPr>
              <w:t>4.5</w:t>
            </w:r>
          </w:p>
        </w:tc>
        <w:tc>
          <w:tcPr>
            <w:tcW w:type="dxa" w:w="694"/>
          </w:tcPr>
          <w:p>
            <w:pPr>
              <w:spacing w:after="0"/>
              <w:jc w:val="left"/>
            </w:pPr>
            <w:r/>
            <w:r>
              <w:rPr>
                <w:rFonts w:ascii="Times New Roman" w:hAnsi="Times New Roman"/>
                <w:sz w:val="21"/>
              </w:rPr>
              <w:t>65.0</w:t>
            </w:r>
          </w:p>
        </w:tc>
        <w:tc>
          <w:tcPr>
            <w:tcW w:type="dxa" w:w="694"/>
          </w:tcPr>
          <w:p>
            <w:pPr>
              <w:spacing w:after="0"/>
              <w:jc w:val="left"/>
            </w:pPr>
            <w:r/>
            <w:r>
              <w:rPr>
                <w:rFonts w:ascii="Times New Roman" w:hAnsi="Times New Roman"/>
                <w:sz w:val="21"/>
              </w:rPr>
              <w:t>8.1</w:t>
            </w:r>
          </w:p>
        </w:tc>
        <w:tc>
          <w:tcPr>
            <w:tcW w:type="dxa" w:w="694"/>
          </w:tcPr>
          <w:p>
            <w:pPr>
              <w:spacing w:after="0"/>
              <w:jc w:val="left"/>
            </w:pPr>
            <w:r/>
            <w:r>
              <w:rPr>
                <w:rFonts w:ascii="Times New Roman" w:hAnsi="Times New Roman"/>
                <w:sz w:val="21"/>
              </w:rPr>
              <w:t>0.02</w:t>
            </w:r>
          </w:p>
        </w:tc>
        <w:tc>
          <w:tcPr>
            <w:tcW w:type="dxa" w:w="694"/>
          </w:tcPr>
          <w:p>
            <w:pPr>
              <w:spacing w:after="0"/>
              <w:jc w:val="left"/>
            </w:pPr>
            <w:r/>
            <w:r>
              <w:rPr>
                <w:rFonts w:ascii="Times New Roman" w:hAnsi="Times New Roman"/>
                <w:sz w:val="21"/>
              </w:rPr>
              <w:t>0.9</w:t>
            </w:r>
          </w:p>
        </w:tc>
        <w:tc>
          <w:tcPr>
            <w:tcW w:type="dxa" w:w="694"/>
          </w:tcPr>
          <w:p>
            <w:pPr>
              <w:spacing w:after="0"/>
              <w:jc w:val="left"/>
            </w:pPr>
            <w:r/>
            <w:r>
              <w:rPr>
                <w:rFonts w:ascii="Times New Roman" w:hAnsi="Times New Roman"/>
                <w:sz w:val="21"/>
              </w:rPr>
              <w:t>8.1</w:t>
            </w:r>
          </w:p>
        </w:tc>
        <w:tc>
          <w:tcPr>
            <w:tcW w:type="dxa" w:w="694"/>
          </w:tcPr>
          <w:p>
            <w:pPr>
              <w:spacing w:after="0"/>
              <w:jc w:val="left"/>
            </w:pPr>
            <w:r/>
            <w:r>
              <w:rPr>
                <w:rFonts w:ascii="Times New Roman" w:hAnsi="Times New Roman"/>
                <w:sz w:val="21"/>
              </w:rPr>
              <w:t>60.0</w:t>
            </w:r>
          </w:p>
        </w:tc>
        <w:tc>
          <w:tcPr>
            <w:tcW w:type="dxa" w:w="694"/>
          </w:tcPr>
          <w:p>
            <w:pPr>
              <w:spacing w:after="0"/>
              <w:jc w:val="left"/>
            </w:pPr>
            <w:r/>
            <w:r>
              <w:rPr>
                <w:rFonts w:ascii="Times New Roman" w:hAnsi="Times New Roman"/>
                <w:sz w:val="21"/>
              </w:rPr>
              <w:t>7.1</w:t>
            </w:r>
          </w:p>
        </w:tc>
        <w:tc>
          <w:tcPr>
            <w:tcW w:type="dxa" w:w="694"/>
          </w:tcPr>
          <w:p>
            <w:pPr>
              <w:spacing w:after="0"/>
              <w:jc w:val="left"/>
            </w:pPr>
            <w:r/>
            <w:r>
              <w:rPr>
                <w:rFonts w:ascii="Times New Roman" w:hAnsi="Times New Roman"/>
                <w:sz w:val="21"/>
              </w:rPr>
              <w:t>2.09</w:t>
            </w:r>
          </w:p>
        </w:tc>
      </w:tr>
      <w:tr>
        <w:tc>
          <w:tcPr>
            <w:tcW w:type="dxa" w:w="694"/>
          </w:tcPr>
          <w:p>
            <w:pPr>
              <w:spacing w:after="0"/>
              <w:jc w:val="left"/>
            </w:pPr>
            <w:r/>
            <w:r>
              <w:rPr>
                <w:rFonts w:ascii="Times New Roman" w:hAnsi="Times New Roman"/>
                <w:sz w:val="21"/>
              </w:rPr>
              <w:t>exper_ratio_mine (ratio)</w:t>
            </w:r>
          </w:p>
        </w:tc>
        <w:tc>
          <w:tcPr>
            <w:tcW w:type="dxa" w:w="694"/>
          </w:tcPr>
          <w:p>
            <w:pPr>
              <w:spacing w:after="0"/>
              <w:jc w:val="left"/>
            </w:pPr>
            <w:r/>
            <w:r>
              <w:rPr>
                <w:rFonts w:ascii="Times New Roman" w:hAnsi="Times New Roman"/>
                <w:sz w:val="21"/>
              </w:rPr>
              <w:t>1.7</w:t>
            </w:r>
          </w:p>
        </w:tc>
        <w:tc>
          <w:tcPr>
            <w:tcW w:type="dxa" w:w="694"/>
          </w:tcPr>
          <w:p>
            <w:pPr>
              <w:spacing w:after="0"/>
              <w:jc w:val="left"/>
            </w:pPr>
            <w:r/>
            <w:r>
              <w:rPr>
                <w:rFonts w:ascii="Times New Roman" w:hAnsi="Times New Roman"/>
                <w:sz w:val="21"/>
              </w:rPr>
              <w:t>0.72</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0.77</w:t>
            </w:r>
          </w:p>
        </w:tc>
        <w:tc>
          <w:tcPr>
            <w:tcW w:type="dxa" w:w="694"/>
          </w:tcPr>
          <w:p>
            <w:pPr>
              <w:spacing w:after="0"/>
              <w:jc w:val="left"/>
            </w:pPr>
            <w:r/>
            <w:r>
              <w:rPr>
                <w:rFonts w:ascii="Times New Roman" w:hAnsi="Times New Roman"/>
                <w:sz w:val="21"/>
              </w:rPr>
              <w:t>0.15</w:t>
            </w:r>
          </w:p>
        </w:tc>
        <w:tc>
          <w:tcPr>
            <w:tcW w:type="dxa" w:w="694"/>
          </w:tcPr>
          <w:p>
            <w:pPr>
              <w:spacing w:after="0"/>
              <w:jc w:val="left"/>
            </w:pPr>
            <w:r/>
            <w:r>
              <w:rPr>
                <w:rFonts w:ascii="Times New Roman" w:hAnsi="Times New Roman"/>
                <w:sz w:val="21"/>
              </w:rPr>
              <w:t>0.38</w:t>
            </w:r>
          </w:p>
        </w:tc>
        <w:tc>
          <w:tcPr>
            <w:tcW w:type="dxa" w:w="694"/>
          </w:tcPr>
          <w:p>
            <w:pPr>
              <w:spacing w:after="0"/>
              <w:jc w:val="left"/>
            </w:pPr>
            <w:r/>
            <w:r>
              <w:rPr>
                <w:rFonts w:ascii="Times New Roman" w:hAnsi="Times New Roman"/>
                <w:sz w:val="21"/>
              </w:rPr>
              <w:t>0.00</w:t>
            </w:r>
          </w:p>
        </w:tc>
        <w:tc>
          <w:tcPr>
            <w:tcW w:type="dxa" w:w="694"/>
          </w:tcPr>
          <w:p>
            <w:pPr>
              <w:spacing w:after="0"/>
              <w:jc w:val="left"/>
            </w:pPr>
            <w:r/>
            <w:r>
              <w:rPr>
                <w:rFonts w:ascii="Times New Roman" w:hAnsi="Times New Roman"/>
                <w:sz w:val="21"/>
              </w:rPr>
              <w:t>0.33</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0.67</w:t>
            </w:r>
          </w:p>
        </w:tc>
        <w:tc>
          <w:tcPr>
            <w:tcW w:type="dxa" w:w="694"/>
          </w:tcPr>
          <w:p>
            <w:pPr>
              <w:spacing w:after="0"/>
              <w:jc w:val="left"/>
            </w:pPr>
            <w:r/>
            <w:r>
              <w:rPr>
                <w:rFonts w:ascii="Times New Roman" w:hAnsi="Times New Roman"/>
                <w:sz w:val="21"/>
              </w:rPr>
              <w:t>-0.83</w:t>
            </w:r>
          </w:p>
        </w:tc>
      </w:tr>
      <w:tr>
        <w:tc>
          <w:tcPr>
            <w:tcW w:type="dxa" w:w="694"/>
          </w:tcPr>
          <w:p>
            <w:pPr>
              <w:spacing w:after="0"/>
              <w:jc w:val="left"/>
            </w:pPr>
            <w:r/>
            <w:r>
              <w:rPr>
                <w:rFonts w:ascii="Times New Roman" w:hAnsi="Times New Roman"/>
                <w:sz w:val="21"/>
              </w:rPr>
              <w:t>hours_into_shift (hours)</w:t>
            </w:r>
          </w:p>
        </w:tc>
        <w:tc>
          <w:tcPr>
            <w:tcW w:type="dxa" w:w="694"/>
          </w:tcPr>
          <w:p>
            <w:pPr>
              <w:spacing w:after="0"/>
              <w:jc w:val="left"/>
            </w:pPr>
            <w:r/>
            <w:r>
              <w:rPr>
                <w:rFonts w:ascii="Times New Roman" w:hAnsi="Times New Roman"/>
                <w:sz w:val="21"/>
              </w:rPr>
              <w:t>3.8</w:t>
            </w:r>
          </w:p>
        </w:tc>
        <w:tc>
          <w:tcPr>
            <w:tcW w:type="dxa" w:w="694"/>
          </w:tcPr>
          <w:p>
            <w:pPr>
              <w:spacing w:after="0"/>
              <w:jc w:val="left"/>
            </w:pPr>
            <w:r/>
            <w:r>
              <w:rPr>
                <w:rFonts w:ascii="Times New Roman" w:hAnsi="Times New Roman"/>
                <w:sz w:val="21"/>
              </w:rPr>
              <w:t>4.8</w:t>
            </w:r>
          </w:p>
        </w:tc>
        <w:tc>
          <w:tcPr>
            <w:tcW w:type="dxa" w:w="694"/>
          </w:tcPr>
          <w:p>
            <w:pPr>
              <w:spacing w:after="0"/>
              <w:jc w:val="left"/>
            </w:pPr>
            <w:r/>
            <w:r>
              <w:rPr>
                <w:rFonts w:ascii="Times New Roman" w:hAnsi="Times New Roman"/>
                <w:sz w:val="21"/>
              </w:rPr>
              <w:t>4.5</w:t>
            </w:r>
          </w:p>
        </w:tc>
        <w:tc>
          <w:tcPr>
            <w:tcW w:type="dxa" w:w="694"/>
          </w:tcPr>
          <w:p>
            <w:pPr>
              <w:spacing w:after="0"/>
              <w:jc w:val="left"/>
            </w:pPr>
            <w:r/>
            <w:r>
              <w:rPr>
                <w:rFonts w:ascii="Times New Roman" w:hAnsi="Times New Roman"/>
                <w:sz w:val="21"/>
              </w:rPr>
              <w:t>4.7</w:t>
            </w:r>
          </w:p>
        </w:tc>
        <w:tc>
          <w:tcPr>
            <w:tcW w:type="dxa" w:w="694"/>
          </w:tcPr>
          <w:p>
            <w:pPr>
              <w:spacing w:after="0"/>
              <w:jc w:val="left"/>
            </w:pPr>
            <w:r/>
            <w:r>
              <w:rPr>
                <w:rFonts w:ascii="Times New Roman" w:hAnsi="Times New Roman"/>
                <w:sz w:val="21"/>
              </w:rPr>
              <w:t>8.4</w:t>
            </w:r>
          </w:p>
        </w:tc>
        <w:tc>
          <w:tcPr>
            <w:tcW w:type="dxa" w:w="694"/>
          </w:tcPr>
          <w:p>
            <w:pPr>
              <w:spacing w:after="0"/>
              <w:jc w:val="left"/>
            </w:pPr>
            <w:r/>
            <w:r>
              <w:rPr>
                <w:rFonts w:ascii="Times New Roman" w:hAnsi="Times New Roman"/>
                <w:sz w:val="21"/>
              </w:rPr>
              <w:t>2.9</w:t>
            </w:r>
          </w:p>
        </w:tc>
        <w:tc>
          <w:tcPr>
            <w:tcW w:type="dxa" w:w="694"/>
          </w:tcPr>
          <w:p>
            <w:pPr>
              <w:spacing w:after="0"/>
              <w:jc w:val="left"/>
            </w:pPr>
            <w:r/>
            <w:r>
              <w:rPr>
                <w:rFonts w:ascii="Times New Roman" w:hAnsi="Times New Roman"/>
                <w:sz w:val="21"/>
              </w:rPr>
              <w:t>0.0</w:t>
            </w:r>
          </w:p>
        </w:tc>
        <w:tc>
          <w:tcPr>
            <w:tcW w:type="dxa" w:w="694"/>
          </w:tcPr>
          <w:p>
            <w:pPr>
              <w:spacing w:after="0"/>
              <w:jc w:val="left"/>
            </w:pPr>
            <w:r/>
            <w:r>
              <w:rPr>
                <w:rFonts w:ascii="Times New Roman" w:hAnsi="Times New Roman"/>
                <w:sz w:val="21"/>
              </w:rPr>
              <w:t>2.5</w:t>
            </w:r>
          </w:p>
        </w:tc>
        <w:tc>
          <w:tcPr>
            <w:tcW w:type="dxa" w:w="694"/>
          </w:tcPr>
          <w:p>
            <w:pPr>
              <w:spacing w:after="0"/>
              <w:jc w:val="left"/>
            </w:pPr>
            <w:r/>
            <w:r>
              <w:rPr>
                <w:rFonts w:ascii="Times New Roman" w:hAnsi="Times New Roman"/>
                <w:sz w:val="21"/>
              </w:rPr>
              <w:t>7.0</w:t>
            </w:r>
          </w:p>
        </w:tc>
        <w:tc>
          <w:tcPr>
            <w:tcW w:type="dxa" w:w="694"/>
          </w:tcPr>
          <w:p>
            <w:pPr>
              <w:spacing w:after="0"/>
              <w:jc w:val="left"/>
            </w:pPr>
            <w:r/>
            <w:r>
              <w:rPr>
                <w:rFonts w:ascii="Times New Roman" w:hAnsi="Times New Roman"/>
                <w:sz w:val="21"/>
              </w:rPr>
              <w:t>16.0</w:t>
            </w:r>
          </w:p>
        </w:tc>
        <w:tc>
          <w:tcPr>
            <w:tcW w:type="dxa" w:w="694"/>
          </w:tcPr>
          <w:p>
            <w:pPr>
              <w:spacing w:after="0"/>
              <w:jc w:val="left"/>
            </w:pPr>
            <w:r/>
            <w:r>
              <w:rPr>
                <w:rFonts w:ascii="Times New Roman" w:hAnsi="Times New Roman"/>
                <w:sz w:val="21"/>
              </w:rPr>
              <w:t>4.5</w:t>
            </w:r>
          </w:p>
        </w:tc>
        <w:tc>
          <w:tcPr>
            <w:tcW w:type="dxa" w:w="694"/>
          </w:tcPr>
          <w:p>
            <w:pPr>
              <w:spacing w:after="0"/>
              <w:jc w:val="left"/>
            </w:pPr>
            <w:r/>
            <w:r>
              <w:rPr>
                <w:rFonts w:ascii="Times New Roman" w:hAnsi="Times New Roman"/>
                <w:sz w:val="21"/>
              </w:rPr>
              <w:t>0.42</w:t>
            </w:r>
          </w:p>
        </w:tc>
      </w:tr>
      <w:tr>
        <w:tc>
          <w:tcPr>
            <w:tcW w:type="dxa" w:w="694"/>
          </w:tcPr>
          <w:p>
            <w:pPr>
              <w:spacing w:after="0"/>
              <w:jc w:val="left"/>
            </w:pPr>
            <w:r/>
            <w:r>
              <w:rPr>
                <w:rFonts w:ascii="Times New Roman" w:hAnsi="Times New Roman"/>
                <w:sz w:val="21"/>
              </w:rPr>
              <w:t>longitude (degrees)</w:t>
            </w:r>
          </w:p>
        </w:tc>
        <w:tc>
          <w:tcPr>
            <w:tcW w:type="dxa" w:w="694"/>
          </w:tcPr>
          <w:p>
            <w:pPr>
              <w:spacing w:after="0"/>
              <w:jc w:val="left"/>
            </w:pPr>
            <w:r/>
            <w:r>
              <w:rPr>
                <w:rFonts w:ascii="Times New Roman" w:hAnsi="Times New Roman"/>
                <w:sz w:val="21"/>
              </w:rPr>
              <w:t>0.2</w:t>
            </w:r>
          </w:p>
        </w:tc>
        <w:tc>
          <w:tcPr>
            <w:tcW w:type="dxa" w:w="694"/>
          </w:tcPr>
          <w:p>
            <w:pPr>
              <w:spacing w:after="0"/>
              <w:jc w:val="left"/>
            </w:pPr>
            <w:r/>
            <w:r>
              <w:rPr>
                <w:rFonts w:ascii="Times New Roman" w:hAnsi="Times New Roman"/>
                <w:sz w:val="21"/>
              </w:rPr>
              <w:t>-92.6</w:t>
            </w:r>
          </w:p>
        </w:tc>
        <w:tc>
          <w:tcPr>
            <w:tcW w:type="dxa" w:w="694"/>
          </w:tcPr>
          <w:p>
            <w:pPr>
              <w:spacing w:after="0"/>
              <w:jc w:val="left"/>
            </w:pPr>
            <w:r/>
            <w:r>
              <w:rPr>
                <w:rFonts w:ascii="Times New Roman" w:hAnsi="Times New Roman"/>
                <w:sz w:val="21"/>
              </w:rPr>
              <w:t>-87.5</w:t>
            </w:r>
          </w:p>
        </w:tc>
        <w:tc>
          <w:tcPr>
            <w:tcW w:type="dxa" w:w="694"/>
          </w:tcPr>
          <w:p>
            <w:pPr>
              <w:spacing w:after="0"/>
              <w:jc w:val="left"/>
            </w:pPr>
            <w:r/>
            <w:r>
              <w:rPr>
                <w:rFonts w:ascii="Times New Roman" w:hAnsi="Times New Roman"/>
                <w:sz w:val="21"/>
              </w:rPr>
              <w:t>-90.9</w:t>
            </w:r>
          </w:p>
        </w:tc>
        <w:tc>
          <w:tcPr>
            <w:tcW w:type="dxa" w:w="694"/>
          </w:tcPr>
          <w:p>
            <w:pPr>
              <w:spacing w:after="0"/>
              <w:jc w:val="left"/>
            </w:pPr>
            <w:r/>
            <w:r>
              <w:rPr>
                <w:rFonts w:ascii="Times New Roman" w:hAnsi="Times New Roman"/>
                <w:sz w:val="21"/>
              </w:rPr>
              <w:t>217.9</w:t>
            </w:r>
          </w:p>
        </w:tc>
        <w:tc>
          <w:tcPr>
            <w:tcW w:type="dxa" w:w="694"/>
          </w:tcPr>
          <w:p>
            <w:pPr>
              <w:spacing w:after="0"/>
              <w:jc w:val="left"/>
            </w:pPr>
            <w:r/>
            <w:r>
              <w:rPr>
                <w:rFonts w:ascii="Times New Roman" w:hAnsi="Times New Roman"/>
                <w:sz w:val="21"/>
              </w:rPr>
              <w:t>14.8</w:t>
            </w:r>
          </w:p>
        </w:tc>
        <w:tc>
          <w:tcPr>
            <w:tcW w:type="dxa" w:w="694"/>
          </w:tcPr>
          <w:p>
            <w:pPr>
              <w:spacing w:after="0"/>
              <w:jc w:val="left"/>
            </w:pPr>
            <w:r/>
            <w:r>
              <w:rPr>
                <w:rFonts w:ascii="Times New Roman" w:hAnsi="Times New Roman"/>
                <w:sz w:val="21"/>
              </w:rPr>
              <w:t>-166.6</w:t>
            </w:r>
          </w:p>
        </w:tc>
        <w:tc>
          <w:tcPr>
            <w:tcW w:type="dxa" w:w="694"/>
          </w:tcPr>
          <w:p>
            <w:pPr>
              <w:spacing w:after="0"/>
              <w:jc w:val="left"/>
            </w:pPr>
            <w:r/>
            <w:r>
              <w:rPr>
                <w:rFonts w:ascii="Times New Roman" w:hAnsi="Times New Roman"/>
                <w:sz w:val="21"/>
              </w:rPr>
              <w:t>-104.0</w:t>
            </w:r>
          </w:p>
        </w:tc>
        <w:tc>
          <w:tcPr>
            <w:tcW w:type="dxa" w:w="694"/>
          </w:tcPr>
          <w:p>
            <w:pPr>
              <w:spacing w:after="0"/>
              <w:jc w:val="left"/>
            </w:pPr>
            <w:r/>
            <w:r>
              <w:rPr>
                <w:rFonts w:ascii="Times New Roman" w:hAnsi="Times New Roman"/>
                <w:sz w:val="21"/>
              </w:rPr>
              <w:t>-81.5</w:t>
            </w:r>
          </w:p>
        </w:tc>
        <w:tc>
          <w:tcPr>
            <w:tcW w:type="dxa" w:w="694"/>
          </w:tcPr>
          <w:p>
            <w:pPr>
              <w:spacing w:after="0"/>
              <w:jc w:val="left"/>
            </w:pPr>
            <w:r/>
            <w:r>
              <w:rPr>
                <w:rFonts w:ascii="Times New Roman" w:hAnsi="Times New Roman"/>
                <w:sz w:val="21"/>
              </w:rPr>
              <w:t>-64.9</w:t>
            </w:r>
          </w:p>
        </w:tc>
        <w:tc>
          <w:tcPr>
            <w:tcW w:type="dxa" w:w="694"/>
          </w:tcPr>
          <w:p>
            <w:pPr>
              <w:spacing w:after="0"/>
              <w:jc w:val="left"/>
            </w:pPr>
            <w:r/>
            <w:r>
              <w:rPr>
                <w:rFonts w:ascii="Times New Roman" w:hAnsi="Times New Roman"/>
                <w:sz w:val="21"/>
              </w:rPr>
              <w:t>22.5</w:t>
            </w:r>
          </w:p>
        </w:tc>
        <w:tc>
          <w:tcPr>
            <w:tcW w:type="dxa" w:w="694"/>
          </w:tcPr>
          <w:p>
            <w:pPr>
              <w:spacing w:after="0"/>
              <w:jc w:val="left"/>
            </w:pPr>
            <w:r/>
            <w:r>
              <w:rPr>
                <w:rFonts w:ascii="Times New Roman" w:hAnsi="Times New Roman"/>
                <w:sz w:val="21"/>
              </w:rPr>
              <w:t>-1.20</w:t>
            </w:r>
          </w:p>
        </w:tc>
      </w:tr>
      <w:tr>
        <w:tc>
          <w:tcPr>
            <w:tcW w:type="dxa" w:w="694"/>
          </w:tcPr>
          <w:p>
            <w:pPr>
              <w:spacing w:after="0"/>
              <w:jc w:val="left"/>
            </w:pPr>
            <w:r/>
            <w:r>
              <w:rPr>
                <w:rFonts w:ascii="Times New Roman" w:hAnsi="Times New Roman"/>
                <w:sz w:val="21"/>
              </w:rPr>
              <w:t>prev_hours (thousand hours)</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612.7</w:t>
            </w:r>
          </w:p>
        </w:tc>
        <w:tc>
          <w:tcPr>
            <w:tcW w:type="dxa" w:w="694"/>
          </w:tcPr>
          <w:p>
            <w:pPr>
              <w:spacing w:after="0"/>
              <w:jc w:val="left"/>
            </w:pPr>
            <w:r/>
            <w:r>
              <w:rPr>
                <w:rFonts w:ascii="Times New Roman" w:hAnsi="Times New Roman"/>
                <w:sz w:val="21"/>
              </w:rPr>
              <w:t>247.0</w:t>
            </w:r>
          </w:p>
        </w:tc>
        <w:tc>
          <w:tcPr>
            <w:tcW w:type="dxa" w:w="694"/>
          </w:tcPr>
          <w:p>
            <w:pPr>
              <w:spacing w:after="0"/>
              <w:jc w:val="left"/>
            </w:pPr>
            <w:r/>
            <w:r>
              <w:rPr>
                <w:rFonts w:ascii="Times New Roman" w:hAnsi="Times New Roman"/>
                <w:sz w:val="21"/>
              </w:rPr>
              <w:t>413.6</w:t>
            </w:r>
          </w:p>
        </w:tc>
        <w:tc>
          <w:tcPr>
            <w:tcW w:type="dxa" w:w="694"/>
          </w:tcPr>
          <w:p>
            <w:pPr>
              <w:spacing w:after="0"/>
              <w:jc w:val="left"/>
            </w:pPr>
            <w:r/>
            <w:r>
              <w:rPr>
                <w:rFonts w:ascii="Times New Roman" w:hAnsi="Times New Roman"/>
                <w:sz w:val="21"/>
              </w:rPr>
              <w:t>1,044,971</w:t>
            </w:r>
          </w:p>
        </w:tc>
        <w:tc>
          <w:tcPr>
            <w:tcW w:type="dxa" w:w="694"/>
          </w:tcPr>
          <w:p>
            <w:pPr>
              <w:spacing w:after="0"/>
              <w:jc w:val="left"/>
            </w:pPr>
            <w:r/>
            <w:r>
              <w:rPr>
                <w:rFonts w:ascii="Times New Roman" w:hAnsi="Times New Roman"/>
                <w:sz w:val="21"/>
              </w:rPr>
              <w:t>1,022.2</w:t>
            </w:r>
          </w:p>
        </w:tc>
        <w:tc>
          <w:tcPr>
            <w:tcW w:type="dxa" w:w="694"/>
          </w:tcPr>
          <w:p>
            <w:pPr>
              <w:spacing w:after="0"/>
              <w:jc w:val="left"/>
            </w:pPr>
            <w:r/>
            <w:r>
              <w:rPr>
                <w:rFonts w:ascii="Times New Roman" w:hAnsi="Times New Roman"/>
                <w:sz w:val="21"/>
              </w:rPr>
              <w:t>0.001</w:t>
            </w:r>
          </w:p>
        </w:tc>
        <w:tc>
          <w:tcPr>
            <w:tcW w:type="dxa" w:w="694"/>
          </w:tcPr>
          <w:p>
            <w:pPr>
              <w:spacing w:after="0"/>
              <w:jc w:val="left"/>
            </w:pPr>
            <w:r/>
            <w:r>
              <w:rPr>
                <w:rFonts w:ascii="Times New Roman" w:hAnsi="Times New Roman"/>
                <w:sz w:val="21"/>
              </w:rPr>
              <w:t>69.6</w:t>
            </w:r>
          </w:p>
        </w:tc>
        <w:tc>
          <w:tcPr>
            <w:tcW w:type="dxa" w:w="694"/>
          </w:tcPr>
          <w:p>
            <w:pPr>
              <w:spacing w:after="0"/>
              <w:jc w:val="left"/>
            </w:pPr>
            <w:r/>
            <w:r>
              <w:rPr>
                <w:rFonts w:ascii="Times New Roman" w:hAnsi="Times New Roman"/>
                <w:sz w:val="21"/>
              </w:rPr>
              <w:t>829.6</w:t>
            </w:r>
          </w:p>
        </w:tc>
        <w:tc>
          <w:tcPr>
            <w:tcW w:type="dxa" w:w="694"/>
          </w:tcPr>
          <w:p>
            <w:pPr>
              <w:spacing w:after="0"/>
              <w:jc w:val="left"/>
            </w:pPr>
            <w:r/>
            <w:r>
              <w:rPr>
                <w:rFonts w:ascii="Times New Roman" w:hAnsi="Times New Roman"/>
                <w:sz w:val="21"/>
              </w:rPr>
              <w:t>7,735.3</w:t>
            </w:r>
          </w:p>
        </w:tc>
        <w:tc>
          <w:tcPr>
            <w:tcW w:type="dxa" w:w="694"/>
          </w:tcPr>
          <w:p>
            <w:pPr>
              <w:spacing w:after="0"/>
              <w:jc w:val="left"/>
            </w:pPr>
            <w:r/>
            <w:r>
              <w:rPr>
                <w:rFonts w:ascii="Times New Roman" w:hAnsi="Times New Roman"/>
                <w:sz w:val="21"/>
              </w:rPr>
              <w:t>760.0</w:t>
            </w:r>
          </w:p>
        </w:tc>
        <w:tc>
          <w:tcPr>
            <w:tcW w:type="dxa" w:w="694"/>
          </w:tcPr>
          <w:p>
            <w:pPr>
              <w:spacing w:after="0"/>
              <w:jc w:val="left"/>
            </w:pPr>
            <w:r/>
            <w:r>
              <w:rPr>
                <w:rFonts w:ascii="Times New Roman" w:hAnsi="Times New Roman"/>
                <w:sz w:val="21"/>
              </w:rPr>
              <w:t>4.27</w:t>
            </w:r>
          </w:p>
        </w:tc>
      </w:tr>
      <w:tr>
        <w:tc>
          <w:tcPr>
            <w:tcW w:type="dxa" w:w="694"/>
          </w:tcPr>
          <w:p>
            <w:pPr>
              <w:spacing w:after="0"/>
              <w:jc w:val="left"/>
            </w:pPr>
            <w:r/>
            <w:r>
              <w:rPr>
                <w:rFonts w:ascii="Times New Roman" w:hAnsi="Times New Roman"/>
                <w:sz w:val="21"/>
              </w:rPr>
              <w:t>prev_employees (persons)</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281.6</w:t>
            </w:r>
          </w:p>
        </w:tc>
        <w:tc>
          <w:tcPr>
            <w:tcW w:type="dxa" w:w="694"/>
          </w:tcPr>
          <w:p>
            <w:pPr>
              <w:spacing w:after="0"/>
              <w:jc w:val="left"/>
            </w:pPr>
            <w:r/>
            <w:r>
              <w:rPr>
                <w:rFonts w:ascii="Times New Roman" w:hAnsi="Times New Roman"/>
                <w:sz w:val="21"/>
              </w:rPr>
              <w:t>113.0</w:t>
            </w:r>
          </w:p>
        </w:tc>
        <w:tc>
          <w:tcPr>
            <w:tcW w:type="dxa" w:w="694"/>
          </w:tcPr>
          <w:p>
            <w:pPr>
              <w:spacing w:after="0"/>
              <w:jc w:val="left"/>
            </w:pPr>
            <w:r/>
            <w:r>
              <w:rPr>
                <w:rFonts w:ascii="Times New Roman" w:hAnsi="Times New Roman"/>
                <w:sz w:val="21"/>
              </w:rPr>
              <w:t>186.4</w:t>
            </w:r>
          </w:p>
        </w:tc>
        <w:tc>
          <w:tcPr>
            <w:tcW w:type="dxa" w:w="694"/>
          </w:tcPr>
          <w:p>
            <w:pPr>
              <w:spacing w:after="0"/>
              <w:jc w:val="left"/>
            </w:pPr>
            <w:r/>
            <w:r>
              <w:rPr>
                <w:rFonts w:ascii="Times New Roman" w:hAnsi="Times New Roman"/>
                <w:sz w:val="21"/>
              </w:rPr>
              <w:t>239,644</w:t>
            </w:r>
          </w:p>
        </w:tc>
        <w:tc>
          <w:tcPr>
            <w:tcW w:type="dxa" w:w="694"/>
          </w:tcPr>
          <w:p>
            <w:pPr>
              <w:spacing w:after="0"/>
              <w:jc w:val="left"/>
            </w:pPr>
            <w:r/>
            <w:r>
              <w:rPr>
                <w:rFonts w:ascii="Times New Roman" w:hAnsi="Times New Roman"/>
                <w:sz w:val="21"/>
              </w:rPr>
              <w:t>489.5</w:t>
            </w:r>
          </w:p>
        </w:tc>
        <w:tc>
          <w:tcPr>
            <w:tcW w:type="dxa" w:w="694"/>
          </w:tcPr>
          <w:p>
            <w:pPr>
              <w:spacing w:after="0"/>
              <w:jc w:val="left"/>
            </w:pPr>
            <w:r/>
            <w:r>
              <w:rPr>
                <w:rFonts w:ascii="Times New Roman" w:hAnsi="Times New Roman"/>
                <w:sz w:val="21"/>
              </w:rPr>
              <w:t>1</w:t>
            </w:r>
          </w:p>
        </w:tc>
        <w:tc>
          <w:tcPr>
            <w:tcW w:type="dxa" w:w="694"/>
          </w:tcPr>
          <w:p>
            <w:pPr>
              <w:spacing w:after="0"/>
              <w:jc w:val="left"/>
            </w:pPr>
            <w:r/>
            <w:r>
              <w:rPr>
                <w:rFonts w:ascii="Times New Roman" w:hAnsi="Times New Roman"/>
                <w:sz w:val="21"/>
              </w:rPr>
              <w:t>33</w:t>
            </w:r>
          </w:p>
        </w:tc>
        <w:tc>
          <w:tcPr>
            <w:tcW w:type="dxa" w:w="694"/>
          </w:tcPr>
          <w:p>
            <w:pPr>
              <w:spacing w:after="0"/>
              <w:jc w:val="left"/>
            </w:pPr>
            <w:r/>
            <w:r>
              <w:rPr>
                <w:rFonts w:ascii="Times New Roman" w:hAnsi="Times New Roman"/>
                <w:sz w:val="21"/>
              </w:rPr>
              <w:t>367</w:t>
            </w:r>
          </w:p>
        </w:tc>
        <w:tc>
          <w:tcPr>
            <w:tcW w:type="dxa" w:w="694"/>
          </w:tcPr>
          <w:p>
            <w:pPr>
              <w:spacing w:after="0"/>
              <w:jc w:val="left"/>
            </w:pPr>
            <w:r/>
            <w:r>
              <w:rPr>
                <w:rFonts w:ascii="Times New Roman" w:hAnsi="Times New Roman"/>
                <w:sz w:val="21"/>
              </w:rPr>
              <w:t>3,837</w:t>
            </w:r>
          </w:p>
        </w:tc>
        <w:tc>
          <w:tcPr>
            <w:tcW w:type="dxa" w:w="694"/>
          </w:tcPr>
          <w:p>
            <w:pPr>
              <w:spacing w:after="0"/>
              <w:jc w:val="left"/>
            </w:pPr>
            <w:r/>
            <w:r>
              <w:rPr>
                <w:rFonts w:ascii="Times New Roman" w:hAnsi="Times New Roman"/>
                <w:sz w:val="21"/>
              </w:rPr>
              <w:t>334</w:t>
            </w:r>
          </w:p>
        </w:tc>
        <w:tc>
          <w:tcPr>
            <w:tcW w:type="dxa" w:w="694"/>
          </w:tcPr>
          <w:p>
            <w:pPr>
              <w:spacing w:after="0"/>
              <w:jc w:val="left"/>
            </w:pPr>
            <w:r/>
            <w:r>
              <w:rPr>
                <w:rFonts w:ascii="Times New Roman" w:hAnsi="Times New Roman"/>
                <w:sz w:val="21"/>
              </w:rPr>
              <w:t>4.59</w:t>
            </w:r>
          </w:p>
        </w:tc>
      </w:tr>
      <w:tr>
        <w:tc>
          <w:tcPr>
            <w:tcW w:type="dxa" w:w="694"/>
          </w:tcPr>
          <w:p>
            <w:pPr>
              <w:spacing w:after="0"/>
              <w:jc w:val="left"/>
            </w:pPr>
            <w:r/>
            <w:r>
              <w:rPr>
                <w:rFonts w:ascii="Times New Roman" w:hAnsi="Times New Roman"/>
                <w:sz w:val="21"/>
              </w:rPr>
              <w:t>prev_incidents (count)</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15.8</w:t>
            </w:r>
          </w:p>
        </w:tc>
        <w:tc>
          <w:tcPr>
            <w:tcW w:type="dxa" w:w="694"/>
          </w:tcPr>
          <w:p>
            <w:pPr>
              <w:spacing w:after="0"/>
              <w:jc w:val="left"/>
            </w:pPr>
            <w:r/>
            <w:r>
              <w:rPr>
                <w:rFonts w:ascii="Times New Roman" w:hAnsi="Times New Roman"/>
                <w:sz w:val="21"/>
              </w:rPr>
              <w:t>6.0</w:t>
            </w:r>
          </w:p>
        </w:tc>
        <w:tc>
          <w:tcPr>
            <w:tcW w:type="dxa" w:w="694"/>
          </w:tcPr>
          <w:p>
            <w:pPr>
              <w:spacing w:after="0"/>
              <w:jc w:val="left"/>
            </w:pPr>
            <w:r/>
            <w:r>
              <w:rPr>
                <w:rFonts w:ascii="Times New Roman" w:hAnsi="Times New Roman"/>
                <w:sz w:val="21"/>
              </w:rPr>
              <w:t>9.9</w:t>
            </w:r>
          </w:p>
        </w:tc>
        <w:tc>
          <w:tcPr>
            <w:tcW w:type="dxa" w:w="694"/>
          </w:tcPr>
          <w:p>
            <w:pPr>
              <w:spacing w:after="0"/>
              <w:jc w:val="left"/>
            </w:pPr>
            <w:r/>
            <w:r>
              <w:rPr>
                <w:rFonts w:ascii="Times New Roman" w:hAnsi="Times New Roman"/>
                <w:sz w:val="21"/>
              </w:rPr>
              <w:t>667.0</w:t>
            </w:r>
          </w:p>
        </w:tc>
        <w:tc>
          <w:tcPr>
            <w:tcW w:type="dxa" w:w="694"/>
          </w:tcPr>
          <w:p>
            <w:pPr>
              <w:spacing w:after="0"/>
              <w:jc w:val="left"/>
            </w:pPr>
            <w:r/>
            <w:r>
              <w:rPr>
                <w:rFonts w:ascii="Times New Roman" w:hAnsi="Times New Roman"/>
                <w:sz w:val="21"/>
              </w:rPr>
              <w:t>25.8</w:t>
            </w:r>
          </w:p>
        </w:tc>
        <w:tc>
          <w:tcPr>
            <w:tcW w:type="dxa" w:w="694"/>
          </w:tcPr>
          <w:p>
            <w:pPr>
              <w:spacing w:after="0"/>
              <w:jc w:val="left"/>
            </w:pPr>
            <w:r/>
            <w:r>
              <w:rPr>
                <w:rFonts w:ascii="Times New Roman" w:hAnsi="Times New Roman"/>
                <w:sz w:val="21"/>
              </w:rPr>
              <w:t>0</w:t>
            </w:r>
          </w:p>
        </w:tc>
        <w:tc>
          <w:tcPr>
            <w:tcW w:type="dxa" w:w="694"/>
          </w:tcPr>
          <w:p>
            <w:pPr>
              <w:spacing w:after="0"/>
              <w:jc w:val="left"/>
            </w:pPr>
            <w:r/>
            <w:r>
              <w:rPr>
                <w:rFonts w:ascii="Times New Roman" w:hAnsi="Times New Roman"/>
                <w:sz w:val="21"/>
              </w:rPr>
              <w:t>1</w:t>
            </w:r>
          </w:p>
        </w:tc>
        <w:tc>
          <w:tcPr>
            <w:tcW w:type="dxa" w:w="694"/>
          </w:tcPr>
          <w:p>
            <w:pPr>
              <w:spacing w:after="0"/>
              <w:jc w:val="left"/>
            </w:pPr>
            <w:r/>
            <w:r>
              <w:rPr>
                <w:rFonts w:ascii="Times New Roman" w:hAnsi="Times New Roman"/>
                <w:sz w:val="21"/>
              </w:rPr>
              <w:t>19</w:t>
            </w:r>
          </w:p>
        </w:tc>
        <w:tc>
          <w:tcPr>
            <w:tcW w:type="dxa" w:w="694"/>
          </w:tcPr>
          <w:p>
            <w:pPr>
              <w:spacing w:after="0"/>
              <w:jc w:val="left"/>
            </w:pPr>
            <w:r/>
            <w:r>
              <w:rPr>
                <w:rFonts w:ascii="Times New Roman" w:hAnsi="Times New Roman"/>
                <w:sz w:val="21"/>
              </w:rPr>
              <w:t>190</w:t>
            </w:r>
          </w:p>
        </w:tc>
        <w:tc>
          <w:tcPr>
            <w:tcW w:type="dxa" w:w="694"/>
          </w:tcPr>
          <w:p>
            <w:pPr>
              <w:spacing w:after="0"/>
              <w:jc w:val="left"/>
            </w:pPr>
            <w:r/>
            <w:r>
              <w:rPr>
                <w:rFonts w:ascii="Times New Roman" w:hAnsi="Times New Roman"/>
                <w:sz w:val="21"/>
              </w:rPr>
              <w:t>18</w:t>
            </w:r>
          </w:p>
        </w:tc>
        <w:tc>
          <w:tcPr>
            <w:tcW w:type="dxa" w:w="694"/>
          </w:tcPr>
          <w:p>
            <w:pPr>
              <w:spacing w:after="0"/>
              <w:jc w:val="left"/>
            </w:pPr>
            <w:r/>
            <w:r>
              <w:rPr>
                <w:rFonts w:ascii="Times New Roman" w:hAnsi="Times New Roman"/>
                <w:sz w:val="21"/>
              </w:rPr>
              <w:t>3.11</w:t>
            </w:r>
          </w:p>
        </w:tc>
      </w:tr>
      <w:tr>
        <w:tc>
          <w:tcPr>
            <w:tcW w:type="dxa" w:w="694"/>
          </w:tcPr>
          <w:p>
            <w:pPr>
              <w:spacing w:after="0"/>
              <w:jc w:val="left"/>
            </w:pPr>
            <w:r/>
            <w:r>
              <w:rPr>
                <w:rFonts w:ascii="Times New Roman" w:hAnsi="Times New Roman"/>
                <w:sz w:val="21"/>
              </w:rPr>
              <w:t>prev_lost_time_rate_200k (log1p)</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0.86</w:t>
            </w:r>
          </w:p>
        </w:tc>
        <w:tc>
          <w:tcPr>
            <w:tcW w:type="dxa" w:w="694"/>
          </w:tcPr>
          <w:p>
            <w:pPr>
              <w:spacing w:after="0"/>
              <w:jc w:val="left"/>
            </w:pPr>
            <w:r/>
            <w:r>
              <w:rPr>
                <w:rFonts w:ascii="Times New Roman" w:hAnsi="Times New Roman"/>
                <w:sz w:val="21"/>
              </w:rPr>
              <w:t>0.79</w:t>
            </w:r>
          </w:p>
        </w:tc>
        <w:tc>
          <w:tcPr>
            <w:tcW w:type="dxa" w:w="694"/>
          </w:tcPr>
          <w:p>
            <w:pPr>
              <w:spacing w:after="0"/>
              <w:jc w:val="left"/>
            </w:pPr>
            <w:r/>
            <w:r>
              <w:rPr>
                <w:rFonts w:ascii="Times New Roman" w:hAnsi="Times New Roman"/>
                <w:sz w:val="21"/>
              </w:rPr>
              <w:t>0.78</w:t>
            </w:r>
          </w:p>
        </w:tc>
        <w:tc>
          <w:tcPr>
            <w:tcW w:type="dxa" w:w="694"/>
          </w:tcPr>
          <w:p>
            <w:pPr>
              <w:spacing w:after="0"/>
              <w:jc w:val="left"/>
            </w:pPr>
            <w:r/>
            <w:r>
              <w:rPr>
                <w:rFonts w:ascii="Times New Roman" w:hAnsi="Times New Roman"/>
                <w:sz w:val="21"/>
              </w:rPr>
              <w:t>0.65</w:t>
            </w:r>
          </w:p>
        </w:tc>
        <w:tc>
          <w:tcPr>
            <w:tcW w:type="dxa" w:w="694"/>
          </w:tcPr>
          <w:p>
            <w:pPr>
              <w:spacing w:after="0"/>
              <w:jc w:val="left"/>
            </w:pPr>
            <w:r/>
            <w:r>
              <w:rPr>
                <w:rFonts w:ascii="Times New Roman" w:hAnsi="Times New Roman"/>
                <w:sz w:val="21"/>
              </w:rPr>
              <w:t>0.81</w:t>
            </w:r>
          </w:p>
        </w:tc>
        <w:tc>
          <w:tcPr>
            <w:tcW w:type="dxa" w:w="694"/>
          </w:tcPr>
          <w:p>
            <w:pPr>
              <w:spacing w:after="0"/>
              <w:jc w:val="left"/>
            </w:pPr>
            <w:r/>
            <w:r>
              <w:rPr>
                <w:rFonts w:ascii="Times New Roman" w:hAnsi="Times New Roman"/>
                <w:sz w:val="21"/>
              </w:rPr>
              <w:t>0.00</w:t>
            </w:r>
          </w:p>
        </w:tc>
        <w:tc>
          <w:tcPr>
            <w:tcW w:type="dxa" w:w="694"/>
          </w:tcPr>
          <w:p>
            <w:pPr>
              <w:spacing w:after="0"/>
              <w:jc w:val="left"/>
            </w:pPr>
            <w:r/>
            <w:r>
              <w:rPr>
                <w:rFonts w:ascii="Times New Roman" w:hAnsi="Times New Roman"/>
                <w:sz w:val="21"/>
              </w:rPr>
              <w:t>0.00</w:t>
            </w:r>
          </w:p>
        </w:tc>
        <w:tc>
          <w:tcPr>
            <w:tcW w:type="dxa" w:w="694"/>
          </w:tcPr>
          <w:p>
            <w:pPr>
              <w:spacing w:after="0"/>
              <w:jc w:val="left"/>
            </w:pPr>
            <w:r/>
            <w:r>
              <w:rPr>
                <w:rFonts w:ascii="Times New Roman" w:hAnsi="Times New Roman"/>
                <w:sz w:val="21"/>
              </w:rPr>
              <w:t>1.46</w:t>
            </w:r>
          </w:p>
        </w:tc>
        <w:tc>
          <w:tcPr>
            <w:tcW w:type="dxa" w:w="694"/>
          </w:tcPr>
          <w:p>
            <w:pPr>
              <w:spacing w:after="0"/>
              <w:jc w:val="left"/>
            </w:pPr>
            <w:r/>
            <w:r>
              <w:rPr>
                <w:rFonts w:ascii="Times New Roman" w:hAnsi="Times New Roman"/>
                <w:sz w:val="21"/>
              </w:rPr>
              <w:t>3.93</w:t>
            </w:r>
          </w:p>
        </w:tc>
        <w:tc>
          <w:tcPr>
            <w:tcW w:type="dxa" w:w="694"/>
          </w:tcPr>
          <w:p>
            <w:pPr>
              <w:spacing w:after="0"/>
              <w:jc w:val="left"/>
            </w:pPr>
            <w:r/>
            <w:r>
              <w:rPr>
                <w:rFonts w:ascii="Times New Roman" w:hAnsi="Times New Roman"/>
                <w:sz w:val="21"/>
              </w:rPr>
              <w:t>1.46</w:t>
            </w:r>
          </w:p>
        </w:tc>
        <w:tc>
          <w:tcPr>
            <w:tcW w:type="dxa" w:w="694"/>
          </w:tcPr>
          <w:p>
            <w:pPr>
              <w:spacing w:after="0"/>
              <w:jc w:val="left"/>
            </w:pPr>
            <w:r/>
            <w:r>
              <w:rPr>
                <w:rFonts w:ascii="Times New Roman" w:hAnsi="Times New Roman"/>
                <w:sz w:val="21"/>
              </w:rPr>
              <w:t>0.60</w:t>
            </w:r>
          </w:p>
        </w:tc>
      </w:tr>
      <w:tr>
        <w:tc>
          <w:tcPr>
            <w:tcW w:type="dxa" w:w="694"/>
          </w:tcPr>
          <w:p>
            <w:pPr>
              <w:spacing w:after="0"/>
              <w:jc w:val="left"/>
            </w:pPr>
            <w:r/>
            <w:r>
              <w:rPr>
                <w:rFonts w:ascii="Times New Roman" w:hAnsi="Times New Roman"/>
                <w:sz w:val="21"/>
              </w:rPr>
              <w:t>prev_lost_time_share (ratio)</w:t>
            </w:r>
          </w:p>
        </w:tc>
        <w:tc>
          <w:tcPr>
            <w:tcW w:type="dxa" w:w="694"/>
          </w:tcPr>
          <w:p>
            <w:pPr>
              <w:spacing w:after="0"/>
              <w:jc w:val="left"/>
            </w:pPr>
            <w:r/>
            <w:r>
              <w:rPr>
                <w:rFonts w:ascii="Times New Roman" w:hAnsi="Times New Roman"/>
                <w:sz w:val="21"/>
              </w:rPr>
              <w:t>19.8</w:t>
            </w:r>
          </w:p>
        </w:tc>
        <w:tc>
          <w:tcPr>
            <w:tcW w:type="dxa" w:w="694"/>
          </w:tcPr>
          <w:p>
            <w:pPr>
              <w:spacing w:after="0"/>
              <w:jc w:val="left"/>
            </w:pPr>
            <w:r/>
            <w:r>
              <w:rPr>
                <w:rFonts w:ascii="Times New Roman" w:hAnsi="Times New Roman"/>
                <w:sz w:val="21"/>
              </w:rPr>
              <w:t>0.48</w:t>
            </w:r>
          </w:p>
        </w:tc>
        <w:tc>
          <w:tcPr>
            <w:tcW w:type="dxa" w:w="694"/>
          </w:tcPr>
          <w:p>
            <w:pPr>
              <w:spacing w:after="0"/>
              <w:jc w:val="left"/>
            </w:pPr>
            <w:r/>
            <w:r>
              <w:rPr>
                <w:rFonts w:ascii="Times New Roman" w:hAnsi="Times New Roman"/>
                <w:sz w:val="21"/>
              </w:rPr>
              <w:t>0.50</w:t>
            </w:r>
          </w:p>
        </w:tc>
        <w:tc>
          <w:tcPr>
            <w:tcW w:type="dxa" w:w="694"/>
          </w:tcPr>
          <w:p>
            <w:pPr>
              <w:spacing w:after="0"/>
              <w:jc w:val="left"/>
            </w:pPr>
            <w:r/>
            <w:r>
              <w:rPr>
                <w:rFonts w:ascii="Times New Roman" w:hAnsi="Times New Roman"/>
                <w:sz w:val="21"/>
              </w:rPr>
              <w:t>0.48</w:t>
            </w:r>
          </w:p>
        </w:tc>
        <w:tc>
          <w:tcPr>
            <w:tcW w:type="dxa" w:w="694"/>
          </w:tcPr>
          <w:p>
            <w:pPr>
              <w:spacing w:after="0"/>
              <w:jc w:val="left"/>
            </w:pPr>
            <w:r/>
            <w:r>
              <w:rPr>
                <w:rFonts w:ascii="Times New Roman" w:hAnsi="Times New Roman"/>
                <w:sz w:val="21"/>
              </w:rPr>
              <w:t>0.11</w:t>
            </w:r>
          </w:p>
        </w:tc>
        <w:tc>
          <w:tcPr>
            <w:tcW w:type="dxa" w:w="694"/>
          </w:tcPr>
          <w:p>
            <w:pPr>
              <w:spacing w:after="0"/>
              <w:jc w:val="left"/>
            </w:pPr>
            <w:r/>
            <w:r>
              <w:rPr>
                <w:rFonts w:ascii="Times New Roman" w:hAnsi="Times New Roman"/>
                <w:sz w:val="21"/>
              </w:rPr>
              <w:t>0.33</w:t>
            </w:r>
          </w:p>
        </w:tc>
        <w:tc>
          <w:tcPr>
            <w:tcW w:type="dxa" w:w="694"/>
          </w:tcPr>
          <w:p>
            <w:pPr>
              <w:spacing w:after="0"/>
              <w:jc w:val="left"/>
            </w:pPr>
            <w:r/>
            <w:r>
              <w:rPr>
                <w:rFonts w:ascii="Times New Roman" w:hAnsi="Times New Roman"/>
                <w:sz w:val="21"/>
              </w:rPr>
              <w:t>0.00</w:t>
            </w:r>
          </w:p>
        </w:tc>
        <w:tc>
          <w:tcPr>
            <w:tcW w:type="dxa" w:w="694"/>
          </w:tcPr>
          <w:p>
            <w:pPr>
              <w:spacing w:after="0"/>
              <w:jc w:val="left"/>
            </w:pPr>
            <w:r/>
            <w:r>
              <w:rPr>
                <w:rFonts w:ascii="Times New Roman" w:hAnsi="Times New Roman"/>
                <w:sz w:val="21"/>
              </w:rPr>
              <w:t>0.22</w:t>
            </w:r>
          </w:p>
        </w:tc>
        <w:tc>
          <w:tcPr>
            <w:tcW w:type="dxa" w:w="694"/>
          </w:tcPr>
          <w:p>
            <w:pPr>
              <w:spacing w:after="0"/>
              <w:jc w:val="left"/>
            </w:pPr>
            <w:r/>
            <w:r>
              <w:rPr>
                <w:rFonts w:ascii="Times New Roman" w:hAnsi="Times New Roman"/>
                <w:sz w:val="21"/>
              </w:rPr>
              <w:t>0.75</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0.53</w:t>
            </w:r>
          </w:p>
        </w:tc>
        <w:tc>
          <w:tcPr>
            <w:tcW w:type="dxa" w:w="694"/>
          </w:tcPr>
          <w:p>
            <w:pPr>
              <w:spacing w:after="0"/>
              <w:jc w:val="left"/>
            </w:pPr>
            <w:r/>
            <w:r>
              <w:rPr>
                <w:rFonts w:ascii="Times New Roman" w:hAnsi="Times New Roman"/>
                <w:sz w:val="21"/>
              </w:rPr>
              <w:t>0.01</w:t>
            </w:r>
          </w:p>
        </w:tc>
      </w:tr>
    </w:tbl>
    <w:p>
      <w:pPr>
        <w:spacing w:after="80"/>
      </w:pPr>
    </w:p>
    <w:p>
      <w:r>
        <w:rPr>
          <w:rFonts w:ascii="Times New Roman" w:hAnsi="Times New Roman"/>
          <w:sz w:val="24"/>
        </w:rPr>
        <w:t>Variance, a measure of variability, is in squared units, so the table adds the sample standard deviation in original units. For prev_hours it exceeds the mean, so a few very large mines dominate the spread. The standard deviation assumes symmetric spread, whereas the interquartile range (IQR) covers the middle half of the rows and assumes no shape (Han et al., 2022). I used the IQR for skewed features and outlier fences. Mines with 200 or more employees supply 36.7% of training rows, and treating their exposure as error would discard the insurer's largest group of cases.</w:t>
      </w:r>
    </w:p>
    <w:p>
      <w:r>
        <w:rPr>
          <w:rFonts w:ascii="Times New Roman" w:hAnsi="Times New Roman"/>
          <w:sz w:val="24"/>
        </w:rPr>
        <w:t>The skewness columns of Table 6 and Table 22 put nine of the 20 numeric features in the high band above 1 in absolute value, with prev_employees the most skewed continuous measure at 4.59. A log1p transform assumes positive values with multiplicative spread. A Yeo-Johnson transform fits its exponent but is harder to interpret, and raw values suit only trees, which split on rank order (Kuhn and Johnson, 2019). I added log1p versions of total experience and previous-year hours beside the raw columns. Compressing the tail keeps small and medium mines distinguishable in the insurer's score.</w:t>
      </w:r>
    </w:p>
    <w:p>
      <w:r>
        <w:rPr>
          <w:rFonts w:ascii="Times New Roman" w:hAnsi="Times New Roman"/>
          <w:sz w:val="24"/>
        </w:rPr>
        <w:t>Normality was checked with Q-Q plots of six features (Figure 2). Total experience bends away from the reference line at both ends, its log1p version follows the line except at its bounds, and prev_lost_time_share has point masses at both extremes. A Shapiro-Wilk test would reject normality for trivial departures at about 80,000 rows; a Q-Q plot shows where a distribution departs (Bruce et al., 2020). Pearson's r is pulled by tail points, so Spearman's rank correlation is reported beside it. Gaussian naive Bayes probabilities are likely to be miscalibrated, which would move a cost-based threshold and the review workload.</w:t>
      </w:r>
    </w:p>
    <w:p>
      <w:pPr>
        <w:keepNext/>
        <w:jc w:val="center"/>
      </w:pPr>
      <w:r>
        <w:drawing>
          <wp:inline xmlns:a="http://schemas.openxmlformats.org/drawingml/2006/main" xmlns:pic="http://schemas.openxmlformats.org/drawingml/2006/picture">
            <wp:extent cx="5486400" cy="4067218"/>
            <wp:docPr id="2" name="Picture 2"/>
            <wp:cNvGraphicFramePr>
              <a:graphicFrameLocks noChangeAspect="1"/>
            </wp:cNvGraphicFramePr>
            <a:graphic>
              <a:graphicData uri="http://schemas.openxmlformats.org/drawingml/2006/picture">
                <pic:pic>
                  <pic:nvPicPr>
                    <pic:cNvPr id="0" name="F09_qq_plots.png"/>
                    <pic:cNvPicPr/>
                  </pic:nvPicPr>
                  <pic:blipFill>
                    <a:blip r:embed="rId12"/>
                    <a:stretch>
                      <a:fillRect/>
                    </a:stretch>
                  </pic:blipFill>
                  <pic:spPr>
                    <a:xfrm>
                      <a:off x="0" y="0"/>
                      <a:ext cx="5486400" cy="4067218"/>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Normal Q-Q plots of six numeric features on the training split, with 5,000 seeded points per panel and skewness computed on all training rows; Q-Q plots are used because departures from the dashed reference line show where each distribution differs from a normal one. Source: author's analysis of MSHA open data.</w:t>
      </w:r>
    </w:p>
    <w:p>
      <w:pPr>
        <w:pStyle w:val="Heading2"/>
      </w:pPr>
      <w:r>
        <w:rPr>
          <w:rFonts w:ascii="Times New Roman" w:hAnsi="Times New Roman"/>
          <w:b/>
          <w:color w:val="000000"/>
          <w:sz w:val="28"/>
        </w:rPr>
        <w:t>2.4 Correlation and association</w:t>
      </w:r>
    </w:p>
    <w:p>
      <w:r>
        <w:rPr>
          <w:rFonts w:ascii="Times New Roman" w:hAnsi="Times New Roman"/>
          <w:sz w:val="24"/>
        </w:rPr>
        <w:t>The correlation matrix of the 20 numeric features was computed with Pearson's r for linear and Spearman's rank correlation for monotone association (Figure 3). The two disagree most for log1p_prev_hours against prev_employees, 0.645 against 0.994, because the relation is monotone but curved. Pearson assumes linearity and reacts to extreme points, whereas Spearman assumes only monotonicity (Han et al., 2022). I therefore read redundancy from Spearman, since a Pearson-only reading would understate it. Redundant size measures let logistic-regression coefficients trade weight from one refit to the next, which would make the reasons the application shows beside each flagged claim unstable.</w:t>
      </w:r>
    </w:p>
    <w:p>
      <w:pPr>
        <w:keepNext/>
        <w:jc w:val="center"/>
      </w:pPr>
      <w:r>
        <w:drawing>
          <wp:inline xmlns:a="http://schemas.openxmlformats.org/drawingml/2006/main" xmlns:pic="http://schemas.openxmlformats.org/drawingml/2006/picture">
            <wp:extent cx="5733288" cy="3320213"/>
            <wp:docPr id="3" name="Picture 3"/>
            <wp:cNvGraphicFramePr>
              <a:graphicFrameLocks noChangeAspect="1"/>
            </wp:cNvGraphicFramePr>
            <a:graphic>
              <a:graphicData uri="http://schemas.openxmlformats.org/drawingml/2006/picture">
                <pic:pic>
                  <pic:nvPicPr>
                    <pic:cNvPr id="0" name="F06_correlation_heatmaps.png"/>
                    <pic:cNvPicPr/>
                  </pic:nvPicPr>
                  <pic:blipFill>
                    <a:blip r:embed="rId13"/>
                    <a:stretch>
                      <a:fillRect/>
                    </a:stretch>
                  </pic:blipFill>
                  <pic:spPr>
                    <a:xfrm>
                      <a:off x="0" y="0"/>
                      <a:ext cx="5733288" cy="3320213"/>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Pearson (left) and Spearman (right) correlation matrices of the 20 numeric features on the training split, drawn as heatmaps on one diverging scale centred at zero so that the two coefficients can be compared cell by cell. Source: author's analysis of MSHA open data.</w:t>
      </w:r>
    </w:p>
    <w:p>
      <w:r>
        <w:rPr>
          <w:rFonts w:ascii="Times New Roman" w:hAnsi="Times New Roman"/>
          <w:sz w:val="24"/>
        </w:rPr>
        <w:t>Point-biserial r, Pearson's r with one dichotomous variable, ranked the numeric features against the target, and bias-corrected Cramer's V, which corresponds to the Phi coefficient for two levels, ranked the categorical features (Table 7). The leaders are prev_lost_time_share at r = 0.292 and NATURE_INJURY_CD at V = 0.391, far below the 0.95 level at which I would suspect leakage. Mutual information would capture non-monotone effects but carries no sign, and chi-square p-values cannot rank features when trivial effects are significant at this sample size (Tan et al., 2019). Total experience and shift start hour also enter the top ten, consistent with Yedla et al. (2020). Every leading field is known at filing, so the score is available when the reserve is set.</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Association of the numeric features (point-biserial r, top 10 by absolute value) and the categorical features (bias-corrected Cramer's V, top 10, number of levels in brackets) with the lost-time target, and the numeric features whose variance inflation factor exceeds 5 with their most correlated partner, all on the 81,289 training rows; every listed r and V has p &lt; 0.001.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1"/>
              </w:rPr>
              <w:t>Rank</w:t>
            </w:r>
          </w:p>
        </w:tc>
        <w:tc>
          <w:tcPr>
            <w:tcW w:type="dxa" w:w="1128"/>
            <w:shd w:val="clear" w:color="auto" w:fill="E7E6E6"/>
          </w:tcPr>
          <w:p>
            <w:pPr>
              <w:jc w:val="left"/>
            </w:pPr>
            <w:r>
              <w:rPr>
                <w:b/>
              </w:rPr>
            </w:r>
            <w:r>
              <w:rPr>
                <w:rFonts w:ascii="Times New Roman" w:hAnsi="Times New Roman"/>
                <w:b/>
                <w:sz w:val="21"/>
              </w:rPr>
              <w:t>Numeric feature</w:t>
            </w:r>
          </w:p>
        </w:tc>
        <w:tc>
          <w:tcPr>
            <w:tcW w:type="dxa" w:w="1128"/>
            <w:shd w:val="clear" w:color="auto" w:fill="E7E6E6"/>
          </w:tcPr>
          <w:p>
            <w:pPr>
              <w:jc w:val="left"/>
            </w:pPr>
            <w:r>
              <w:rPr>
                <w:b/>
              </w:rPr>
            </w:r>
            <w:r>
              <w:rPr>
                <w:rFonts w:ascii="Times New Roman" w:hAnsi="Times New Roman"/>
                <w:b/>
                <w:sz w:val="21"/>
              </w:rPr>
              <w:t>r</w:t>
            </w:r>
          </w:p>
        </w:tc>
        <w:tc>
          <w:tcPr>
            <w:tcW w:type="dxa" w:w="1128"/>
            <w:shd w:val="clear" w:color="auto" w:fill="E7E6E6"/>
          </w:tcPr>
          <w:p>
            <w:pPr>
              <w:jc w:val="left"/>
            </w:pPr>
            <w:r>
              <w:rPr>
                <w:b/>
              </w:rPr>
            </w:r>
            <w:r>
              <w:rPr>
                <w:rFonts w:ascii="Times New Roman" w:hAnsi="Times New Roman"/>
                <w:b/>
                <w:sz w:val="21"/>
              </w:rPr>
              <w:t>Categorical feature (levels)</w:t>
            </w:r>
          </w:p>
        </w:tc>
        <w:tc>
          <w:tcPr>
            <w:tcW w:type="dxa" w:w="1128"/>
            <w:shd w:val="clear" w:color="auto" w:fill="E7E6E6"/>
          </w:tcPr>
          <w:p>
            <w:pPr>
              <w:jc w:val="left"/>
            </w:pPr>
            <w:r>
              <w:rPr>
                <w:b/>
              </w:rPr>
            </w:r>
            <w:r>
              <w:rPr>
                <w:rFonts w:ascii="Times New Roman" w:hAnsi="Times New Roman"/>
                <w:b/>
                <w:sz w:val="21"/>
              </w:rPr>
              <w:t>V</w:t>
            </w:r>
          </w:p>
        </w:tc>
        <w:tc>
          <w:tcPr>
            <w:tcW w:type="dxa" w:w="1128"/>
            <w:shd w:val="clear" w:color="auto" w:fill="E7E6E6"/>
          </w:tcPr>
          <w:p>
            <w:pPr>
              <w:jc w:val="left"/>
            </w:pPr>
            <w:r>
              <w:rPr>
                <w:b/>
              </w:rPr>
            </w:r>
            <w:r>
              <w:rPr>
                <w:rFonts w:ascii="Times New Roman" w:hAnsi="Times New Roman"/>
                <w:b/>
                <w:sz w:val="21"/>
              </w:rPr>
              <w:t>Feature with VIF &gt; 5</w:t>
            </w:r>
          </w:p>
        </w:tc>
        <w:tc>
          <w:tcPr>
            <w:tcW w:type="dxa" w:w="1128"/>
            <w:shd w:val="clear" w:color="auto" w:fill="E7E6E6"/>
          </w:tcPr>
          <w:p>
            <w:pPr>
              <w:jc w:val="left"/>
            </w:pPr>
            <w:r>
              <w:rPr>
                <w:b/>
              </w:rPr>
            </w:r>
            <w:r>
              <w:rPr>
                <w:rFonts w:ascii="Times New Roman" w:hAnsi="Times New Roman"/>
                <w:b/>
                <w:sz w:val="21"/>
              </w:rPr>
              <w:t>VIF</w:t>
            </w:r>
          </w:p>
        </w:tc>
        <w:tc>
          <w:tcPr>
            <w:tcW w:type="dxa" w:w="1128"/>
            <w:shd w:val="clear" w:color="auto" w:fill="E7E6E6"/>
          </w:tcPr>
          <w:p>
            <w:pPr>
              <w:jc w:val="left"/>
            </w:pPr>
            <w:r>
              <w:rPr>
                <w:b/>
              </w:rPr>
            </w:r>
            <w:r>
              <w:rPr>
                <w:rFonts w:ascii="Times New Roman" w:hAnsi="Times New Roman"/>
                <w:b/>
                <w:sz w:val="21"/>
              </w:rPr>
              <w:t>Partner (Pearson r)</w:t>
            </w:r>
          </w:p>
        </w:tc>
      </w:tr>
      <w:tr>
        <w:tc>
          <w:tcPr>
            <w:tcW w:type="dxa" w:w="1128"/>
          </w:tcPr>
          <w:p>
            <w:pPr>
              <w:spacing w:after="0"/>
              <w:jc w:val="left"/>
            </w:pPr>
            <w:r/>
            <w:r>
              <w:rPr>
                <w:rFonts w:ascii="Times New Roman" w:hAnsi="Times New Roman"/>
                <w:sz w:val="21"/>
              </w:rPr>
              <w:t>1</w:t>
            </w:r>
          </w:p>
        </w:tc>
        <w:tc>
          <w:tcPr>
            <w:tcW w:type="dxa" w:w="1128"/>
          </w:tcPr>
          <w:p>
            <w:pPr>
              <w:spacing w:after="0"/>
              <w:jc w:val="left"/>
            </w:pPr>
            <w:r/>
            <w:r>
              <w:rPr>
                <w:rFonts w:ascii="Times New Roman" w:hAnsi="Times New Roman"/>
                <w:sz w:val="21"/>
              </w:rPr>
              <w:t>prev_lost_time_share</w:t>
            </w:r>
          </w:p>
        </w:tc>
        <w:tc>
          <w:tcPr>
            <w:tcW w:type="dxa" w:w="1128"/>
          </w:tcPr>
          <w:p>
            <w:pPr>
              <w:spacing w:after="0"/>
              <w:jc w:val="left"/>
            </w:pPr>
            <w:r/>
            <w:r>
              <w:rPr>
                <w:rFonts w:ascii="Times New Roman" w:hAnsi="Times New Roman"/>
                <w:sz w:val="21"/>
              </w:rPr>
              <w:t>0.292</w:t>
            </w:r>
          </w:p>
        </w:tc>
        <w:tc>
          <w:tcPr>
            <w:tcW w:type="dxa" w:w="1128"/>
          </w:tcPr>
          <w:p>
            <w:pPr>
              <w:spacing w:after="0"/>
              <w:jc w:val="left"/>
            </w:pPr>
            <w:r/>
            <w:r>
              <w:rPr>
                <w:rFonts w:ascii="Times New Roman" w:hAnsi="Times New Roman"/>
                <w:sz w:val="21"/>
              </w:rPr>
              <w:t>NATURE_INJURY_CD (27)</w:t>
            </w:r>
          </w:p>
        </w:tc>
        <w:tc>
          <w:tcPr>
            <w:tcW w:type="dxa" w:w="1128"/>
          </w:tcPr>
          <w:p>
            <w:pPr>
              <w:spacing w:after="0"/>
              <w:jc w:val="left"/>
            </w:pPr>
            <w:r/>
            <w:r>
              <w:rPr>
                <w:rFonts w:ascii="Times New Roman" w:hAnsi="Times New Roman"/>
                <w:sz w:val="21"/>
              </w:rPr>
              <w:t>0.391</w:t>
            </w:r>
          </w:p>
        </w:tc>
        <w:tc>
          <w:tcPr>
            <w:tcW w:type="dxa" w:w="1128"/>
          </w:tcPr>
          <w:p>
            <w:pPr>
              <w:spacing w:after="0"/>
              <w:jc w:val="left"/>
            </w:pPr>
            <w:r/>
            <w:r>
              <w:rPr>
                <w:rFonts w:ascii="Times New Roman" w:hAnsi="Times New Roman"/>
                <w:sz w:val="21"/>
              </w:rPr>
              <w:t>prev_hours</w:t>
            </w:r>
          </w:p>
        </w:tc>
        <w:tc>
          <w:tcPr>
            <w:tcW w:type="dxa" w:w="1128"/>
          </w:tcPr>
          <w:p>
            <w:pPr>
              <w:spacing w:after="0"/>
              <w:jc w:val="left"/>
            </w:pPr>
            <w:r/>
            <w:r>
              <w:rPr>
                <w:rFonts w:ascii="Times New Roman" w:hAnsi="Times New Roman"/>
                <w:sz w:val="21"/>
              </w:rPr>
              <w:t>176.4</w:t>
            </w:r>
          </w:p>
        </w:tc>
        <w:tc>
          <w:tcPr>
            <w:tcW w:type="dxa" w:w="1128"/>
          </w:tcPr>
          <w:p>
            <w:pPr>
              <w:spacing w:after="0"/>
              <w:jc w:val="left"/>
            </w:pPr>
            <w:r/>
            <w:r>
              <w:rPr>
                <w:rFonts w:ascii="Times New Roman" w:hAnsi="Times New Roman"/>
                <w:sz w:val="21"/>
              </w:rPr>
              <w:t>prev_employees (0.996)</w:t>
            </w:r>
          </w:p>
        </w:tc>
      </w:tr>
      <w:tr>
        <w:tc>
          <w:tcPr>
            <w:tcW w:type="dxa" w:w="1128"/>
          </w:tcPr>
          <w:p>
            <w:pPr>
              <w:spacing w:after="0"/>
              <w:jc w:val="left"/>
            </w:pPr>
            <w:r/>
            <w:r>
              <w:rPr>
                <w:rFonts w:ascii="Times New Roman" w:hAnsi="Times New Roman"/>
                <w:sz w:val="21"/>
              </w:rPr>
              <w:t>2</w:t>
            </w:r>
          </w:p>
        </w:tc>
        <w:tc>
          <w:tcPr>
            <w:tcW w:type="dxa" w:w="1128"/>
          </w:tcPr>
          <w:p>
            <w:pPr>
              <w:spacing w:after="0"/>
              <w:jc w:val="left"/>
            </w:pPr>
            <w:r/>
            <w:r>
              <w:rPr>
                <w:rFonts w:ascii="Times New Roman" w:hAnsi="Times New Roman"/>
                <w:sz w:val="21"/>
              </w:rPr>
              <w:t>prev_lost_time_rate_200k</w:t>
            </w:r>
          </w:p>
        </w:tc>
        <w:tc>
          <w:tcPr>
            <w:tcW w:type="dxa" w:w="1128"/>
          </w:tcPr>
          <w:p>
            <w:pPr>
              <w:spacing w:after="0"/>
              <w:jc w:val="left"/>
            </w:pPr>
            <w:r/>
            <w:r>
              <w:rPr>
                <w:rFonts w:ascii="Times New Roman" w:hAnsi="Times New Roman"/>
                <w:sz w:val="21"/>
              </w:rPr>
              <w:t>0.205</w:t>
            </w:r>
          </w:p>
        </w:tc>
        <w:tc>
          <w:tcPr>
            <w:tcW w:type="dxa" w:w="1128"/>
          </w:tcPr>
          <w:p>
            <w:pPr>
              <w:spacing w:after="0"/>
              <w:jc w:val="left"/>
            </w:pPr>
            <w:r/>
            <w:r>
              <w:rPr>
                <w:rFonts w:ascii="Times New Roman" w:hAnsi="Times New Roman"/>
                <w:sz w:val="21"/>
              </w:rPr>
              <w:t>INJ_BODY_PART_CD (46)</w:t>
            </w:r>
          </w:p>
        </w:tc>
        <w:tc>
          <w:tcPr>
            <w:tcW w:type="dxa" w:w="1128"/>
          </w:tcPr>
          <w:p>
            <w:pPr>
              <w:spacing w:after="0"/>
              <w:jc w:val="left"/>
            </w:pPr>
            <w:r/>
            <w:r>
              <w:rPr>
                <w:rFonts w:ascii="Times New Roman" w:hAnsi="Times New Roman"/>
                <w:sz w:val="21"/>
              </w:rPr>
              <w:t>0.364</w:t>
            </w:r>
          </w:p>
        </w:tc>
        <w:tc>
          <w:tcPr>
            <w:tcW w:type="dxa" w:w="1128"/>
          </w:tcPr>
          <w:p>
            <w:pPr>
              <w:spacing w:after="0"/>
              <w:jc w:val="left"/>
            </w:pPr>
            <w:r/>
            <w:r>
              <w:rPr>
                <w:rFonts w:ascii="Times New Roman" w:hAnsi="Times New Roman"/>
                <w:sz w:val="21"/>
              </w:rPr>
              <w:t>prev_employees</w:t>
            </w:r>
          </w:p>
        </w:tc>
        <w:tc>
          <w:tcPr>
            <w:tcW w:type="dxa" w:w="1128"/>
          </w:tcPr>
          <w:p>
            <w:pPr>
              <w:spacing w:after="0"/>
              <w:jc w:val="left"/>
            </w:pPr>
            <w:r/>
            <w:r>
              <w:rPr>
                <w:rFonts w:ascii="Times New Roman" w:hAnsi="Times New Roman"/>
                <w:sz w:val="21"/>
              </w:rPr>
              <w:t>164.8</w:t>
            </w:r>
          </w:p>
        </w:tc>
        <w:tc>
          <w:tcPr>
            <w:tcW w:type="dxa" w:w="1128"/>
          </w:tcPr>
          <w:p>
            <w:pPr>
              <w:spacing w:after="0"/>
              <w:jc w:val="left"/>
            </w:pPr>
            <w:r/>
            <w:r>
              <w:rPr>
                <w:rFonts w:ascii="Times New Roman" w:hAnsi="Times New Roman"/>
                <w:sz w:val="21"/>
              </w:rPr>
              <w:t>prev_hours (0.996)</w:t>
            </w:r>
          </w:p>
        </w:tc>
      </w:tr>
      <w:tr>
        <w:tc>
          <w:tcPr>
            <w:tcW w:type="dxa" w:w="1128"/>
          </w:tcPr>
          <w:p>
            <w:pPr>
              <w:spacing w:after="0"/>
              <w:jc w:val="left"/>
            </w:pPr>
            <w:r/>
            <w:r>
              <w:rPr>
                <w:rFonts w:ascii="Times New Roman" w:hAnsi="Times New Roman"/>
                <w:sz w:val="21"/>
              </w:rPr>
              <w:t>3</w:t>
            </w:r>
          </w:p>
        </w:tc>
        <w:tc>
          <w:tcPr>
            <w:tcW w:type="dxa" w:w="1128"/>
          </w:tcPr>
          <w:p>
            <w:pPr>
              <w:spacing w:after="0"/>
              <w:jc w:val="left"/>
            </w:pPr>
            <w:r/>
            <w:r>
              <w:rPr>
                <w:rFonts w:ascii="Times New Roman" w:hAnsi="Times New Roman"/>
                <w:sz w:val="21"/>
              </w:rPr>
              <w:t>longitude</w:t>
            </w:r>
          </w:p>
        </w:tc>
        <w:tc>
          <w:tcPr>
            <w:tcW w:type="dxa" w:w="1128"/>
          </w:tcPr>
          <w:p>
            <w:pPr>
              <w:spacing w:after="0"/>
              <w:jc w:val="left"/>
            </w:pPr>
            <w:r/>
            <w:r>
              <w:rPr>
                <w:rFonts w:ascii="Times New Roman" w:hAnsi="Times New Roman"/>
                <w:sz w:val="21"/>
              </w:rPr>
              <w:t>0.135</w:t>
            </w:r>
          </w:p>
        </w:tc>
        <w:tc>
          <w:tcPr>
            <w:tcW w:type="dxa" w:w="1128"/>
          </w:tcPr>
          <w:p>
            <w:pPr>
              <w:spacing w:after="0"/>
              <w:jc w:val="left"/>
            </w:pPr>
            <w:r/>
            <w:r>
              <w:rPr>
                <w:rFonts w:ascii="Times New Roman" w:hAnsi="Times New Roman"/>
                <w:sz w:val="21"/>
              </w:rPr>
              <w:t>INJURY_SOURCE_CD (124)</w:t>
            </w:r>
          </w:p>
        </w:tc>
        <w:tc>
          <w:tcPr>
            <w:tcW w:type="dxa" w:w="1128"/>
          </w:tcPr>
          <w:p>
            <w:pPr>
              <w:spacing w:after="0"/>
              <w:jc w:val="left"/>
            </w:pPr>
            <w:r/>
            <w:r>
              <w:rPr>
                <w:rFonts w:ascii="Times New Roman" w:hAnsi="Times New Roman"/>
                <w:sz w:val="21"/>
              </w:rPr>
              <w:t>0.311</w:t>
            </w:r>
          </w:p>
        </w:tc>
        <w:tc>
          <w:tcPr>
            <w:tcW w:type="dxa" w:w="1128"/>
          </w:tcPr>
          <w:p>
            <w:pPr>
              <w:spacing w:after="0"/>
              <w:jc w:val="left"/>
            </w:pPr>
            <w:r/>
            <w:r>
              <w:rPr>
                <w:rFonts w:ascii="Times New Roman" w:hAnsi="Times New Roman"/>
                <w:sz w:val="21"/>
              </w:rPr>
              <w:t>prev_lost_time_rate_200k</w:t>
            </w:r>
          </w:p>
        </w:tc>
        <w:tc>
          <w:tcPr>
            <w:tcW w:type="dxa" w:w="1128"/>
          </w:tcPr>
          <w:p>
            <w:pPr>
              <w:spacing w:after="0"/>
              <w:jc w:val="left"/>
            </w:pPr>
            <w:r/>
            <w:r>
              <w:rPr>
                <w:rFonts w:ascii="Times New Roman" w:hAnsi="Times New Roman"/>
                <w:sz w:val="21"/>
              </w:rPr>
              <w:t>8.3</w:t>
            </w:r>
          </w:p>
        </w:tc>
        <w:tc>
          <w:tcPr>
            <w:tcW w:type="dxa" w:w="1128"/>
          </w:tcPr>
          <w:p>
            <w:pPr>
              <w:spacing w:after="0"/>
              <w:jc w:val="left"/>
            </w:pPr>
            <w:r/>
            <w:r>
              <w:rPr>
                <w:rFonts w:ascii="Times New Roman" w:hAnsi="Times New Roman"/>
                <w:sz w:val="21"/>
              </w:rPr>
              <w:t>prev_lost_time_share (0.772)</w:t>
            </w:r>
          </w:p>
        </w:tc>
      </w:tr>
      <w:tr>
        <w:tc>
          <w:tcPr>
            <w:tcW w:type="dxa" w:w="1128"/>
          </w:tcPr>
          <w:p>
            <w:pPr>
              <w:spacing w:after="0"/>
              <w:jc w:val="left"/>
            </w:pPr>
            <w:r/>
            <w:r>
              <w:rPr>
                <w:rFonts w:ascii="Times New Roman" w:hAnsi="Times New Roman"/>
                <w:sz w:val="21"/>
              </w:rPr>
              <w:t>4</w:t>
            </w:r>
          </w:p>
        </w:tc>
        <w:tc>
          <w:tcPr>
            <w:tcW w:type="dxa" w:w="1128"/>
          </w:tcPr>
          <w:p>
            <w:pPr>
              <w:spacing w:after="0"/>
              <w:jc w:val="left"/>
            </w:pPr>
            <w:r/>
            <w:r>
              <w:rPr>
                <w:rFonts w:ascii="Times New Roman" w:hAnsi="Times New Roman"/>
                <w:sz w:val="21"/>
              </w:rPr>
              <w:t>prev_incidents</w:t>
            </w:r>
          </w:p>
        </w:tc>
        <w:tc>
          <w:tcPr>
            <w:tcW w:type="dxa" w:w="1128"/>
          </w:tcPr>
          <w:p>
            <w:pPr>
              <w:spacing w:after="0"/>
              <w:jc w:val="left"/>
            </w:pPr>
            <w:r/>
            <w:r>
              <w:rPr>
                <w:rFonts w:ascii="Times New Roman" w:hAnsi="Times New Roman"/>
                <w:sz w:val="21"/>
              </w:rPr>
              <w:t>0.099</w:t>
            </w:r>
          </w:p>
        </w:tc>
        <w:tc>
          <w:tcPr>
            <w:tcW w:type="dxa" w:w="1128"/>
          </w:tcPr>
          <w:p>
            <w:pPr>
              <w:spacing w:after="0"/>
              <w:jc w:val="left"/>
            </w:pPr>
            <w:r/>
            <w:r>
              <w:rPr>
                <w:rFonts w:ascii="Times New Roman" w:hAnsi="Times New Roman"/>
                <w:sz w:val="21"/>
              </w:rPr>
              <w:t>ACCIDENT_TYPE_CD (41)</w:t>
            </w:r>
          </w:p>
        </w:tc>
        <w:tc>
          <w:tcPr>
            <w:tcW w:type="dxa" w:w="1128"/>
          </w:tcPr>
          <w:p>
            <w:pPr>
              <w:spacing w:after="0"/>
              <w:jc w:val="left"/>
            </w:pPr>
            <w:r/>
            <w:r>
              <w:rPr>
                <w:rFonts w:ascii="Times New Roman" w:hAnsi="Times New Roman"/>
                <w:sz w:val="21"/>
              </w:rPr>
              <w:t>0.282</w:t>
            </w:r>
          </w:p>
        </w:tc>
        <w:tc>
          <w:tcPr>
            <w:tcW w:type="dxa" w:w="1128"/>
          </w:tcPr>
          <w:p>
            <w:pPr>
              <w:spacing w:after="0"/>
              <w:jc w:val="left"/>
            </w:pPr>
            <w:r/>
            <w:r>
              <w:rPr>
                <w:rFonts w:ascii="Times New Roman" w:hAnsi="Times New Roman"/>
                <w:sz w:val="21"/>
              </w:rPr>
              <w:t>TOT_EXPER</w:t>
            </w:r>
          </w:p>
        </w:tc>
        <w:tc>
          <w:tcPr>
            <w:tcW w:type="dxa" w:w="1128"/>
          </w:tcPr>
          <w:p>
            <w:pPr>
              <w:spacing w:after="0"/>
              <w:jc w:val="left"/>
            </w:pPr>
            <w:r/>
            <w:r>
              <w:rPr>
                <w:rFonts w:ascii="Times New Roman" w:hAnsi="Times New Roman"/>
                <w:sz w:val="21"/>
              </w:rPr>
              <w:t>7.5</w:t>
            </w:r>
          </w:p>
        </w:tc>
        <w:tc>
          <w:tcPr>
            <w:tcW w:type="dxa" w:w="1128"/>
          </w:tcPr>
          <w:p>
            <w:pPr>
              <w:spacing w:after="0"/>
              <w:jc w:val="left"/>
            </w:pPr>
            <w:r/>
            <w:r>
              <w:rPr>
                <w:rFonts w:ascii="Times New Roman" w:hAnsi="Times New Roman"/>
                <w:sz w:val="21"/>
              </w:rPr>
              <w:t>log1p_tot_exper (0.895)</w:t>
            </w:r>
          </w:p>
        </w:tc>
      </w:tr>
      <w:tr>
        <w:tc>
          <w:tcPr>
            <w:tcW w:type="dxa" w:w="1128"/>
          </w:tcPr>
          <w:p>
            <w:pPr>
              <w:spacing w:after="0"/>
              <w:jc w:val="left"/>
            </w:pPr>
            <w:r/>
            <w:r>
              <w:rPr>
                <w:rFonts w:ascii="Times New Roman" w:hAnsi="Times New Roman"/>
                <w:sz w:val="21"/>
              </w:rPr>
              <w:t>5</w:t>
            </w:r>
          </w:p>
        </w:tc>
        <w:tc>
          <w:tcPr>
            <w:tcW w:type="dxa" w:w="1128"/>
          </w:tcPr>
          <w:p>
            <w:pPr>
              <w:spacing w:after="0"/>
              <w:jc w:val="left"/>
            </w:pPr>
            <w:r/>
            <w:r>
              <w:rPr>
                <w:rFonts w:ascii="Times New Roman" w:hAnsi="Times New Roman"/>
                <w:sz w:val="21"/>
              </w:rPr>
              <w:t>exper_ratio_mine</w:t>
            </w:r>
          </w:p>
        </w:tc>
        <w:tc>
          <w:tcPr>
            <w:tcW w:type="dxa" w:w="1128"/>
          </w:tcPr>
          <w:p>
            <w:pPr>
              <w:spacing w:after="0"/>
              <w:jc w:val="left"/>
            </w:pPr>
            <w:r/>
            <w:r>
              <w:rPr>
                <w:rFonts w:ascii="Times New Roman" w:hAnsi="Times New Roman"/>
                <w:sz w:val="21"/>
              </w:rPr>
              <w:t>-0.096</w:t>
            </w:r>
          </w:p>
        </w:tc>
        <w:tc>
          <w:tcPr>
            <w:tcW w:type="dxa" w:w="1128"/>
          </w:tcPr>
          <w:p>
            <w:pPr>
              <w:spacing w:after="0"/>
              <w:jc w:val="left"/>
            </w:pPr>
            <w:r/>
            <w:r>
              <w:rPr>
                <w:rFonts w:ascii="Times New Roman" w:hAnsi="Times New Roman"/>
                <w:sz w:val="21"/>
              </w:rPr>
              <w:t>FIPS_STATE_CD (54)</w:t>
            </w:r>
          </w:p>
        </w:tc>
        <w:tc>
          <w:tcPr>
            <w:tcW w:type="dxa" w:w="1128"/>
          </w:tcPr>
          <w:p>
            <w:pPr>
              <w:spacing w:after="0"/>
              <w:jc w:val="left"/>
            </w:pPr>
            <w:r/>
            <w:r>
              <w:rPr>
                <w:rFonts w:ascii="Times New Roman" w:hAnsi="Times New Roman"/>
                <w:sz w:val="21"/>
              </w:rPr>
              <w:t>0.243</w:t>
            </w:r>
          </w:p>
        </w:tc>
        <w:tc>
          <w:tcPr>
            <w:tcW w:type="dxa" w:w="1128"/>
          </w:tcPr>
          <w:p>
            <w:pPr>
              <w:spacing w:after="0"/>
              <w:jc w:val="left"/>
            </w:pPr>
            <w:r/>
            <w:r>
              <w:rPr>
                <w:rFonts w:ascii="Times New Roman" w:hAnsi="Times New Roman"/>
                <w:sz w:val="21"/>
              </w:rPr>
              <w:t>log1p_tot_exper</w:t>
            </w:r>
          </w:p>
        </w:tc>
        <w:tc>
          <w:tcPr>
            <w:tcW w:type="dxa" w:w="1128"/>
          </w:tcPr>
          <w:p>
            <w:pPr>
              <w:spacing w:after="0"/>
              <w:jc w:val="left"/>
            </w:pPr>
            <w:r/>
            <w:r>
              <w:rPr>
                <w:rFonts w:ascii="Times New Roman" w:hAnsi="Times New Roman"/>
                <w:sz w:val="21"/>
              </w:rPr>
              <w:t>6.0</w:t>
            </w:r>
          </w:p>
        </w:tc>
        <w:tc>
          <w:tcPr>
            <w:tcW w:type="dxa" w:w="1128"/>
          </w:tcPr>
          <w:p>
            <w:pPr>
              <w:spacing w:after="0"/>
              <w:jc w:val="left"/>
            </w:pPr>
            <w:r/>
            <w:r>
              <w:rPr>
                <w:rFonts w:ascii="Times New Roman" w:hAnsi="Times New Roman"/>
                <w:sz w:val="21"/>
              </w:rPr>
              <w:t>TOT_EXPER (0.895)</w:t>
            </w:r>
          </w:p>
        </w:tc>
      </w:tr>
      <w:tr>
        <w:tc>
          <w:tcPr>
            <w:tcW w:type="dxa" w:w="1128"/>
          </w:tcPr>
          <w:p>
            <w:pPr>
              <w:spacing w:after="0"/>
              <w:jc w:val="left"/>
            </w:pPr>
            <w:r/>
            <w:r>
              <w:rPr>
                <w:rFonts w:ascii="Times New Roman" w:hAnsi="Times New Roman"/>
                <w:sz w:val="21"/>
              </w:rPr>
              <w:t>6</w:t>
            </w:r>
          </w:p>
        </w:tc>
        <w:tc>
          <w:tcPr>
            <w:tcW w:type="dxa" w:w="1128"/>
          </w:tcPr>
          <w:p>
            <w:pPr>
              <w:spacing w:after="0"/>
              <w:jc w:val="left"/>
            </w:pPr>
            <w:r/>
            <w:r>
              <w:rPr>
                <w:rFonts w:ascii="Times New Roman" w:hAnsi="Times New Roman"/>
                <w:sz w:val="21"/>
              </w:rPr>
              <w:t>exper_ratio_job</w:t>
            </w:r>
          </w:p>
        </w:tc>
        <w:tc>
          <w:tcPr>
            <w:tcW w:type="dxa" w:w="1128"/>
          </w:tcPr>
          <w:p>
            <w:pPr>
              <w:spacing w:after="0"/>
              <w:jc w:val="left"/>
            </w:pPr>
            <w:r/>
            <w:r>
              <w:rPr>
                <w:rFonts w:ascii="Times New Roman" w:hAnsi="Times New Roman"/>
                <w:sz w:val="21"/>
              </w:rPr>
              <w:t>-0.083</w:t>
            </w:r>
          </w:p>
        </w:tc>
        <w:tc>
          <w:tcPr>
            <w:tcW w:type="dxa" w:w="1128"/>
          </w:tcPr>
          <w:p>
            <w:pPr>
              <w:spacing w:after="0"/>
              <w:jc w:val="left"/>
            </w:pPr>
            <w:r/>
            <w:r>
              <w:rPr>
                <w:rFonts w:ascii="Times New Roman" w:hAnsi="Times New Roman"/>
                <w:sz w:val="21"/>
              </w:rPr>
              <w:t>PRIMARY_CANVASS (5)</w:t>
            </w:r>
          </w:p>
        </w:tc>
        <w:tc>
          <w:tcPr>
            <w:tcW w:type="dxa" w:w="1128"/>
          </w:tcPr>
          <w:p>
            <w:pPr>
              <w:spacing w:after="0"/>
              <w:jc w:val="left"/>
            </w:pPr>
            <w:r/>
            <w:r>
              <w:rPr>
                <w:rFonts w:ascii="Times New Roman" w:hAnsi="Times New Roman"/>
                <w:sz w:val="21"/>
              </w:rPr>
              <w:t>0.239</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1"/>
              </w:rPr>
              <w:t>7</w:t>
            </w:r>
          </w:p>
        </w:tc>
        <w:tc>
          <w:tcPr>
            <w:tcW w:type="dxa" w:w="1128"/>
          </w:tcPr>
          <w:p>
            <w:pPr>
              <w:spacing w:after="0"/>
              <w:jc w:val="left"/>
            </w:pPr>
            <w:r/>
            <w:r>
              <w:rPr>
                <w:rFonts w:ascii="Times New Roman" w:hAnsi="Times New Roman"/>
                <w:sz w:val="21"/>
              </w:rPr>
              <w:t>prev_incident_rate_200k</w:t>
            </w:r>
          </w:p>
        </w:tc>
        <w:tc>
          <w:tcPr>
            <w:tcW w:type="dxa" w:w="1128"/>
          </w:tcPr>
          <w:p>
            <w:pPr>
              <w:spacing w:after="0"/>
              <w:jc w:val="left"/>
            </w:pPr>
            <w:r/>
            <w:r>
              <w:rPr>
                <w:rFonts w:ascii="Times New Roman" w:hAnsi="Times New Roman"/>
                <w:sz w:val="21"/>
              </w:rPr>
              <w:t>0.073</w:t>
            </w:r>
          </w:p>
        </w:tc>
        <w:tc>
          <w:tcPr>
            <w:tcW w:type="dxa" w:w="1128"/>
          </w:tcPr>
          <w:p>
            <w:pPr>
              <w:spacing w:after="0"/>
              <w:jc w:val="left"/>
            </w:pPr>
            <w:r/>
            <w:r>
              <w:rPr>
                <w:rFonts w:ascii="Times New Roman" w:hAnsi="Times New Roman"/>
                <w:sz w:val="21"/>
              </w:rPr>
              <w:t>COAL_METAL_IND (2)</w:t>
            </w:r>
          </w:p>
        </w:tc>
        <w:tc>
          <w:tcPr>
            <w:tcW w:type="dxa" w:w="1128"/>
          </w:tcPr>
          <w:p>
            <w:pPr>
              <w:spacing w:after="0"/>
              <w:jc w:val="left"/>
            </w:pPr>
            <w:r/>
            <w:r>
              <w:rPr>
                <w:rFonts w:ascii="Times New Roman" w:hAnsi="Times New Roman"/>
                <w:sz w:val="21"/>
              </w:rPr>
              <w:t>0.237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1"/>
              </w:rPr>
              <w:t>8</w:t>
            </w:r>
          </w:p>
        </w:tc>
        <w:tc>
          <w:tcPr>
            <w:tcW w:type="dxa" w:w="1128"/>
          </w:tcPr>
          <w:p>
            <w:pPr>
              <w:spacing w:after="0"/>
              <w:jc w:val="left"/>
            </w:pPr>
            <w:r/>
            <w:r>
              <w:rPr>
                <w:rFonts w:ascii="Times New Roman" w:hAnsi="Times New Roman"/>
                <w:sz w:val="21"/>
              </w:rPr>
              <w:t>log1p_tot_exper</w:t>
            </w:r>
          </w:p>
        </w:tc>
        <w:tc>
          <w:tcPr>
            <w:tcW w:type="dxa" w:w="1128"/>
          </w:tcPr>
          <w:p>
            <w:pPr>
              <w:spacing w:after="0"/>
              <w:jc w:val="left"/>
            </w:pPr>
            <w:r/>
            <w:r>
              <w:rPr>
                <w:rFonts w:ascii="Times New Roman" w:hAnsi="Times New Roman"/>
                <w:sz w:val="21"/>
              </w:rPr>
              <w:t>0.068</w:t>
            </w:r>
          </w:p>
        </w:tc>
        <w:tc>
          <w:tcPr>
            <w:tcW w:type="dxa" w:w="1128"/>
          </w:tcPr>
          <w:p>
            <w:pPr>
              <w:spacing w:after="0"/>
              <w:jc w:val="left"/>
            </w:pPr>
            <w:r/>
            <w:r>
              <w:rPr>
                <w:rFonts w:ascii="Times New Roman" w:hAnsi="Times New Roman"/>
                <w:sz w:val="21"/>
              </w:rPr>
              <w:t>ACTIVITY_CD (96)</w:t>
            </w:r>
          </w:p>
        </w:tc>
        <w:tc>
          <w:tcPr>
            <w:tcW w:type="dxa" w:w="1128"/>
          </w:tcPr>
          <w:p>
            <w:pPr>
              <w:spacing w:after="0"/>
              <w:jc w:val="left"/>
            </w:pPr>
            <w:r/>
            <w:r>
              <w:rPr>
                <w:rFonts w:ascii="Times New Roman" w:hAnsi="Times New Roman"/>
                <w:sz w:val="21"/>
              </w:rPr>
              <w:t>0.225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1"/>
              </w:rPr>
              <w:t>9</w:t>
            </w:r>
          </w:p>
        </w:tc>
        <w:tc>
          <w:tcPr>
            <w:tcW w:type="dxa" w:w="1128"/>
          </w:tcPr>
          <w:p>
            <w:pPr>
              <w:spacing w:after="0"/>
              <w:jc w:val="left"/>
            </w:pPr>
            <w:r/>
            <w:r>
              <w:rPr>
                <w:rFonts w:ascii="Times New Roman" w:hAnsi="Times New Roman"/>
                <w:sz w:val="21"/>
              </w:rPr>
              <w:t>TOT_EXPER</w:t>
            </w:r>
          </w:p>
        </w:tc>
        <w:tc>
          <w:tcPr>
            <w:tcW w:type="dxa" w:w="1128"/>
          </w:tcPr>
          <w:p>
            <w:pPr>
              <w:spacing w:after="0"/>
              <w:jc w:val="left"/>
            </w:pPr>
            <w:r/>
            <w:r>
              <w:rPr>
                <w:rFonts w:ascii="Times New Roman" w:hAnsi="Times New Roman"/>
                <w:sz w:val="21"/>
              </w:rPr>
              <w:t>0.060</w:t>
            </w:r>
          </w:p>
        </w:tc>
        <w:tc>
          <w:tcPr>
            <w:tcW w:type="dxa" w:w="1128"/>
          </w:tcPr>
          <w:p>
            <w:pPr>
              <w:spacing w:after="0"/>
              <w:jc w:val="left"/>
            </w:pPr>
            <w:r/>
            <w:r>
              <w:rPr>
                <w:rFonts w:ascii="Times New Roman" w:hAnsi="Times New Roman"/>
                <w:sz w:val="21"/>
              </w:rPr>
              <w:t>CLASSIFICATION_CD (21)</w:t>
            </w:r>
          </w:p>
        </w:tc>
        <w:tc>
          <w:tcPr>
            <w:tcW w:type="dxa" w:w="1128"/>
          </w:tcPr>
          <w:p>
            <w:pPr>
              <w:spacing w:after="0"/>
              <w:jc w:val="left"/>
            </w:pPr>
            <w:r/>
            <w:r>
              <w:rPr>
                <w:rFonts w:ascii="Times New Roman" w:hAnsi="Times New Roman"/>
                <w:sz w:val="21"/>
              </w:rPr>
              <w:t>0.217</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r>
        <w:tc>
          <w:tcPr>
            <w:tcW w:type="dxa" w:w="1128"/>
          </w:tcPr>
          <w:p>
            <w:pPr>
              <w:spacing w:after="0"/>
              <w:jc w:val="left"/>
            </w:pPr>
            <w:r/>
            <w:r>
              <w:rPr>
                <w:rFonts w:ascii="Times New Roman" w:hAnsi="Times New Roman"/>
                <w:sz w:val="21"/>
              </w:rPr>
              <w:t>10</w:t>
            </w:r>
          </w:p>
        </w:tc>
        <w:tc>
          <w:tcPr>
            <w:tcW w:type="dxa" w:w="1128"/>
          </w:tcPr>
          <w:p>
            <w:pPr>
              <w:spacing w:after="0"/>
              <w:jc w:val="left"/>
            </w:pPr>
            <w:r/>
            <w:r>
              <w:rPr>
                <w:rFonts w:ascii="Times New Roman" w:hAnsi="Times New Roman"/>
                <w:sz w:val="21"/>
              </w:rPr>
              <w:t>shift_begin_hour</w:t>
            </w:r>
          </w:p>
        </w:tc>
        <w:tc>
          <w:tcPr>
            <w:tcW w:type="dxa" w:w="1128"/>
          </w:tcPr>
          <w:p>
            <w:pPr>
              <w:spacing w:after="0"/>
              <w:jc w:val="left"/>
            </w:pPr>
            <w:r/>
            <w:r>
              <w:rPr>
                <w:rFonts w:ascii="Times New Roman" w:hAnsi="Times New Roman"/>
                <w:sz w:val="21"/>
              </w:rPr>
              <w:t>0.058</w:t>
            </w:r>
          </w:p>
        </w:tc>
        <w:tc>
          <w:tcPr>
            <w:tcW w:type="dxa" w:w="1128"/>
          </w:tcPr>
          <w:p>
            <w:pPr>
              <w:spacing w:after="0"/>
              <w:jc w:val="left"/>
            </w:pPr>
            <w:r/>
            <w:r>
              <w:rPr>
                <w:rFonts w:ascii="Times New Roman" w:hAnsi="Times New Roman"/>
                <w:sz w:val="21"/>
              </w:rPr>
              <w:t>OCCUPATION (193)</w:t>
            </w:r>
          </w:p>
        </w:tc>
        <w:tc>
          <w:tcPr>
            <w:tcW w:type="dxa" w:w="1128"/>
          </w:tcPr>
          <w:p>
            <w:pPr>
              <w:spacing w:after="0"/>
              <w:jc w:val="left"/>
            </w:pPr>
            <w:r/>
            <w:r>
              <w:rPr>
                <w:rFonts w:ascii="Times New Roman" w:hAnsi="Times New Roman"/>
                <w:sz w:val="21"/>
              </w:rPr>
              <w:t>0.215</w:t>
            </w:r>
          </w:p>
        </w:tc>
        <w:tc>
          <w:tcPr>
            <w:tcW w:type="dxa" w:w="1128"/>
          </w:tcPr>
          <w:p>
            <w:pPr>
              <w:spacing w:after="0"/>
              <w:jc w:val="left"/>
            </w:pPr>
            <w:r/>
          </w:p>
        </w:tc>
        <w:tc>
          <w:tcPr>
            <w:tcW w:type="dxa" w:w="1128"/>
          </w:tcPr>
          <w:p>
            <w:pPr>
              <w:spacing w:after="0"/>
              <w:jc w:val="left"/>
            </w:pPr>
            <w:r/>
          </w:p>
        </w:tc>
        <w:tc>
          <w:tcPr>
            <w:tcW w:type="dxa" w:w="1128"/>
          </w:tcPr>
          <w:p>
            <w:pPr>
              <w:spacing w:after="0"/>
              <w:jc w:val="left"/>
            </w:pPr>
            <w:r/>
          </w:p>
        </w:tc>
      </w:tr>
    </w:tbl>
    <w:p>
      <w:pPr>
        <w:spacing w:after="80"/>
      </w:pPr>
    </w:p>
    <w:p>
      <w:r>
        <w:rPr>
          <w:rFonts w:ascii="Times New Roman" w:hAnsi="Times New Roman"/>
          <w:sz w:val="24"/>
        </w:rPr>
        <w:t>Multicollinearity is worst for mine size. Previous-year hours and employees correlate at r = 0.996, both with a variance inflation factor (VIF) above 160, and Table 7 lists three more features with a high VIF. In logistic regression this inflates coefficient variance and destabilises signs (Hosmer et al., 2013). In naive Bayes it breaks conditional independence, so size evidence is counted twice and posteriors become overconfident, although the ranking can survive (Domingos and Pazzani, 1997). Dropping one column assumes it adds nothing, and principal components give up interpretable features. I kept both, under the L2 penalty in logistic regression, and did not interpret the pair's coefficients. Overconfident probabilities would misplace the threshold, so calibration is checked in Section 4.</w:t>
      </w:r>
    </w:p>
    <w:p>
      <w:pPr>
        <w:pStyle w:val="Heading2"/>
      </w:pPr>
      <w:r>
        <w:rPr>
          <w:rFonts w:ascii="Times New Roman" w:hAnsi="Times New Roman"/>
          <w:b/>
          <w:color w:val="000000"/>
          <w:sz w:val="28"/>
        </w:rPr>
        <w:t>2.5 Visual analysis and plot justification</w:t>
      </w:r>
    </w:p>
    <w:p>
      <w:r>
        <w:rPr>
          <w:rFonts w:ascii="Times New Roman" w:hAnsi="Times New Roman"/>
          <w:sz w:val="24"/>
        </w:rPr>
        <w:t>Figures were drawn with Matplotlib (Hunter, 2007) and seaborn (Waskom, 2021). Bars in Figure 1 compare two counts by length, which reads more accurately than pie angles. The heatmaps in Figure 3 share one diverging scale but miss interactions and categorical features, covered by Figure 7. I did not plot a full scatter matrix of the 20 numeric features, because 190 panels would be unreadable.</w:t>
      </w:r>
    </w:p>
    <w:p>
      <w:r>
        <w:rPr>
          <w:rFonts w:ascii="Times New Roman" w:hAnsi="Times New Roman"/>
          <w:sz w:val="24"/>
        </w:rPr>
        <w:t>Figure 4 overlays class-wise density histograms and kernel density curves, because density puts unequal classes on one scale. All panels share 30 bins, since the Freedman-Diaconis rule would set between one bin for the capped victim count and 274 for hours per employee. The 60-bin log-experience panel in Figure 9 repeats this comb, consistent with whole-year recording. The classes overlap except on the previous-year lost-time share, where non-lost-time cases pile up at zero. Box plots (Figure 5) give the medians and quartiles that skewed features need; lost-time cases have the higher median lost-time share and lie further east, near the Appalachian coal fields.</w:t>
      </w:r>
    </w:p>
    <w:p>
      <w:pPr>
        <w:keepNext/>
        <w:jc w:val="center"/>
      </w:pPr>
      <w:r>
        <w:drawing>
          <wp:inline xmlns:a="http://schemas.openxmlformats.org/drawingml/2006/main" xmlns:pic="http://schemas.openxmlformats.org/drawingml/2006/picture">
            <wp:extent cx="5733288" cy="7239528"/>
            <wp:docPr id="4" name="Picture 4"/>
            <wp:cNvGraphicFramePr>
              <a:graphicFrameLocks noChangeAspect="1"/>
            </wp:cNvGraphicFramePr>
            <a:graphic>
              <a:graphicData uri="http://schemas.openxmlformats.org/drawingml/2006/picture">
                <pic:pic>
                  <pic:nvPicPr>
                    <pic:cNvPr id="0" name="F03_histograms.png"/>
                    <pic:cNvPicPr/>
                  </pic:nvPicPr>
                  <pic:blipFill>
                    <a:blip r:embed="rId14"/>
                    <a:stretch>
                      <a:fillRect/>
                    </a:stretch>
                  </pic:blipFill>
                  <pic:spPr>
                    <a:xfrm>
                      <a:off x="0" y="0"/>
                      <a:ext cx="5733288" cy="7239528"/>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4</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Density histograms (30 bins) with kernel density estimates of the 20 numeric features by outcome class on all 81,289 training rows, drawn as densities so that classes of unequal size share one scale. Source: author's analysis of MSHA open data.</w:t>
      </w:r>
    </w:p>
    <w:p>
      <w:pPr>
        <w:keepNext/>
        <w:jc w:val="center"/>
      </w:pPr>
      <w:r>
        <w:drawing>
          <wp:inline xmlns:a="http://schemas.openxmlformats.org/drawingml/2006/main" xmlns:pic="http://schemas.openxmlformats.org/drawingml/2006/picture">
            <wp:extent cx="5733288" cy="7493939"/>
            <wp:docPr id="5" name="Picture 5"/>
            <wp:cNvGraphicFramePr>
              <a:graphicFrameLocks noChangeAspect="1"/>
            </wp:cNvGraphicFramePr>
            <a:graphic>
              <a:graphicData uri="http://schemas.openxmlformats.org/drawingml/2006/picture">
                <pic:pic>
                  <pic:nvPicPr>
                    <pic:cNvPr id="0" name="F04_class_boxplots.png"/>
                    <pic:cNvPicPr/>
                  </pic:nvPicPr>
                  <pic:blipFill>
                    <a:blip r:embed="rId15"/>
                    <a:stretch>
                      <a:fillRect/>
                    </a:stretch>
                  </pic:blipFill>
                  <pic:spPr>
                    <a:xfrm>
                      <a:off x="0" y="0"/>
                      <a:ext cx="5733288" cy="7493939"/>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Box plots of the 20 numeric features by outcome class on all 81,289 training rows, with whiskers at 1.5 times the IQR and outlier points omitted, chosen because medians and quartiles are the comparison that skewed features need. Source: author's analysis of MSHA open data.</w:t>
      </w:r>
    </w:p>
    <w:p>
      <w:r>
        <w:rPr>
          <w:rFonts w:ascii="Times New Roman" w:hAnsi="Times New Roman"/>
          <w:sz w:val="24"/>
        </w:rPr>
        <w:t>The corner pair plot (Figure 6) draws the five features most correlated with the target on 5,000 seeded rows to avoid overplotting; the lost-time history measures fan out together and the classes mix in every panel. Figure 7 plots lost-time rates per level for the eight categorical features with the highest V, since a rate shows how far a level moves the probability. Cuts and lacerations sit near 18% against 48.6% overall, coal mines above it, and printed sizes flag thin data.</w:t>
      </w:r>
    </w:p>
    <w:p>
      <w:pPr>
        <w:keepNext/>
        <w:jc w:val="center"/>
      </w:pPr>
      <w:r>
        <w:drawing>
          <wp:inline xmlns:a="http://schemas.openxmlformats.org/drawingml/2006/main" xmlns:pic="http://schemas.openxmlformats.org/drawingml/2006/picture">
            <wp:extent cx="5303520" cy="5223736"/>
            <wp:docPr id="6" name="Picture 6"/>
            <wp:cNvGraphicFramePr>
              <a:graphicFrameLocks noChangeAspect="1"/>
            </wp:cNvGraphicFramePr>
            <a:graphic>
              <a:graphicData uri="http://schemas.openxmlformats.org/drawingml/2006/picture">
                <pic:pic>
                  <pic:nvPicPr>
                    <pic:cNvPr id="0" name="F05_pairplot_top.png"/>
                    <pic:cNvPicPr/>
                  </pic:nvPicPr>
                  <pic:blipFill>
                    <a:blip r:embed="rId16"/>
                    <a:stretch>
                      <a:fillRect/>
                    </a:stretch>
                  </pic:blipFill>
                  <pic:spPr>
                    <a:xfrm>
                      <a:off x="0" y="0"/>
                      <a:ext cx="5303520" cy="5223736"/>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Corner pair plot of the five numeric features with the largest absolute point-biserial correlation, for 5,000 seeded training rows without missing values, coloured by outcome to show pairwise structure and class overlap. Source: author's analysis of MSHA open data.</w:t>
      </w:r>
    </w:p>
    <w:p>
      <w:pPr>
        <w:keepNext/>
        <w:jc w:val="center"/>
      </w:pPr>
      <w:r>
        <w:drawing>
          <wp:inline xmlns:a="http://schemas.openxmlformats.org/drawingml/2006/main" xmlns:pic="http://schemas.openxmlformats.org/drawingml/2006/picture">
            <wp:extent cx="4663440" cy="7789362"/>
            <wp:docPr id="7" name="Picture 7"/>
            <wp:cNvGraphicFramePr>
              <a:graphicFrameLocks noChangeAspect="1"/>
            </wp:cNvGraphicFramePr>
            <a:graphic>
              <a:graphicData uri="http://schemas.openxmlformats.org/drawingml/2006/picture">
                <pic:pic>
                  <pic:nvPicPr>
                    <pic:cNvPr id="0" name="F07_categorical_vs_target.png"/>
                    <pic:cNvPicPr/>
                  </pic:nvPicPr>
                  <pic:blipFill>
                    <a:blip r:embed="rId17"/>
                    <a:stretch>
                      <a:fillRect/>
                    </a:stretch>
                  </pic:blipFill>
                  <pic:spPr>
                    <a:xfrm>
                      <a:off x="0" y="0"/>
                      <a:ext cx="4663440" cy="7789362"/>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Lost-time rate per level for the eight categorical features with the highest Cramer's V on the training split, showing the twelve largest levels and a pooled bar for levels under 100 rows, with the overall rate dashed; proportion bars are used because the question is the rate per level. Source: author's analysis of MSHA open data.</w:t>
      </w:r>
    </w:p>
    <w:p>
      <w:r>
        <w:rPr>
          <w:rFonts w:ascii="Times New Roman" w:hAnsi="Times New Roman"/>
          <w:sz w:val="24"/>
        </w:rPr>
        <w:t>Because imputation is decided per column, Figure 8 ranks the most incomplete columns as bars; underground, equipment and contractor gaps are structural, and one indicator covers the 985 rows missing all exposure columns (Section 3.4). In Figure 9, IQR fences flag 4,020 raw experience values and Z-score fences 714, because the tail inflates the standard deviation. After log1p neither rule flags any experience value, and Section 3.5 kept these long careers.</w:t>
      </w:r>
    </w:p>
    <w:p>
      <w:pPr>
        <w:keepNext/>
        <w:jc w:val="center"/>
      </w:pPr>
      <w:r>
        <w:drawing>
          <wp:inline xmlns:a="http://schemas.openxmlformats.org/drawingml/2006/main" xmlns:pic="http://schemas.openxmlformats.org/drawingml/2006/picture">
            <wp:extent cx="5120639" cy="6557451"/>
            <wp:docPr id="8" name="Picture 8"/>
            <wp:cNvGraphicFramePr>
              <a:graphicFrameLocks noChangeAspect="1"/>
            </wp:cNvGraphicFramePr>
            <a:graphic>
              <a:graphicData uri="http://schemas.openxmlformats.org/drawingml/2006/picture">
                <pic:pic>
                  <pic:nvPicPr>
                    <pic:cNvPr id="0" name="F08_missingness.png"/>
                    <pic:cNvPicPr/>
                  </pic:nvPicPr>
                  <pic:blipFill>
                    <a:blip r:embed="rId18"/>
                    <a:stretch>
                      <a:fillRect/>
                    </a:stretch>
                  </pic:blipFill>
                  <pic:spPr>
                    <a:xfrm>
                      <a:off x="0" y="0"/>
                      <a:ext cx="5120639" cy="6557451"/>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Percentage of missing values in the 30 most incomplete columns of the joined base table on the training rows, ranked as bars so that structural and sporadic gaps can be told apart. Source: author's analysis of MSHA open data.</w:t>
      </w:r>
    </w:p>
    <w:p>
      <w:pPr>
        <w:keepNext/>
        <w:jc w:val="center"/>
      </w:pPr>
      <w:r>
        <w:drawing>
          <wp:inline xmlns:a="http://schemas.openxmlformats.org/drawingml/2006/main" xmlns:pic="http://schemas.openxmlformats.org/drawingml/2006/picture">
            <wp:extent cx="5733288" cy="3823635"/>
            <wp:docPr id="9" name="Picture 9"/>
            <wp:cNvGraphicFramePr>
              <a:graphicFrameLocks noChangeAspect="1"/>
            </wp:cNvGraphicFramePr>
            <a:graphic>
              <a:graphicData uri="http://schemas.openxmlformats.org/drawingml/2006/picture">
                <pic:pic>
                  <pic:nvPicPr>
                    <pic:cNvPr id="0" name="F10_outlier_fences.png"/>
                    <pic:cNvPicPr/>
                  </pic:nvPicPr>
                  <pic:blipFill>
                    <a:blip r:embed="rId19"/>
                    <a:stretch>
                      <a:fillRect/>
                    </a:stretch>
                  </pic:blipFill>
                  <pic:spPr>
                    <a:xfrm>
                      <a:off x="0" y="0"/>
                      <a:ext cx="5733288" cy="3823635"/>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Histograms (60 bins) of total mining experience and previous-year employee-hours on the training split before (left) and after (right) the log1p transform, with the right-hand axes in log1p units, IQR fences (k = 1.5) and Z-score fences (|z| &gt; 3) and the number of rows each flags, used to compare the two outlier rules on skewed data. Source: author's analysis of MSHA open data.</w:t>
      </w:r>
    </w:p>
    <w:p>
      <w:r>
        <w:rPr>
          <w:rFonts w:ascii="Times New Roman" w:hAnsi="Times New Roman"/>
          <w:sz w:val="24"/>
        </w:rPr>
        <w:t>Two principal components of the standardised numeric features, explaining 18.5% and 16.1% of the variance, show whether the classes separate linearly (Figure 10). The classes overlap throughout, although a plane holding a third of the variance cannot rule out separation in more dimensions.</w:t>
      </w:r>
    </w:p>
    <w:p>
      <w:pPr>
        <w:keepNext/>
        <w:jc w:val="center"/>
      </w:pPr>
      <w:r>
        <w:drawing>
          <wp:inline xmlns:a="http://schemas.openxmlformats.org/drawingml/2006/main" xmlns:pic="http://schemas.openxmlformats.org/drawingml/2006/picture">
            <wp:extent cx="4206240" cy="3636361"/>
            <wp:docPr id="10" name="Picture 10"/>
            <wp:cNvGraphicFramePr>
              <a:graphicFrameLocks noChangeAspect="1"/>
            </wp:cNvGraphicFramePr>
            <a:graphic>
              <a:graphicData uri="http://schemas.openxmlformats.org/drawingml/2006/picture">
                <pic:pic>
                  <pic:nvPicPr>
                    <pic:cNvPr id="0" name="F11_pca_projection.png"/>
                    <pic:cNvPicPr/>
                  </pic:nvPicPr>
                  <pic:blipFill>
                    <a:blip r:embed="rId20"/>
                    <a:stretch>
                      <a:fillRect/>
                    </a:stretch>
                  </pic:blipFill>
                  <pic:spPr>
                    <a:xfrm>
                      <a:off x="0" y="0"/>
                      <a:ext cx="4206240" cy="3636361"/>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First two principal components of the 20 median-imputed and standardised numeric features, fitted on the training split with 5,000 seeded points shown and coloured by outcome, used to check for linear class separation in two dimensions. Source: author's analysis of MSHA open data.</w:t>
      </w:r>
    </w:p>
    <w:p>
      <w:r>
        <w:br w:type="page"/>
      </w:r>
    </w:p>
    <w:p>
      <w:pPr>
        <w:pStyle w:val="Heading1"/>
      </w:pPr>
      <w:r>
        <w:rPr>
          <w:rFonts w:ascii="Times New Roman" w:hAnsi="Times New Roman"/>
          <w:b/>
          <w:color w:val="000000"/>
          <w:sz w:val="32"/>
        </w:rPr>
        <w:t>3 Dataset preparation</w:t>
      </w:r>
    </w:p>
    <w:p>
      <w:pPr>
        <w:pStyle w:val="Heading2"/>
      </w:pPr>
      <w:r>
        <w:rPr>
          <w:rFonts w:ascii="Times New Roman" w:hAnsi="Times New Roman"/>
          <w:b/>
          <w:color w:val="000000"/>
          <w:sz w:val="28"/>
        </w:rPr>
        <w:t>3.1 Summary</w:t>
      </w:r>
    </w:p>
    <w:p>
      <w:r>
        <w:rPr>
          <w:rFonts w:ascii="Times New Roman" w:hAnsi="Times New Roman"/>
          <w:sz w:val="24"/>
        </w:rPr>
        <w:t>Preparation followed the order of Table 8, whose last column gives the shape after each step, and Figure 11 draws the same flow. Type-safe loading read every Accidents row as text, and scope filtering kept 101,609 in-scope reports. Integration added the Mines and previous-year production tables with asserted row counts, the error rules blanked or recoded impossible values, and the duplicate audit removed nothing. Feature engineering and the leakage audit left the features of Table 5, and the mine-year grouped split held out a fifth of the rows for testing, without resampling. Imputation, outlier handling, encoding and scaling then turned the training split into an 81,289 x 552 matrix. All learned transformations are fitted on the training split only inside a scikit-learn Pipeline with ColumnTransformer (Pedregosa et al., 2011).</w:t>
      </w:r>
    </w:p>
    <w:p>
      <w:pPr>
        <w:keepNext/>
        <w:jc w:val="center"/>
      </w:pPr>
      <w:r>
        <w:drawing>
          <wp:inline xmlns:a="http://schemas.openxmlformats.org/drawingml/2006/main" xmlns:pic="http://schemas.openxmlformats.org/drawingml/2006/picture">
            <wp:extent cx="5733288" cy="4095206"/>
            <wp:docPr id="11" name="Picture 11"/>
            <wp:cNvGraphicFramePr>
              <a:graphicFrameLocks noChangeAspect="1"/>
            </wp:cNvGraphicFramePr>
            <a:graphic>
              <a:graphicData uri="http://schemas.openxmlformats.org/drawingml/2006/picture">
                <pic:pic>
                  <pic:nvPicPr>
                    <pic:cNvPr id="0" name="F01_pipeline.png"/>
                    <pic:cNvPicPr/>
                  </pic:nvPicPr>
                  <pic:blipFill>
                    <a:blip r:embed="rId21"/>
                    <a:stretch>
                      <a:fillRect/>
                    </a:stretch>
                  </pic:blipFill>
                  <pic:spPr>
                    <a:xfrm>
                      <a:off x="0" y="0"/>
                      <a:ext cx="5733288" cy="4095206"/>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Preparation flow from the three MSHA files to the fitted model, in which stateless rules run on all 101,609 rows before the mine-year grouped split and every learned step is fitted inside one scikit-learn Pipeline on the 81,289 training rows; a flow diagram is used because the order of the steps carries the leakage argument. Source: author's analysis of MSHA open data.</w:t>
      </w:r>
    </w:p>
    <w:p>
      <w:pPr>
        <w:pStyle w:val="Heading2"/>
      </w:pPr>
      <w:r>
        <w:rPr>
          <w:rFonts w:ascii="Times New Roman" w:hAnsi="Times New Roman"/>
          <w:b/>
          <w:color w:val="000000"/>
          <w:sz w:val="28"/>
        </w:rPr>
        <w:t>3.2 Integration and error correction</w:t>
      </w:r>
    </w:p>
    <w:p>
      <w:r>
        <w:rPr>
          <w:rFonts w:ascii="Times New Roman" w:hAnsi="Times New Roman"/>
          <w:sz w:val="24"/>
        </w:rPr>
        <w:t>I read every column as text, because type inference would strip the leading zeros from MINE_ID, and asserted every join's row count (Table 4). The error rules learn nothing, so they ran on all rows before the split. Job experience exceeded total experience on 3,731 rows by a median of six years, too much for rounding (Table 8). Clipping assumes the job field is overstated and a swap assumes a data-entry exchange; I set the value to missing with a flag, because neither assumption can be checked (Han et al., 2022). A blank stops invented tenure from moving a case across the review threshold, where errors cost USD 200 or USD 4,000 (Table 1).</w:t>
      </w:r>
    </w:p>
    <w:p>
      <w:pPr>
        <w:pStyle w:val="Heading2"/>
      </w:pPr>
      <w:r>
        <w:rPr>
          <w:rFonts w:ascii="Times New Roman" w:hAnsi="Times New Roman"/>
          <w:b/>
          <w:color w:val="000000"/>
          <w:sz w:val="28"/>
        </w:rPr>
        <w:t>3.3 Duplicates and multi-victim accidents</w:t>
      </w:r>
    </w:p>
    <w:p>
      <w:r>
        <w:rPr>
          <w:rFonts w:ascii="Times New Roman" w:hAnsi="Times New Roman"/>
          <w:sz w:val="24"/>
        </w:rPr>
        <w:t>No row is an exact duplicate, and five rows match only when the document number, closing document and narrative are ignored (Table 8). Dropping them assumes double filing; keeping them assumes distinct victims, as MSHA requires one Form 7000-1 per injured person (Mine Safety and Health Administration, no date). Collapsing the 2,614 same-day multi-victim groups would make the accident the unit, although insurers reserve per claimant. I kept every row, one per claimant to reserve, and the grouped split keeps each same-day group on one side.</w:t>
      </w:r>
    </w:p>
    <w:p>
      <w:pPr>
        <w:pStyle w:val="Heading2"/>
      </w:pPr>
      <w:r>
        <w:rPr>
          <w:rFonts w:ascii="Times New Roman" w:hAnsi="Times New Roman"/>
          <w:b/>
          <w:color w:val="000000"/>
          <w:sz w:val="28"/>
        </w:rPr>
        <w:t>3.4 Missing values</w:t>
      </w:r>
    </w:p>
    <w:p>
      <w:r>
        <w:rPr>
          <w:rFonts w:ascii="Times New Roman" w:hAnsi="Times New Roman"/>
          <w:sz w:val="24"/>
        </w:rPr>
        <w:t>Numeric gaps are small except for the previous-year lost-time share, absent on 19.8% of training rows (Figure 8). Blank-experience reports are lost-time in 59.3% of training cases against 48.5% of recorded ones, so the gaps are not missing completely at random (MCAR). Blank experience clusters in early years (Table 8), consistent with missing at random (MAR) given year and mine (Rubin, 1976). The lost-time share is structurally undefined (zero over zero) at mines without a previous-year case.</w:t>
      </w:r>
    </w:p>
    <w:p>
      <w:r>
        <w:rPr>
          <w:rFonts w:ascii="Times New Roman" w:hAnsi="Times New Roman"/>
          <w:sz w:val="24"/>
        </w:rPr>
        <w:t>Listwise deletion needs MCAR, mean imputation presumes symmetry, and KNNImputer or IterativeImputer, which predict gaps from other features, would invent histories for quiet mines (van Buuren, 2018). I chose SimpleImputer with the median for skewed numerics plus seven explicit indicators, since add_indicator would repeat one flag across six co-missing exposure columns. Structural placeholders became their own level and other categorical gaps a constant "missing" level, since most_frequent would place surface accidents underground. Columns over 60% blank, other than structural placeholders, were dropped. The indicators carry the higher lost-time rate of unrecorded reports into the score, so fewer such cases go unreviewed.</w:t>
      </w:r>
    </w:p>
    <w:p>
      <w:pPr>
        <w:pStyle w:val="Heading2"/>
      </w:pPr>
      <w:r>
        <w:rPr>
          <w:rFonts w:ascii="Times New Roman" w:hAnsi="Times New Roman"/>
          <w:b/>
          <w:color w:val="000000"/>
          <w:sz w:val="28"/>
        </w:rPr>
        <w:t>3.5 Outliers</w:t>
      </w:r>
    </w:p>
    <w:p>
      <w:r>
        <w:rPr>
          <w:rFonts w:ascii="Times New Roman" w:hAnsi="Times New Roman"/>
          <w:sz w:val="24"/>
        </w:rPr>
        <w:t>Total experience has a skewness of 1.37 and previous-year hours 4.27 (Table 6). Right skew inflates the standard deviation behind the Z-score rule and puts its lower fence below zero. Tukey's IQR fences rest on quartiles (Tukey, 1977) but assume symmetric tails, so at this skew they flag over five times as many experience rows as the Z-score rule (Figure 9), all plausible veteran careers. I kept the values, added log1p versions and left clipping as an application option. Lagged rates from the smallest mines were winsorised, since their extremes would add needless USD 200 reviews. Linear, distance-based and Gaussian models react to such extremes, while tree splits use only rank.</w:t>
      </w:r>
    </w:p>
    <w:p>
      <w:pPr>
        <w:pStyle w:val="Heading2"/>
      </w:pPr>
      <w:r>
        <w:rPr>
          <w:rFonts w:ascii="Times New Roman" w:hAnsi="Times New Roman"/>
          <w:b/>
          <w:color w:val="000000"/>
          <w:sz w:val="28"/>
        </w:rPr>
        <w:t>3.6 Instance selection and class balance</w:t>
      </w:r>
    </w:p>
    <w:p>
      <w:r>
        <w:rPr>
          <w:rFonts w:ascii="Times New Roman" w:hAnsi="Times New Roman"/>
          <w:sz w:val="24"/>
        </w:rPr>
        <w:t>Scope filtering was the only instance selection and left a training prevalence of 48.6% (Table 8). SMOTE inside the folds assumes interpolated neighbours are plausible cases, which fails for one-hot codes (Chawla et al., 2002; Lemaitre et al., 2017), and under- or over-sampling discards or repeats rows. I applied no resampling, searched class_weight for logistic regression and left the cost asymmetry to an out-of-fold threshold tuned in Section 4. The test set was never resampled. Resampling would also bias the probabilities that adjusters see and that set the cost-optimal threshold.</w:t>
      </w:r>
    </w:p>
    <w:p>
      <w:pPr>
        <w:pStyle w:val="Heading2"/>
      </w:pPr>
      <w:r>
        <w:rPr>
          <w:rFonts w:ascii="Times New Roman" w:hAnsi="Times New Roman"/>
          <w:b/>
          <w:color w:val="000000"/>
          <w:sz w:val="28"/>
        </w:rPr>
        <w:t>3.7 Feature engineering</w:t>
      </w:r>
    </w:p>
    <w:p>
      <w:r>
        <w:rPr>
          <w:rFonts w:ascii="Times New Roman" w:hAnsi="Times New Roman"/>
          <w:sz w:val="24"/>
        </w:rPr>
        <w:t>Every engineered feature uses fields known at filing (Table 5). Clock and calendar features give accident and shift-start hours, a night flag, hours into shift, weekday, weekend and month. Experience features add log1p of total experience, mine and job shares of the total and a new-to-mine flag. Exposure features give hours per employee and size bands, and history features turn previous-year cases filed before the accident date into rates per 200,000 hours and a lost-time share. Same-year hours were rejected because quarterly hours reports arrive after the quarter (Legal Information Institute, no date b), and accident-date counting because 1.9% of prior cases were filed after the accident (Table 8; Kaufman et al., 2012; Kuhn and Johnson, 2019). Leakage would overstate test recall, and each case then missed in deployment costs an assumed USD 4,000 (Table 1).</w:t>
      </w:r>
    </w:p>
    <w:p>
      <w:pPr>
        <w:pStyle w:val="Heading2"/>
      </w:pPr>
      <w:r>
        <w:rPr>
          <w:rFonts w:ascii="Times New Roman" w:hAnsi="Times New Roman"/>
          <w:b/>
          <w:color w:val="000000"/>
          <w:sz w:val="28"/>
        </w:rPr>
        <w:t>3.8 Encoding and scaling</w:t>
      </w:r>
    </w:p>
    <w:p>
      <w:r>
        <w:rPr>
          <w:rFonts w:ascii="Times New Roman" w:hAnsi="Times New Roman"/>
          <w:sz w:val="24"/>
        </w:rPr>
        <w:t>Most categorical features are nominal codes with up to 193 levels (Table 8). Ordinal encoding assumes an order that linear models read as magnitude and target encoding needs fold-safe estimates, so I chose OneHotEncoder with handle_unknown="infrequent_if_exist" and a min_frequency of 0.1%, which pools rare and unseen levels. The ordered size band stayed one-hot, as its lost-time rate is not monotonic, and only the target was label-encoded. Under MinMaxScaler a few very large mines would squeeze most previous-year hours into the bottom tenth of the range, and Normalizer mixes units within a row. I applied StandardScaler to logistic regression, K-nearest neighbours (KNN), support vector machine (SVM), multilayer perceptron (MLP) and Gaussian naive Bayes and no scaler to the tree models, whose splits ignore monotone rescaling (Pedregosa et al., 2011). Unscaled hours would dominate distances, so KNN flags would follow mine size.</w:t>
      </w:r>
    </w:p>
    <w:p>
      <w:pPr>
        <w:pStyle w:val="Heading2"/>
      </w:pPr>
      <w:r>
        <w:rPr>
          <w:rFonts w:ascii="Times New Roman" w:hAnsi="Times New Roman"/>
          <w:b/>
          <w:color w:val="000000"/>
          <w:sz w:val="28"/>
        </w:rPr>
        <w:t>3.9 Train, validation and test split</w:t>
      </w:r>
    </w:p>
    <w:p>
      <w:r>
        <w:rPr>
          <w:rFonts w:ascii="Times New Roman" w:hAnsi="Times New Roman"/>
          <w:sz w:val="24"/>
        </w:rPr>
        <w:t>A stratified random split would treat rows as independent, but the mean label of a row's later-dated mine-year siblings ranks it with a ROC-AUC of 0.667, near the best planned feature (Table 8). The numeric features also identify the mine-year for 99.9% of rows, letting KNN and tree ensembles memorise outcomes. Grouping by mine alone would test unseen mines, yet mines seen before 2020 filed 91.9% of later reports.</w:t>
      </w:r>
    </w:p>
    <w:p>
      <w:r>
        <w:rPr>
          <w:rFonts w:ascii="Times New Roman" w:hAnsi="Times New Roman"/>
          <w:sz w:val="24"/>
        </w:rPr>
        <w:t>I held out one StratifiedGroupKFold fold of mine-year groups (random_state 42) as the test set, with five-fold StratifiedGroupKFold on the training rows for validation (Kohavi, 1995). Assertions confirm disjoint groups and prevalence within one percentage point of the whole. The insurer therefore sees recall on unseen mine-years, with temporal and mine-grouped splits as secondary checks.</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Preprocessing decision log in execution order, giving for each step the problem found, the options considered, the choice and the data shape afterwards; counts in steps 1 to 9 refer to all 101,609 in-scope rows and counts in steps 10 to 14 to the 81,289 training rows of the grouped split unless a cell says otherwise, E codes name the error rules logged in reports/metrics/error_rules.csv, and a table is used so that every step is judged on the same six attributes.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1"/>
              </w:rPr>
              <w:t>Step</w:t>
            </w:r>
          </w:p>
        </w:tc>
        <w:tc>
          <w:tcPr>
            <w:tcW w:type="dxa" w:w="1504"/>
            <w:shd w:val="clear" w:color="auto" w:fill="E7E6E6"/>
          </w:tcPr>
          <w:p>
            <w:pPr>
              <w:jc w:val="left"/>
            </w:pPr>
            <w:r>
              <w:rPr>
                <w:b/>
              </w:rPr>
            </w:r>
            <w:r>
              <w:rPr>
                <w:rFonts w:ascii="Times New Roman" w:hAnsi="Times New Roman"/>
                <w:b/>
                <w:sz w:val="21"/>
              </w:rPr>
              <w:t>Problem found (evidence, count)</w:t>
            </w:r>
          </w:p>
        </w:tc>
        <w:tc>
          <w:tcPr>
            <w:tcW w:type="dxa" w:w="1504"/>
            <w:shd w:val="clear" w:color="auto" w:fill="E7E6E6"/>
          </w:tcPr>
          <w:p>
            <w:pPr>
              <w:jc w:val="left"/>
            </w:pPr>
            <w:r>
              <w:rPr>
                <w:b/>
              </w:rPr>
            </w:r>
            <w:r>
              <w:rPr>
                <w:rFonts w:ascii="Times New Roman" w:hAnsi="Times New Roman"/>
                <w:b/>
                <w:sz w:val="21"/>
              </w:rPr>
              <w:t>Options considered</w:t>
            </w:r>
          </w:p>
        </w:tc>
        <w:tc>
          <w:tcPr>
            <w:tcW w:type="dxa" w:w="1504"/>
            <w:shd w:val="clear" w:color="auto" w:fill="E7E6E6"/>
          </w:tcPr>
          <w:p>
            <w:pPr>
              <w:jc w:val="left"/>
            </w:pPr>
            <w:r>
              <w:rPr>
                <w:b/>
              </w:rPr>
            </w:r>
            <w:r>
              <w:rPr>
                <w:rFonts w:ascii="Times New Roman" w:hAnsi="Times New Roman"/>
                <w:b/>
                <w:sz w:val="21"/>
              </w:rPr>
              <w:t>Chosen</w:t>
            </w:r>
          </w:p>
        </w:tc>
        <w:tc>
          <w:tcPr>
            <w:tcW w:type="dxa" w:w="1504"/>
            <w:shd w:val="clear" w:color="auto" w:fill="E7E6E6"/>
          </w:tcPr>
          <w:p>
            <w:pPr>
              <w:jc w:val="left"/>
            </w:pPr>
            <w:r>
              <w:rPr>
                <w:b/>
              </w:rPr>
            </w:r>
            <w:r>
              <w:rPr>
                <w:rFonts w:ascii="Times New Roman" w:hAnsi="Times New Roman"/>
                <w:b/>
                <w:sz w:val="21"/>
              </w:rPr>
              <w:t>Why</w:t>
            </w:r>
          </w:p>
        </w:tc>
        <w:tc>
          <w:tcPr>
            <w:tcW w:type="dxa" w:w="1504"/>
            <w:shd w:val="clear" w:color="auto" w:fill="E7E6E6"/>
          </w:tcPr>
          <w:p>
            <w:pPr>
              <w:jc w:val="left"/>
            </w:pPr>
            <w:r>
              <w:rPr>
                <w:b/>
              </w:rPr>
            </w:r>
            <w:r>
              <w:rPr>
                <w:rFonts w:ascii="Times New Roman" w:hAnsi="Times New Roman"/>
                <w:b/>
                <w:sz w:val="21"/>
              </w:rPr>
              <w:t>Rows x cols after</w:t>
            </w:r>
          </w:p>
        </w:tc>
      </w:tr>
      <w:tr>
        <w:tc>
          <w:tcPr>
            <w:tcW w:type="dxa" w:w="1504"/>
          </w:tcPr>
          <w:p>
            <w:pPr>
              <w:spacing w:after="0"/>
              <w:jc w:val="left"/>
            </w:pPr>
            <w:r/>
            <w:r>
              <w:rPr>
                <w:rFonts w:ascii="Times New Roman" w:hAnsi="Times New Roman"/>
                <w:sz w:val="21"/>
              </w:rPr>
              <w:t>1 Load and type coercion</w:t>
            </w:r>
          </w:p>
        </w:tc>
        <w:tc>
          <w:tcPr>
            <w:tcW w:type="dxa" w:w="1504"/>
          </w:tcPr>
          <w:p>
            <w:pPr>
              <w:spacing w:after="0"/>
              <w:jc w:val="left"/>
            </w:pPr>
            <w:r/>
            <w:r>
              <w:rPr>
                <w:rFonts w:ascii="Times New Roman" w:hAnsi="Times New Roman"/>
                <w:sz w:val="21"/>
              </w:rPr>
              <w:t xml:space="preserve">Pipe-delimited latin-1 files fail strict UTF-8; codes such as MINE_ID are zero-padded text; placeholders </w:t>
            </w:r>
            <w:r>
              <w:rPr>
                <w:rFonts w:ascii="Consolas" w:hAnsi="Consolas"/>
                <w:sz w:val="21"/>
              </w:rPr>
              <w:t>?</w:t>
            </w:r>
            <w:r>
              <w:rPr>
                <w:rFonts w:ascii="Times New Roman" w:hAnsi="Times New Roman"/>
                <w:sz w:val="21"/>
              </w:rPr>
              <w:t xml:space="preserve">, </w:t>
            </w:r>
            <w:r>
              <w:rPr>
                <w:rFonts w:ascii="Consolas" w:hAnsi="Consolas"/>
                <w:sz w:val="21"/>
              </w:rPr>
              <w:t xml:space="preserve">? </w:t>
            </w:r>
            <w:r>
              <w:rPr>
                <w:rFonts w:ascii="Times New Roman" w:hAnsi="Times New Roman"/>
                <w:sz w:val="21"/>
              </w:rPr>
              <w:t xml:space="preserve">, </w:t>
            </w:r>
            <w:r>
              <w:rPr>
                <w:rFonts w:ascii="Consolas" w:hAnsi="Consolas"/>
                <w:sz w:val="21"/>
              </w:rPr>
              <w:t>NO VALUE FOUND</w:t>
            </w:r>
            <w:r>
              <w:rPr>
                <w:rFonts w:ascii="Times New Roman" w:hAnsi="Times New Roman"/>
                <w:sz w:val="21"/>
              </w:rPr>
              <w:t>; trailing spaces (E26, E27)</w:t>
            </w:r>
          </w:p>
        </w:tc>
        <w:tc>
          <w:tcPr>
            <w:tcW w:type="dxa" w:w="1504"/>
          </w:tcPr>
          <w:p>
            <w:pPr>
              <w:spacing w:after="0"/>
              <w:jc w:val="left"/>
            </w:pPr>
            <w:r/>
            <w:r>
              <w:rPr>
                <w:rFonts w:ascii="Times New Roman" w:hAnsi="Times New Roman"/>
                <w:sz w:val="21"/>
              </w:rPr>
              <w:t>pandas type inference; all columns as text, then explicit conversion</w:t>
            </w:r>
          </w:p>
        </w:tc>
        <w:tc>
          <w:tcPr>
            <w:tcW w:type="dxa" w:w="1504"/>
          </w:tcPr>
          <w:p>
            <w:pPr>
              <w:spacing w:after="0"/>
              <w:jc w:val="left"/>
            </w:pPr>
            <w:r/>
            <w:r>
              <w:rPr>
                <w:rFonts w:ascii="Times New Roman" w:hAnsi="Times New Roman"/>
                <w:sz w:val="21"/>
              </w:rPr>
              <w:t xml:space="preserve">Text read, </w:t>
            </w:r>
            <w:r>
              <w:rPr>
                <w:rFonts w:ascii="Consolas" w:hAnsi="Consolas"/>
                <w:sz w:val="21"/>
              </w:rPr>
              <w:t>str.strip()</w:t>
            </w:r>
            <w:r>
              <w:rPr>
                <w:rFonts w:ascii="Times New Roman" w:hAnsi="Times New Roman"/>
                <w:sz w:val="21"/>
              </w:rPr>
              <w:t xml:space="preserve">, placeholders to NaN, </w:t>
            </w:r>
            <w:r>
              <w:rPr>
                <w:rFonts w:ascii="Consolas" w:hAnsi="Consolas"/>
                <w:sz w:val="21"/>
              </w:rPr>
              <w:t>to_numeric</w:t>
            </w:r>
            <w:r>
              <w:rPr>
                <w:rFonts w:ascii="Times New Roman" w:hAnsi="Times New Roman"/>
                <w:sz w:val="21"/>
              </w:rPr>
              <w:t xml:space="preserve"> for numeric fields only</w:t>
            </w:r>
          </w:p>
        </w:tc>
        <w:tc>
          <w:tcPr>
            <w:tcW w:type="dxa" w:w="1504"/>
          </w:tcPr>
          <w:p>
            <w:pPr>
              <w:spacing w:after="0"/>
              <w:jc w:val="left"/>
            </w:pPr>
            <w:r/>
            <w:r>
              <w:rPr>
                <w:rFonts w:ascii="Times New Roman" w:hAnsi="Times New Roman"/>
                <w:sz w:val="21"/>
              </w:rPr>
              <w:t>Inference turns 0200024 into an integer and breaks the join</w:t>
            </w:r>
          </w:p>
        </w:tc>
        <w:tc>
          <w:tcPr>
            <w:tcW w:type="dxa" w:w="1504"/>
          </w:tcPr>
          <w:p>
            <w:pPr>
              <w:spacing w:after="0"/>
              <w:jc w:val="left"/>
            </w:pPr>
            <w:r/>
            <w:r>
              <w:rPr>
                <w:rFonts w:ascii="Times New Roman" w:hAnsi="Times New Roman"/>
                <w:sz w:val="21"/>
              </w:rPr>
              <w:t>275,220 x 57 (Accidents)</w:t>
            </w:r>
          </w:p>
        </w:tc>
      </w:tr>
      <w:tr>
        <w:tc>
          <w:tcPr>
            <w:tcW w:type="dxa" w:w="1504"/>
          </w:tcPr>
          <w:p>
            <w:pPr>
              <w:spacing w:after="0"/>
              <w:jc w:val="left"/>
            </w:pPr>
            <w:r/>
            <w:r>
              <w:rPr>
                <w:rFonts w:ascii="Times New Roman" w:hAnsi="Times New Roman"/>
                <w:sz w:val="21"/>
              </w:rPr>
              <w:t>2 Scope filter</w:t>
            </w:r>
          </w:p>
        </w:tc>
        <w:tc>
          <w:tcPr>
            <w:tcW w:type="dxa" w:w="1504"/>
          </w:tcPr>
          <w:p>
            <w:pPr>
              <w:spacing w:after="0"/>
              <w:jc w:val="left"/>
            </w:pPr>
            <w:r/>
            <w:r>
              <w:rPr>
                <w:rFonts w:ascii="Times New Roman" w:hAnsi="Times New Roman"/>
                <w:sz w:val="21"/>
              </w:rPr>
              <w:t>2026 partial and provisional (47.0% of its code 03/04 rows lack DAYS_LOST); experience blank on 20.1% of pre-2010 rows; codes 00 and 07-10 are not accident injuries to employees (19,932 rows in 2010-2025)</w:t>
            </w:r>
          </w:p>
        </w:tc>
        <w:tc>
          <w:tcPr>
            <w:tcW w:type="dxa" w:w="1504"/>
          </w:tcPr>
          <w:p>
            <w:pPr>
              <w:spacing w:after="0"/>
              <w:jc w:val="left"/>
            </w:pPr>
            <w:r/>
            <w:r>
              <w:rPr>
                <w:rFonts w:ascii="Times New Roman" w:hAnsi="Times New Roman"/>
                <w:sz w:val="21"/>
              </w:rPr>
              <w:t>All years and codes; years only; years and codes</w:t>
            </w:r>
          </w:p>
        </w:tc>
        <w:tc>
          <w:tcPr>
            <w:tcW w:type="dxa" w:w="1504"/>
          </w:tcPr>
          <w:p>
            <w:pPr>
              <w:spacing w:after="0"/>
              <w:jc w:val="left"/>
            </w:pPr>
            <w:r/>
            <w:r>
              <w:rPr>
                <w:rFonts w:ascii="Times New Roman" w:hAnsi="Times New Roman"/>
                <w:sz w:val="21"/>
              </w:rPr>
              <w:t>CAL_YR 2010-2025 and degree codes 01-06</w:t>
            </w:r>
          </w:p>
        </w:tc>
        <w:tc>
          <w:tcPr>
            <w:tcW w:type="dxa" w:w="1504"/>
          </w:tcPr>
          <w:p>
            <w:pPr>
              <w:spacing w:after="0"/>
              <w:jc w:val="left"/>
            </w:pPr>
            <w:r/>
            <w:r>
              <w:rPr>
                <w:rFonts w:ascii="Times New Roman" w:hAnsi="Times New Roman"/>
                <w:sz w:val="21"/>
              </w:rPr>
              <w:t>Complete label; one row is one injured worker</w:t>
            </w:r>
          </w:p>
        </w:tc>
        <w:tc>
          <w:tcPr>
            <w:tcW w:type="dxa" w:w="1504"/>
          </w:tcPr>
          <w:p>
            <w:pPr>
              <w:spacing w:after="0"/>
              <w:jc w:val="left"/>
            </w:pPr>
            <w:r/>
            <w:r>
              <w:rPr>
                <w:rFonts w:ascii="Times New Roman" w:hAnsi="Times New Roman"/>
                <w:sz w:val="21"/>
              </w:rPr>
              <w:t>101,609 x 57</w:t>
            </w:r>
          </w:p>
        </w:tc>
      </w:tr>
      <w:tr>
        <w:tc>
          <w:tcPr>
            <w:tcW w:type="dxa" w:w="1504"/>
          </w:tcPr>
          <w:p>
            <w:pPr>
              <w:spacing w:after="0"/>
              <w:jc w:val="left"/>
            </w:pPr>
            <w:r/>
            <w:r>
              <w:rPr>
                <w:rFonts w:ascii="Times New Roman" w:hAnsi="Times New Roman"/>
                <w:sz w:val="21"/>
              </w:rPr>
              <w:t>3 Integration (Mines, previous-year production, lagged cases)</w:t>
            </w:r>
          </w:p>
        </w:tc>
        <w:tc>
          <w:tcPr>
            <w:tcW w:type="dxa" w:w="1504"/>
          </w:tcPr>
          <w:p>
            <w:pPr>
              <w:spacing w:after="0"/>
              <w:jc w:val="left"/>
            </w:pPr>
            <w:r/>
            <w:r>
              <w:rPr>
                <w:rFonts w:ascii="Times New Roman" w:hAnsi="Times New Roman"/>
                <w:sz w:val="21"/>
              </w:rPr>
              <w:t>Production unique on MINE_ID, year and subunit (658,922 of 658,922); 1,206 rows without previous-year production (lost-time 53.7% vs 48.5%)</w:t>
            </w:r>
          </w:p>
        </w:tc>
        <w:tc>
          <w:tcPr>
            <w:tcW w:type="dxa" w:w="1504"/>
          </w:tcPr>
          <w:p>
            <w:pPr>
              <w:spacing w:after="0"/>
              <w:jc w:val="left"/>
            </w:pPr>
            <w:r/>
            <w:r>
              <w:rPr>
                <w:rFonts w:ascii="Times New Roman" w:hAnsi="Times New Roman"/>
                <w:sz w:val="21"/>
              </w:rPr>
              <w:t>Inner join; same-year left join; previous-year left join</w:t>
            </w:r>
          </w:p>
        </w:tc>
        <w:tc>
          <w:tcPr>
            <w:tcW w:type="dxa" w:w="1504"/>
          </w:tcPr>
          <w:p>
            <w:pPr>
              <w:spacing w:after="0"/>
              <w:jc w:val="left"/>
            </w:pPr>
            <w:r/>
            <w:r>
              <w:rPr>
                <w:rFonts w:ascii="Times New Roman" w:hAnsi="Times New Roman"/>
                <w:sz w:val="21"/>
              </w:rPr>
              <w:t xml:space="preserve">Left joins, </w:t>
            </w:r>
            <w:r>
              <w:rPr>
                <w:rFonts w:ascii="Consolas" w:hAnsi="Consolas"/>
                <w:sz w:val="21"/>
              </w:rPr>
              <w:t>validate="many_to_one"</w:t>
            </w:r>
            <w:r>
              <w:rPr>
                <w:rFonts w:ascii="Times New Roman" w:hAnsi="Times New Roman"/>
                <w:sz w:val="21"/>
              </w:rPr>
              <w:t>, indicator columns, asserted row counts; Mines matched 100.0%, previous-year production 98.8%; commodity flags agree on 100.0%</w:t>
            </w:r>
          </w:p>
        </w:tc>
        <w:tc>
          <w:tcPr>
            <w:tcW w:type="dxa" w:w="1504"/>
          </w:tcPr>
          <w:p>
            <w:pPr>
              <w:spacing w:after="0"/>
              <w:jc w:val="left"/>
            </w:pPr>
            <w:r/>
            <w:r>
              <w:rPr>
                <w:rFonts w:ascii="Times New Roman" w:hAnsi="Times New Roman"/>
                <w:sz w:val="21"/>
              </w:rPr>
              <w:t>Inner join drops new or idle mines; same-year hours are unreported at filing</w:t>
            </w:r>
          </w:p>
        </w:tc>
        <w:tc>
          <w:tcPr>
            <w:tcW w:type="dxa" w:w="1504"/>
          </w:tcPr>
          <w:p>
            <w:pPr>
              <w:spacing w:after="0"/>
              <w:jc w:val="left"/>
            </w:pPr>
            <w:r/>
            <w:r>
              <w:rPr>
                <w:rFonts w:ascii="Times New Roman" w:hAnsi="Times New Roman"/>
                <w:sz w:val="21"/>
              </w:rPr>
              <w:t>101,609 x 88</w:t>
            </w:r>
          </w:p>
        </w:tc>
      </w:tr>
      <w:tr>
        <w:tc>
          <w:tcPr>
            <w:tcW w:type="dxa" w:w="1504"/>
          </w:tcPr>
          <w:p>
            <w:pPr>
              <w:spacing w:after="0"/>
              <w:jc w:val="left"/>
            </w:pPr>
            <w:r/>
            <w:r>
              <w:rPr>
                <w:rFonts w:ascii="Times New Roman" w:hAnsi="Times New Roman"/>
                <w:sz w:val="21"/>
              </w:rPr>
              <w:t>4 Error rules for experience and victim count (E1-E4, E21)</w:t>
            </w:r>
          </w:p>
        </w:tc>
        <w:tc>
          <w:tcPr>
            <w:tcW w:type="dxa" w:w="1504"/>
          </w:tcPr>
          <w:p>
            <w:pPr>
              <w:spacing w:after="0"/>
              <w:jc w:val="left"/>
            </w:pPr>
            <w:r/>
            <w:r>
              <w:rPr>
                <w:rFonts w:ascii="Times New Roman" w:hAnsi="Times New Roman"/>
                <w:sz w:val="21"/>
              </w:rPr>
              <w:t>Job experience above total on 3,731 rows (median excess 6.0 years); mine experience above total on 83; any value above 60 years on 3; negative values 0; victim count above 10 on 33</w:t>
            </w:r>
          </w:p>
        </w:tc>
        <w:tc>
          <w:tcPr>
            <w:tcW w:type="dxa" w:w="1504"/>
          </w:tcPr>
          <w:p>
            <w:pPr>
              <w:spacing w:after="0"/>
              <w:jc w:val="left"/>
            </w:pPr>
            <w:r/>
            <w:r>
              <w:rPr>
                <w:rFonts w:ascii="Times New Roman" w:hAnsi="Times New Roman"/>
                <w:sz w:val="21"/>
              </w:rPr>
              <w:t>Clip to total; swap fields; drop rows; NaN with flag</w:t>
            </w:r>
          </w:p>
        </w:tc>
        <w:tc>
          <w:tcPr>
            <w:tcW w:type="dxa" w:w="1504"/>
          </w:tcPr>
          <w:p>
            <w:pPr>
              <w:spacing w:after="0"/>
              <w:jc w:val="left"/>
            </w:pPr>
            <w:r/>
            <w:r>
              <w:rPr>
                <w:rFonts w:ascii="Times New Roman" w:hAnsi="Times New Roman"/>
                <w:sz w:val="21"/>
              </w:rPr>
              <w:t xml:space="preserve">NaN plus </w:t>
            </w:r>
            <w:r>
              <w:rPr>
                <w:rFonts w:ascii="Consolas" w:hAnsi="Consolas"/>
                <w:sz w:val="21"/>
              </w:rPr>
              <w:t>exper_inconsistent</w:t>
            </w:r>
            <w:r>
              <w:rPr>
                <w:rFonts w:ascii="Times New Roman" w:hAnsi="Times New Roman"/>
                <w:sz w:val="21"/>
              </w:rPr>
              <w:t xml:space="preserve"> flag; assertion for negatives; victim count capped at 10</w:t>
            </w:r>
          </w:p>
        </w:tc>
        <w:tc>
          <w:tcPr>
            <w:tcW w:type="dxa" w:w="1504"/>
          </w:tcPr>
          <w:p>
            <w:pPr>
              <w:spacing w:after="0"/>
              <w:jc w:val="left"/>
            </w:pPr>
            <w:r/>
            <w:r>
              <w:rPr>
                <w:rFonts w:ascii="Times New Roman" w:hAnsi="Times New Roman"/>
                <w:sz w:val="21"/>
              </w:rPr>
              <w:t>A swap is plausible but unprovable, so clipping invents tenure; dropping loses 3.7% of rows</w:t>
            </w:r>
          </w:p>
        </w:tc>
        <w:tc>
          <w:tcPr>
            <w:tcW w:type="dxa" w:w="1504"/>
          </w:tcPr>
          <w:p>
            <w:pPr>
              <w:spacing w:after="0"/>
              <w:jc w:val="left"/>
            </w:pPr>
            <w:r/>
            <w:r>
              <w:rPr>
                <w:rFonts w:ascii="Times New Roman" w:hAnsi="Times New Roman"/>
                <w:sz w:val="21"/>
              </w:rPr>
              <w:t>101,609 rows, values only</w:t>
            </w:r>
          </w:p>
        </w:tc>
      </w:tr>
      <w:tr>
        <w:tc>
          <w:tcPr>
            <w:tcW w:type="dxa" w:w="1504"/>
          </w:tcPr>
          <w:p>
            <w:pPr>
              <w:spacing w:after="0"/>
              <w:jc w:val="left"/>
            </w:pPr>
            <w:r/>
            <w:r>
              <w:rPr>
                <w:rFonts w:ascii="Times New Roman" w:hAnsi="Times New Roman"/>
                <w:sz w:val="21"/>
              </w:rPr>
              <w:t>5 Error rules for times, places, dates and mine attributes (E5-E12, E22-E25)</w:t>
            </w:r>
          </w:p>
        </w:tc>
        <w:tc>
          <w:tcPr>
            <w:tcW w:type="dxa" w:w="1504"/>
          </w:tcPr>
          <w:p>
            <w:pPr>
              <w:spacing w:after="0"/>
              <w:jc w:val="left"/>
            </w:pPr>
            <w:r/>
            <w:r>
              <w:rPr>
                <w:rFonts w:ascii="Times New Roman" w:hAnsi="Times New Roman"/>
                <w:sz w:val="21"/>
              </w:rPr>
              <w:t>Accident time 9999 on 3,091 rows and 2400 on 326; shift start 9999 or blank on 519, 2400 on 1,833, three characters on 48; shift wraps midnight on 11,538; more than 16 h into shift on 662; invalid coordinates 3; 103(i) status dated after the accident or blank 22,368; previous-year hours below 2,000 on 764</w:t>
            </w:r>
          </w:p>
        </w:tc>
        <w:tc>
          <w:tcPr>
            <w:tcW w:type="dxa" w:w="1504"/>
          </w:tcPr>
          <w:p>
            <w:pPr>
              <w:spacing w:after="0"/>
              <w:jc w:val="left"/>
            </w:pPr>
            <w:r/>
            <w:r>
              <w:rPr>
                <w:rFonts w:ascii="Times New Roman" w:hAnsi="Times New Roman"/>
                <w:sz w:val="21"/>
              </w:rPr>
              <w:t>String slicing; drop rows; NaN or recode</w:t>
            </w:r>
          </w:p>
        </w:tc>
        <w:tc>
          <w:tcPr>
            <w:tcW w:type="dxa" w:w="1504"/>
          </w:tcPr>
          <w:p>
            <w:pPr>
              <w:spacing w:after="0"/>
              <w:jc w:val="left"/>
            </w:pPr>
            <w:r/>
            <w:r>
              <w:rPr>
                <w:rFonts w:ascii="Times New Roman" w:hAnsi="Times New Roman"/>
                <w:sz w:val="21"/>
              </w:rPr>
              <w:t>Integer HHMM parsing, 2400 to 00:00, 9999 to NaN, minute difference modulo 1,440, more than 16 h to NaN; coordinates outside the valid box to NaN; later-dated 103(i) status to "Unknown"; lagged rates winsorised at 50 per 200,000 h; dates asserted valid (0 failures)</w:t>
            </w:r>
          </w:p>
        </w:tc>
        <w:tc>
          <w:tcPr>
            <w:tcW w:type="dxa" w:w="1504"/>
          </w:tcPr>
          <w:p>
            <w:pPr>
              <w:spacing w:after="0"/>
              <w:jc w:val="left"/>
            </w:pPr>
            <w:r/>
            <w:r>
              <w:rPr>
                <w:rFonts w:ascii="Times New Roman" w:hAnsi="Times New Roman"/>
                <w:sz w:val="21"/>
              </w:rPr>
              <w:t>Each rule decodes a convention or blanks an impossible value without inventing data; counts logged in error_rules.csv</w:t>
            </w:r>
          </w:p>
        </w:tc>
        <w:tc>
          <w:tcPr>
            <w:tcW w:type="dxa" w:w="1504"/>
          </w:tcPr>
          <w:p>
            <w:pPr>
              <w:spacing w:after="0"/>
              <w:jc w:val="left"/>
            </w:pPr>
            <w:r/>
            <w:r>
              <w:rPr>
                <w:rFonts w:ascii="Times New Roman" w:hAnsi="Times New Roman"/>
                <w:sz w:val="21"/>
              </w:rPr>
              <w:t>101,609 x 96</w:t>
            </w:r>
          </w:p>
        </w:tc>
      </w:tr>
      <w:tr>
        <w:tc>
          <w:tcPr>
            <w:tcW w:type="dxa" w:w="1504"/>
          </w:tcPr>
          <w:p>
            <w:pPr>
              <w:spacing w:after="0"/>
              <w:jc w:val="left"/>
            </w:pPr>
            <w:r/>
            <w:r>
              <w:rPr>
                <w:rFonts w:ascii="Times New Roman" w:hAnsi="Times New Roman"/>
                <w:sz w:val="21"/>
              </w:rPr>
              <w:t>6 Duplicates and multi-victim accidents</w:t>
            </w:r>
          </w:p>
        </w:tc>
        <w:tc>
          <w:tcPr>
            <w:tcW w:type="dxa" w:w="1504"/>
          </w:tcPr>
          <w:p>
            <w:pPr>
              <w:spacing w:after="0"/>
              <w:jc w:val="left"/>
            </w:pPr>
            <w:r/>
            <w:r>
              <w:rPr>
                <w:rFonts w:ascii="Times New Roman" w:hAnsi="Times New Roman"/>
                <w:sz w:val="21"/>
              </w:rPr>
              <w:t>Exact duplicates 0; DOCUMENT_NO unique; 5 rows identical without DOCUMENT_NO, CLOSED_DOC_NO and NARRATIVE; 2,614 same-day mine groups hold 5,530 rows (883 with mixed labels)</w:t>
            </w:r>
          </w:p>
        </w:tc>
        <w:tc>
          <w:tcPr>
            <w:tcW w:type="dxa" w:w="1504"/>
          </w:tcPr>
          <w:p>
            <w:pPr>
              <w:spacing w:after="0"/>
              <w:jc w:val="left"/>
            </w:pPr>
            <w:r/>
            <w:r>
              <w:rPr>
                <w:rFonts w:ascii="Times New Roman" w:hAnsi="Times New Roman"/>
                <w:sz w:val="21"/>
              </w:rPr>
              <w:t>Drop near duplicates; one row per accident; keep</w:t>
            </w:r>
          </w:p>
        </w:tc>
        <w:tc>
          <w:tcPr>
            <w:tcW w:type="dxa" w:w="1504"/>
          </w:tcPr>
          <w:p>
            <w:pPr>
              <w:spacing w:after="0"/>
              <w:jc w:val="left"/>
            </w:pPr>
            <w:r/>
            <w:r>
              <w:rPr>
                <w:rFonts w:ascii="Times New Roman" w:hAnsi="Times New Roman"/>
                <w:sz w:val="21"/>
              </w:rPr>
              <w:t>Keep every row; same-day groups kept on one side of the split</w:t>
            </w:r>
          </w:p>
        </w:tc>
        <w:tc>
          <w:tcPr>
            <w:tcW w:type="dxa" w:w="1504"/>
          </w:tcPr>
          <w:p>
            <w:pPr>
              <w:spacing w:after="0"/>
              <w:jc w:val="left"/>
            </w:pPr>
            <w:r/>
            <w:r>
              <w:rPr>
                <w:rFonts w:ascii="Times New Roman" w:hAnsi="Times New Roman"/>
                <w:sz w:val="21"/>
              </w:rPr>
              <w:t>One Form 7000-1 per injured person, so the rows are distinct claimants</w:t>
            </w:r>
          </w:p>
        </w:tc>
        <w:tc>
          <w:tcPr>
            <w:tcW w:type="dxa" w:w="1504"/>
          </w:tcPr>
          <w:p>
            <w:pPr>
              <w:spacing w:after="0"/>
              <w:jc w:val="left"/>
            </w:pPr>
            <w:r/>
            <w:r>
              <w:rPr>
                <w:rFonts w:ascii="Times New Roman" w:hAnsi="Times New Roman"/>
                <w:sz w:val="21"/>
              </w:rPr>
              <w:t>101,609 x 96</w:t>
            </w:r>
          </w:p>
        </w:tc>
      </w:tr>
      <w:tr>
        <w:tc>
          <w:tcPr>
            <w:tcW w:type="dxa" w:w="1504"/>
          </w:tcPr>
          <w:p>
            <w:pPr>
              <w:spacing w:after="0"/>
              <w:jc w:val="left"/>
            </w:pPr>
            <w:r/>
            <w:r>
              <w:rPr>
                <w:rFonts w:ascii="Times New Roman" w:hAnsi="Times New Roman"/>
                <w:sz w:val="21"/>
              </w:rPr>
              <w:t>7 Leakage and sparse-column removal</w:t>
            </w:r>
          </w:p>
        </w:tc>
        <w:tc>
          <w:tcPr>
            <w:tcW w:type="dxa" w:w="1504"/>
          </w:tcPr>
          <w:p>
            <w:pPr>
              <w:spacing w:after="0"/>
              <w:jc w:val="left"/>
            </w:pPr>
            <w:r/>
            <w:r>
              <w:rPr>
                <w:rFonts w:ascii="Times New Roman" w:hAnsi="Times New Roman"/>
                <w:sz w:val="21"/>
              </w:rPr>
              <w:t>DAYS_LOST Cramer's V 0.955 with the target; CLOSED_DOC_NO present for 72.2% of positives vs 33.5% of negatives; Mines status date after the accident for 40.4% of rows; EQUIP_MODEL_NO 76.7% blank</w:t>
            </w:r>
          </w:p>
        </w:tc>
        <w:tc>
          <w:tcPr>
            <w:tcW w:type="dxa" w:w="1504"/>
          </w:tcPr>
          <w:p>
            <w:pPr>
              <w:spacing w:after="0"/>
              <w:jc w:val="left"/>
            </w:pPr>
            <w:r/>
            <w:r>
              <w:rPr>
                <w:rFonts w:ascii="Times New Roman" w:hAnsi="Times New Roman"/>
                <w:sz w:val="21"/>
              </w:rPr>
              <w:t>Keep with caveat; keep for EDA only; drop</w:t>
            </w:r>
          </w:p>
        </w:tc>
        <w:tc>
          <w:tcPr>
            <w:tcW w:type="dxa" w:w="1504"/>
          </w:tcPr>
          <w:p>
            <w:pPr>
              <w:spacing w:after="0"/>
              <w:jc w:val="left"/>
            </w:pPr>
            <w:r/>
            <w:r>
              <w:rPr>
                <w:rFonts w:ascii="Times New Roman" w:hAnsi="Times New Roman"/>
                <w:sz w:val="21"/>
              </w:rPr>
              <w:t>Drop outcome fields, snapshot attributes, identifiers and columns more than 60% missing</w:t>
            </w:r>
          </w:p>
        </w:tc>
        <w:tc>
          <w:tcPr>
            <w:tcW w:type="dxa" w:w="1504"/>
          </w:tcPr>
          <w:p>
            <w:pPr>
              <w:spacing w:after="0"/>
              <w:jc w:val="left"/>
            </w:pPr>
            <w:r/>
            <w:r>
              <w:rPr>
                <w:rFonts w:ascii="Times New Roman" w:hAnsi="Times New Roman"/>
                <w:sz w:val="21"/>
              </w:rPr>
              <w:t>Not known, or not reliable, when the form is filed</w:t>
            </w:r>
          </w:p>
        </w:tc>
        <w:tc>
          <w:tcPr>
            <w:tcW w:type="dxa" w:w="1504"/>
          </w:tcPr>
          <w:p>
            <w:pPr>
              <w:spacing w:after="0"/>
              <w:jc w:val="left"/>
            </w:pPr>
            <w:r/>
            <w:r>
              <w:rPr>
                <w:rFonts w:ascii="Times New Roman" w:hAnsi="Times New Roman"/>
                <w:sz w:val="21"/>
              </w:rPr>
              <w:t>101,609 rows</w:t>
            </w:r>
          </w:p>
        </w:tc>
      </w:tr>
      <w:tr>
        <w:tc>
          <w:tcPr>
            <w:tcW w:type="dxa" w:w="1504"/>
          </w:tcPr>
          <w:p>
            <w:pPr>
              <w:spacing w:after="0"/>
              <w:jc w:val="left"/>
            </w:pPr>
            <w:r/>
            <w:r>
              <w:rPr>
                <w:rFonts w:ascii="Times New Roman" w:hAnsi="Times New Roman"/>
                <w:sz w:val="21"/>
              </w:rPr>
              <w:t>8 Feature engineering</w:t>
            </w:r>
          </w:p>
        </w:tc>
        <w:tc>
          <w:tcPr>
            <w:tcW w:type="dxa" w:w="1504"/>
          </w:tcPr>
          <w:p>
            <w:pPr>
              <w:spacing w:after="0"/>
              <w:jc w:val="left"/>
            </w:pPr>
            <w:r/>
            <w:r>
              <w:rPr>
                <w:rFonts w:ascii="Times New Roman" w:hAnsi="Times New Roman"/>
                <w:sz w:val="21"/>
              </w:rPr>
              <w:t>Raw HHMM times, dates, counts and hours; 1.9% of previous-year cases filed after the row's accident date</w:t>
            </w:r>
          </w:p>
        </w:tc>
        <w:tc>
          <w:tcPr>
            <w:tcW w:type="dxa" w:w="1504"/>
          </w:tcPr>
          <w:p>
            <w:pPr>
              <w:spacing w:after="0"/>
              <w:jc w:val="left"/>
            </w:pPr>
            <w:r/>
            <w:r>
              <w:rPr>
                <w:rFonts w:ascii="Times New Roman" w:hAnsi="Times New Roman"/>
                <w:sz w:val="21"/>
              </w:rPr>
              <w:t>Raw fields; same-year exposure; previous-year counts cut at accident date; cut at filing date</w:t>
            </w:r>
          </w:p>
        </w:tc>
        <w:tc>
          <w:tcPr>
            <w:tcW w:type="dxa" w:w="1504"/>
          </w:tcPr>
          <w:p>
            <w:pPr>
              <w:spacing w:after="0"/>
              <w:jc w:val="left"/>
            </w:pPr>
            <w:r/>
            <w:r>
              <w:rPr>
                <w:rFonts w:ascii="Times New Roman" w:hAnsi="Times New Roman"/>
                <w:sz w:val="21"/>
              </w:rPr>
              <w:t>Clock, calendar, experience, report-flag, exposure, lagged-history, 103(i)-status, coordinate and missing-indicator features with the filing-date cut</w:t>
            </w:r>
          </w:p>
        </w:tc>
        <w:tc>
          <w:tcPr>
            <w:tcW w:type="dxa" w:w="1504"/>
          </w:tcPr>
          <w:p>
            <w:pPr>
              <w:spacing w:after="0"/>
              <w:jc w:val="left"/>
            </w:pPr>
            <w:r/>
            <w:r>
              <w:rPr>
                <w:rFonts w:ascii="Times New Roman" w:hAnsi="Times New Roman"/>
                <w:sz w:val="21"/>
              </w:rPr>
              <w:t>Every feature passes the known-at-filing check</w:t>
            </w:r>
          </w:p>
        </w:tc>
        <w:tc>
          <w:tcPr>
            <w:tcW w:type="dxa" w:w="1504"/>
          </w:tcPr>
          <w:p>
            <w:pPr>
              <w:spacing w:after="0"/>
              <w:jc w:val="left"/>
            </w:pPr>
            <w:r/>
            <w:r>
              <w:rPr>
                <w:rFonts w:ascii="Times New Roman" w:hAnsi="Times New Roman"/>
                <w:sz w:val="21"/>
              </w:rPr>
              <w:t>101,609 x 55 (23 categorical, 20 numeric, 12 binary)</w:t>
            </w:r>
          </w:p>
        </w:tc>
      </w:tr>
      <w:tr>
        <w:tc>
          <w:tcPr>
            <w:tcW w:type="dxa" w:w="1504"/>
          </w:tcPr>
          <w:p>
            <w:pPr>
              <w:spacing w:after="0"/>
              <w:jc w:val="left"/>
            </w:pPr>
            <w:r/>
            <w:r>
              <w:rPr>
                <w:rFonts w:ascii="Times New Roman" w:hAnsi="Times New Roman"/>
                <w:sz w:val="21"/>
              </w:rPr>
              <w:t>9 Train, validation and test split</w:t>
            </w:r>
          </w:p>
        </w:tc>
        <w:tc>
          <w:tcPr>
            <w:tcW w:type="dxa" w:w="1504"/>
          </w:tcPr>
          <w:p>
            <w:pPr>
              <w:spacing w:after="0"/>
              <w:jc w:val="left"/>
            </w:pPr>
            <w:r/>
            <w:r>
              <w:rPr>
                <w:rFonts w:ascii="Times New Roman" w:hAnsi="Times New Roman"/>
                <w:sz w:val="21"/>
              </w:rPr>
              <w:t>82.3% of rows share a mine-year with another date; later siblings' mean label gives ROC-AUC 0.667; unstratified group folds give prevalence 46.5-50.9%</w:t>
            </w:r>
          </w:p>
        </w:tc>
        <w:tc>
          <w:tcPr>
            <w:tcW w:type="dxa" w:w="1504"/>
          </w:tcPr>
          <w:p>
            <w:pPr>
              <w:spacing w:after="0"/>
              <w:jc w:val="left"/>
            </w:pPr>
            <w:r/>
            <w:r>
              <w:rPr>
                <w:rFonts w:ascii="Times New Roman" w:hAnsi="Times New Roman"/>
                <w:sz w:val="21"/>
              </w:rPr>
              <w:t>Stratified random 80/20; group by MINE_ID (8,303 groups); temporal 2010-2019 vs 2020-2025</w:t>
            </w:r>
          </w:p>
        </w:tc>
        <w:tc>
          <w:tcPr>
            <w:tcW w:type="dxa" w:w="1504"/>
          </w:tcPr>
          <w:p>
            <w:pPr>
              <w:spacing w:after="0"/>
              <w:jc w:val="left"/>
            </w:pPr>
            <w:r/>
            <w:r>
              <w:rPr>
                <w:rFonts w:ascii="Times New Roman" w:hAnsi="Times New Roman"/>
                <w:sz w:val="21"/>
              </w:rPr>
              <w:t>StratifiedGroupKFold (5 folds, shuffle, random_state = 42) on 32,732 mine-years, fold 0 as test; 5-fold StratifiedGroupKFold on the training rows as validation</w:t>
            </w:r>
          </w:p>
        </w:tc>
        <w:tc>
          <w:tcPr>
            <w:tcW w:type="dxa" w:w="1504"/>
          </w:tcPr>
          <w:p>
            <w:pPr>
              <w:spacing w:after="0"/>
              <w:jc w:val="left"/>
            </w:pPr>
            <w:r/>
            <w:r>
              <w:rPr>
                <w:rFonts w:ascii="Times New Roman" w:hAnsi="Times New Roman"/>
                <w:sz w:val="21"/>
              </w:rPr>
              <w:t>No mine-year or same-day group crosses the split; prevalence 48.6% in both train and test</w:t>
            </w:r>
          </w:p>
        </w:tc>
        <w:tc>
          <w:tcPr>
            <w:tcW w:type="dxa" w:w="1504"/>
          </w:tcPr>
          <w:p>
            <w:pPr>
              <w:spacing w:after="0"/>
              <w:jc w:val="left"/>
            </w:pPr>
            <w:r/>
            <w:r>
              <w:rPr>
                <w:rFonts w:ascii="Times New Roman" w:hAnsi="Times New Roman"/>
                <w:sz w:val="21"/>
              </w:rPr>
              <w:t>Train 81,289 x 55; test 20,320 x 55 (6,724 mine-years)</w:t>
            </w:r>
          </w:p>
        </w:tc>
      </w:tr>
      <w:tr>
        <w:tc>
          <w:tcPr>
            <w:tcW w:type="dxa" w:w="1504"/>
          </w:tcPr>
          <w:p>
            <w:pPr>
              <w:spacing w:after="0"/>
              <w:jc w:val="left"/>
            </w:pPr>
            <w:r/>
            <w:r>
              <w:rPr>
                <w:rFonts w:ascii="Times New Roman" w:hAnsi="Times New Roman"/>
                <w:sz w:val="21"/>
              </w:rPr>
              <w:t>10 Class balance</w:t>
            </w:r>
          </w:p>
        </w:tc>
        <w:tc>
          <w:tcPr>
            <w:tcW w:type="dxa" w:w="1504"/>
          </w:tcPr>
          <w:p>
            <w:pPr>
              <w:spacing w:after="0"/>
              <w:jc w:val="left"/>
            </w:pPr>
            <w:r/>
            <w:r>
              <w:rPr>
                <w:rFonts w:ascii="Times New Roman" w:hAnsi="Times New Roman"/>
                <w:sz w:val="21"/>
              </w:rPr>
              <w:t>Training prevalence 48.6%; negative to positive 1.058 on all rows</w:t>
            </w:r>
          </w:p>
        </w:tc>
        <w:tc>
          <w:tcPr>
            <w:tcW w:type="dxa" w:w="1504"/>
          </w:tcPr>
          <w:p>
            <w:pPr>
              <w:spacing w:after="0"/>
              <w:jc w:val="left"/>
            </w:pPr>
            <w:r/>
            <w:r>
              <w:rPr>
                <w:rFonts w:ascii="Times New Roman" w:hAnsi="Times New Roman"/>
                <w:sz w:val="21"/>
              </w:rPr>
              <w:t>None; class_weight; random under- or over-sampling; SMOTE inside folds; threshold tuning</w:t>
            </w:r>
          </w:p>
        </w:tc>
        <w:tc>
          <w:tcPr>
            <w:tcW w:type="dxa" w:w="1504"/>
          </w:tcPr>
          <w:p>
            <w:pPr>
              <w:spacing w:after="0"/>
              <w:jc w:val="left"/>
            </w:pPr>
            <w:r/>
            <w:r>
              <w:rPr>
                <w:rFonts w:ascii="Times New Roman" w:hAnsi="Times New Roman"/>
                <w:sz w:val="21"/>
              </w:rPr>
              <w:t>No resampling; class_weight in the logistic-regression grid; threshold tuned on out-of-fold probabilities; test set untouched</w:t>
            </w:r>
          </w:p>
        </w:tc>
        <w:tc>
          <w:tcPr>
            <w:tcW w:type="dxa" w:w="1504"/>
          </w:tcPr>
          <w:p>
            <w:pPr>
              <w:spacing w:after="0"/>
              <w:jc w:val="left"/>
            </w:pPr>
            <w:r/>
            <w:r>
              <w:rPr>
                <w:rFonts w:ascii="Times New Roman" w:hAnsi="Times New Roman"/>
                <w:sz w:val="21"/>
              </w:rPr>
              <w:t>Near balance; resampling distorts the probabilities used by the cost threshold</w:t>
            </w:r>
          </w:p>
        </w:tc>
        <w:tc>
          <w:tcPr>
            <w:tcW w:type="dxa" w:w="1504"/>
          </w:tcPr>
          <w:p>
            <w:pPr>
              <w:spacing w:after="0"/>
              <w:jc w:val="left"/>
            </w:pPr>
            <w:r/>
            <w:r>
              <w:rPr>
                <w:rFonts w:ascii="Times New Roman" w:hAnsi="Times New Roman"/>
                <w:sz w:val="21"/>
              </w:rPr>
              <w:t>81,289 x 55</w:t>
            </w:r>
          </w:p>
        </w:tc>
      </w:tr>
      <w:tr>
        <w:tc>
          <w:tcPr>
            <w:tcW w:type="dxa" w:w="1504"/>
          </w:tcPr>
          <w:p>
            <w:pPr>
              <w:spacing w:after="0"/>
              <w:jc w:val="left"/>
            </w:pPr>
            <w:r/>
            <w:r>
              <w:rPr>
                <w:rFonts w:ascii="Times New Roman" w:hAnsi="Times New Roman"/>
                <w:sz w:val="21"/>
              </w:rPr>
              <w:t>11 Missing values</w:t>
            </w:r>
          </w:p>
        </w:tc>
        <w:tc>
          <w:tcPr>
            <w:tcW w:type="dxa" w:w="1504"/>
          </w:tcPr>
          <w:p>
            <w:pPr>
              <w:spacing w:after="0"/>
              <w:jc w:val="left"/>
            </w:pPr>
            <w:r/>
            <w:r>
              <w:rPr>
                <w:rFonts w:ascii="Times New Roman" w:hAnsi="Times New Roman"/>
                <w:sz w:val="21"/>
              </w:rPr>
              <w:t>Missing on training rows: TOT_EXPER 1.2%, JOB_EXPER 4.5% (after E1), hours_into_shift 3.8%, previous-year exposure 1.2%, prev_lost_time_share 19.8%, coordinates 0.2%; structural placeholders 53.9-66.6%; lost-time 59.3% when TOT_EXPER is blank vs 48.5% when recorded; TOT_EXPER blank on 2.2% of 2010 rows and under 1% from 2017 onwards</w:t>
            </w:r>
          </w:p>
        </w:tc>
        <w:tc>
          <w:tcPr>
            <w:tcW w:type="dxa" w:w="1504"/>
          </w:tcPr>
          <w:p>
            <w:pPr>
              <w:spacing w:after="0"/>
              <w:jc w:val="left"/>
            </w:pPr>
            <w:r/>
            <w:r>
              <w:rPr>
                <w:rFonts w:ascii="Times New Roman" w:hAnsi="Times New Roman"/>
                <w:sz w:val="21"/>
              </w:rPr>
              <w:t>Listwise deletion; mean; median; most_frequent; KNNImputer; IterativeImputer; add_indicator</w:t>
            </w:r>
          </w:p>
        </w:tc>
        <w:tc>
          <w:tcPr>
            <w:tcW w:type="dxa" w:w="1504"/>
          </w:tcPr>
          <w:p>
            <w:pPr>
              <w:spacing w:after="0"/>
              <w:jc w:val="left"/>
            </w:pPr>
            <w:r/>
            <w:r>
              <w:rPr>
                <w:rFonts w:ascii="Times New Roman" w:hAnsi="Times New Roman"/>
                <w:sz w:val="21"/>
              </w:rPr>
              <w:t>SimpleImputer(median) for numerics; seven explicit indicator flags; level "none" for structural placeholders; constant level "missing" for other categorical gaps</w:t>
            </w:r>
          </w:p>
        </w:tc>
        <w:tc>
          <w:tcPr>
            <w:tcW w:type="dxa" w:w="1504"/>
          </w:tcPr>
          <w:p>
            <w:pPr>
              <w:spacing w:after="0"/>
              <w:jc w:val="left"/>
            </w:pPr>
            <w:r/>
            <w:r>
              <w:rPr>
                <w:rFonts w:ascii="Times New Roman" w:hAnsi="Times New Roman"/>
                <w:sz w:val="21"/>
              </w:rPr>
              <w:t>Skewed columns; not MCAR; built-in indicators would repeat one flag six times</w:t>
            </w:r>
          </w:p>
        </w:tc>
        <w:tc>
          <w:tcPr>
            <w:tcW w:type="dxa" w:w="1504"/>
          </w:tcPr>
          <w:p>
            <w:pPr>
              <w:spacing w:after="0"/>
              <w:jc w:val="left"/>
            </w:pPr>
            <w:r/>
            <w:r>
              <w:rPr>
                <w:rFonts w:ascii="Times New Roman" w:hAnsi="Times New Roman"/>
                <w:sz w:val="21"/>
              </w:rPr>
              <w:t>81,289 x 55, no NaN</w:t>
            </w:r>
          </w:p>
        </w:tc>
      </w:tr>
      <w:tr>
        <w:tc>
          <w:tcPr>
            <w:tcW w:type="dxa" w:w="1504"/>
          </w:tcPr>
          <w:p>
            <w:pPr>
              <w:spacing w:after="0"/>
              <w:jc w:val="left"/>
            </w:pPr>
            <w:r/>
            <w:r>
              <w:rPr>
                <w:rFonts w:ascii="Times New Roman" w:hAnsi="Times New Roman"/>
                <w:sz w:val="21"/>
              </w:rPr>
              <w:t>12 Outliers and skew</w:t>
            </w:r>
          </w:p>
        </w:tc>
        <w:tc>
          <w:tcPr>
            <w:tcW w:type="dxa" w:w="1504"/>
          </w:tcPr>
          <w:p>
            <w:pPr>
              <w:spacing w:after="0"/>
              <w:jc w:val="left"/>
            </w:pPr>
            <w:r/>
            <w:r>
              <w:rPr>
                <w:rFonts w:ascii="Times New Roman" w:hAnsi="Times New Roman"/>
                <w:sz w:val="21"/>
              </w:rPr>
              <w:t>Skewness TOT_EXPER 1.37, prev_hours 4.27; TOT_EXPER flagged by IQR fences 4,020 (5.0%) vs Z-score 714 (0.9%); prev_hours 3,872 (4.8%) vs 1,454 (1.8%)</w:t>
            </w:r>
          </w:p>
        </w:tc>
        <w:tc>
          <w:tcPr>
            <w:tcW w:type="dxa" w:w="1504"/>
          </w:tcPr>
          <w:p>
            <w:pPr>
              <w:spacing w:after="0"/>
              <w:jc w:val="left"/>
            </w:pPr>
            <w:r/>
            <w:r>
              <w:rPr>
                <w:rFonts w:ascii="Times New Roman" w:hAnsi="Times New Roman"/>
                <w:sz w:val="21"/>
              </w:rPr>
              <w:t>IQR clip; Z-score clip; log1p; keep</w:t>
            </w:r>
          </w:p>
        </w:tc>
        <w:tc>
          <w:tcPr>
            <w:tcW w:type="dxa" w:w="1504"/>
          </w:tcPr>
          <w:p>
            <w:pPr>
              <w:spacing w:after="0"/>
              <w:jc w:val="left"/>
            </w:pPr>
            <w:r/>
            <w:r>
              <w:rPr>
                <w:rFonts w:ascii="Times New Roman" w:hAnsi="Times New Roman"/>
                <w:sz w:val="21"/>
              </w:rPr>
              <w:t>Keep values; add log1p of both (log1p TOT_EXPER flags 0 under both rules); clipping as an application option</w:t>
            </w:r>
          </w:p>
        </w:tc>
        <w:tc>
          <w:tcPr>
            <w:tcW w:type="dxa" w:w="1504"/>
          </w:tcPr>
          <w:p>
            <w:pPr>
              <w:spacing w:after="0"/>
              <w:jc w:val="left"/>
            </w:pPr>
            <w:r/>
            <w:r>
              <w:rPr>
                <w:rFonts w:ascii="Times New Roman" w:hAnsi="Times New Roman"/>
                <w:sz w:val="21"/>
              </w:rPr>
              <w:t>Flagged values are real veterans and large mines; impossible values handled by E3 and E25</w:t>
            </w:r>
          </w:p>
        </w:tc>
        <w:tc>
          <w:tcPr>
            <w:tcW w:type="dxa" w:w="1504"/>
          </w:tcPr>
          <w:p>
            <w:pPr>
              <w:spacing w:after="0"/>
              <w:jc w:val="left"/>
            </w:pPr>
            <w:r/>
            <w:r>
              <w:rPr>
                <w:rFonts w:ascii="Times New Roman" w:hAnsi="Times New Roman"/>
                <w:sz w:val="21"/>
              </w:rPr>
              <w:t>81,289 x 55</w:t>
            </w:r>
          </w:p>
        </w:tc>
      </w:tr>
      <w:tr>
        <w:tc>
          <w:tcPr>
            <w:tcW w:type="dxa" w:w="1504"/>
          </w:tcPr>
          <w:p>
            <w:pPr>
              <w:spacing w:after="0"/>
              <w:jc w:val="left"/>
            </w:pPr>
            <w:r/>
            <w:r>
              <w:rPr>
                <w:rFonts w:ascii="Times New Roman" w:hAnsi="Times New Roman"/>
                <w:sz w:val="21"/>
              </w:rPr>
              <w:t>13 Encoding</w:t>
            </w:r>
          </w:p>
        </w:tc>
        <w:tc>
          <w:tcPr>
            <w:tcW w:type="dxa" w:w="1504"/>
          </w:tcPr>
          <w:p>
            <w:pPr>
              <w:spacing w:after="0"/>
              <w:jc w:val="left"/>
            </w:pPr>
            <w:r/>
            <w:r>
              <w:rPr>
                <w:rFonts w:ascii="Times New Roman" w:hAnsi="Times New Roman"/>
                <w:sz w:val="21"/>
              </w:rPr>
              <w:t>23 nominal features; OCCUPATION 193 titles, EQUIP_MFR_NAME 132, INJURY_SOURCE_CD 124 on training rows; unseen levels possible at inference</w:t>
            </w:r>
          </w:p>
        </w:tc>
        <w:tc>
          <w:tcPr>
            <w:tcW w:type="dxa" w:w="1504"/>
          </w:tcPr>
          <w:p>
            <w:pPr>
              <w:spacing w:after="0"/>
              <w:jc w:val="left"/>
            </w:pPr>
            <w:r/>
            <w:r>
              <w:rPr>
                <w:rFonts w:ascii="Times New Roman" w:hAnsi="Times New Roman"/>
                <w:sz w:val="21"/>
              </w:rPr>
              <w:t>One-hot; ordinal; target encoding; label encoding</w:t>
            </w:r>
          </w:p>
        </w:tc>
        <w:tc>
          <w:tcPr>
            <w:tcW w:type="dxa" w:w="1504"/>
          </w:tcPr>
          <w:p>
            <w:pPr>
              <w:spacing w:after="0"/>
              <w:jc w:val="left"/>
            </w:pPr>
            <w:r/>
            <w:r>
              <w:rPr>
                <w:rFonts w:ascii="Times New Roman" w:hAnsi="Times New Roman"/>
                <w:sz w:val="21"/>
              </w:rPr>
              <w:t>OneHotEncoder(handle_unknown="infrequent_if_exist", min_frequency=0.001); OrdinalEncoder as application option; label encoding for the target only</w:t>
            </w:r>
          </w:p>
        </w:tc>
        <w:tc>
          <w:tcPr>
            <w:tcW w:type="dxa" w:w="1504"/>
          </w:tcPr>
          <w:p>
            <w:pPr>
              <w:spacing w:after="0"/>
              <w:jc w:val="left"/>
            </w:pPr>
            <w:r/>
            <w:r>
              <w:rPr>
                <w:rFonts w:ascii="Times New Roman" w:hAnsi="Times New Roman"/>
                <w:sz w:val="21"/>
              </w:rPr>
              <w:t>No false order; levels below about 81 training rows and unseen levels pooled</w:t>
            </w:r>
          </w:p>
        </w:tc>
        <w:tc>
          <w:tcPr>
            <w:tcW w:type="dxa" w:w="1504"/>
          </w:tcPr>
          <w:p>
            <w:pPr>
              <w:spacing w:after="0"/>
              <w:jc w:val="left"/>
            </w:pPr>
            <w:r/>
            <w:r>
              <w:rPr>
                <w:rFonts w:ascii="Times New Roman" w:hAnsi="Times New Roman"/>
                <w:sz w:val="21"/>
              </w:rPr>
              <w:t>81,289 x 552</w:t>
            </w:r>
          </w:p>
        </w:tc>
      </w:tr>
      <w:tr>
        <w:tc>
          <w:tcPr>
            <w:tcW w:type="dxa" w:w="1504"/>
          </w:tcPr>
          <w:p>
            <w:pPr>
              <w:spacing w:after="0"/>
              <w:jc w:val="left"/>
            </w:pPr>
            <w:r/>
            <w:r>
              <w:rPr>
                <w:rFonts w:ascii="Times New Roman" w:hAnsi="Times New Roman"/>
                <w:sz w:val="21"/>
              </w:rPr>
              <w:t>14 Scaling</w:t>
            </w:r>
          </w:p>
        </w:tc>
        <w:tc>
          <w:tcPr>
            <w:tcW w:type="dxa" w:w="1504"/>
          </w:tcPr>
          <w:p>
            <w:pPr>
              <w:spacing w:after="0"/>
              <w:jc w:val="left"/>
            </w:pPr>
            <w:r/>
            <w:r>
              <w:rPr>
                <w:rFonts w:ascii="Times New Roman" w:hAnsi="Times New Roman"/>
                <w:sz w:val="21"/>
              </w:rPr>
              <w:t>prev_hours from 1 to 7,735,308 h (median 246,979); experience 0.02 to 60 years</w:t>
            </w:r>
          </w:p>
        </w:tc>
        <w:tc>
          <w:tcPr>
            <w:tcW w:type="dxa" w:w="1504"/>
          </w:tcPr>
          <w:p>
            <w:pPr>
              <w:spacing w:after="0"/>
              <w:jc w:val="left"/>
            </w:pPr>
            <w:r/>
            <w:r>
              <w:rPr>
                <w:rFonts w:ascii="Times New Roman" w:hAnsi="Times New Roman"/>
                <w:sz w:val="21"/>
              </w:rPr>
              <w:t>StandardScaler; MinMaxScaler; RobustScaler; Normalizer; none</w:t>
            </w:r>
          </w:p>
        </w:tc>
        <w:tc>
          <w:tcPr>
            <w:tcW w:type="dxa" w:w="1504"/>
          </w:tcPr>
          <w:p>
            <w:pPr>
              <w:spacing w:after="0"/>
              <w:jc w:val="left"/>
            </w:pPr>
            <w:r/>
            <w:r>
              <w:rPr>
                <w:rFonts w:ascii="Times New Roman" w:hAnsi="Times New Roman"/>
                <w:sz w:val="21"/>
              </w:rPr>
              <w:t>StandardScaler for logistic regression, KNN, SVM, MLP and Gaussian naive Bayes; none for decision tree, random forest and histogram-based gradient boosting</w:t>
            </w:r>
          </w:p>
        </w:tc>
        <w:tc>
          <w:tcPr>
            <w:tcW w:type="dxa" w:w="1504"/>
          </w:tcPr>
          <w:p>
            <w:pPr>
              <w:spacing w:after="0"/>
              <w:jc w:val="left"/>
            </w:pPr>
            <w:r/>
            <w:r>
              <w:rPr>
                <w:rFonts w:ascii="Times New Roman" w:hAnsi="Times New Roman"/>
                <w:sz w:val="21"/>
              </w:rPr>
              <w:t>Distance, gradient and variance-based models need comparable scales; tree splits are invariant to monotone rescaling</w:t>
            </w:r>
          </w:p>
        </w:tc>
        <w:tc>
          <w:tcPr>
            <w:tcW w:type="dxa" w:w="1504"/>
          </w:tcPr>
          <w:p>
            <w:pPr>
              <w:spacing w:after="0"/>
              <w:jc w:val="left"/>
            </w:pPr>
            <w:r/>
            <w:r>
              <w:rPr>
                <w:rFonts w:ascii="Times New Roman" w:hAnsi="Times New Roman"/>
                <w:sz w:val="21"/>
              </w:rPr>
              <w:t>81,289 x 552</w:t>
            </w:r>
          </w:p>
        </w:tc>
      </w:tr>
    </w:tbl>
    <w:p>
      <w:pPr>
        <w:spacing w:after="80"/>
      </w:pPr>
    </w:p>
    <w:p>
      <w:r>
        <w:br w:type="page"/>
      </w:r>
    </w:p>
    <w:p>
      <w:pPr>
        <w:pStyle w:val="Heading1"/>
      </w:pPr>
      <w:r>
        <w:rPr>
          <w:rFonts w:ascii="Times New Roman" w:hAnsi="Times New Roman"/>
          <w:b/>
          <w:color w:val="000000"/>
          <w:sz w:val="32"/>
        </w:rPr>
        <w:t>4 Modelling</w:t>
      </w:r>
    </w:p>
    <w:p>
      <w:pPr>
        <w:pStyle w:val="Heading2"/>
      </w:pPr>
      <w:r>
        <w:rPr>
          <w:rFonts w:ascii="Times New Roman" w:hAnsi="Times New Roman"/>
          <w:b/>
          <w:color w:val="000000"/>
          <w:sz w:val="28"/>
        </w:rPr>
        <w:t>4.1 Summary</w:t>
      </w:r>
    </w:p>
    <w:p>
      <w:r>
        <w:rPr>
          <w:rFonts w:ascii="Times New Roman" w:hAnsi="Times New Roman"/>
          <w:sz w:val="24"/>
        </w:rPr>
        <w:t>The task is supervised binary classification of each Form 7000-1 report as lost-time or not, with a probability that ranks the adjuster's review queue. Eight algorithms were compared on the same split and fold scheme (Table 9): logistic regression, KNN, Gaussian naive Bayes, a decision tree, a random forest, histogram-based gradient boosting (HGB), an SVM with a radial basis function (RBF) kernel and an MLP. Each was tuned by GridSearchCV, or RandomizedSearchCV for the forest, over five StratifiedGroupKFold folds of mine-year groups inside the training split. PR-AUC, computed as average precision, was the primary metric and the refit criterion (Table 10). Decision thresholds were then fixed on out-of-fold probabilities, so the test set was scored once. HGB ranked first in cross-validation (Table 11) and on the test set (Table 12), with a test PR-AUC of 0.841. At its capacity threshold it flags about three reports in four and finds 0.943 of lost-time cases with a precision of 0.599 (Table 13; Table 16). It passes five of the six performance criteria and misses recall at half capacity by a small margin (Table 17).</w:t>
      </w:r>
    </w:p>
    <w:p>
      <w:pPr>
        <w:pStyle w:val="Heading2"/>
      </w:pPr>
      <w:r>
        <w:rPr>
          <w:rFonts w:ascii="Times New Roman" w:hAnsi="Times New Roman"/>
          <w:b/>
          <w:color w:val="000000"/>
          <w:sz w:val="28"/>
        </w:rPr>
        <w:t>4.2 Algorithm selection</w:t>
      </w:r>
    </w:p>
    <w:p>
      <w:r>
        <w:rPr>
          <w:rFonts w:ascii="Times New Roman" w:hAnsi="Times New Roman"/>
          <w:sz w:val="24"/>
        </w:rPr>
        <w:t>Encoding yields 552 columns, mostly zero-valued one-hot indicators beside skewed numeric and binary features (Table 8). Size relations are monotone but curved and collinear (Table 7). Nominal codes lead the associations, and the classes are near balance. An adjuster needs a reason for every flag and the application scores forms on demand, so interpretability and speed also counted (Table 9).</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9</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The eight candidate algorithms with their paradigm, key assumption, the violation found in the training split and the bias it introduces, scaling need, interpretability and the module week in which each was taught; violations refer to the exploratory analysis of the training split in Section 2. Source: author's analysis of MSHA open data.</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E7E6E6"/>
          </w:tcPr>
          <w:p>
            <w:pPr>
              <w:jc w:val="left"/>
            </w:pPr>
            <w:r>
              <w:rPr>
                <w:b/>
              </w:rPr>
            </w:r>
            <w:r>
              <w:rPr>
                <w:rFonts w:ascii="Times New Roman" w:hAnsi="Times New Roman"/>
                <w:b/>
                <w:sz w:val="21"/>
              </w:rPr>
              <w:t>Algorithm</w:t>
            </w:r>
          </w:p>
        </w:tc>
        <w:tc>
          <w:tcPr>
            <w:tcW w:type="dxa" w:w="1289"/>
            <w:shd w:val="clear" w:color="auto" w:fill="E7E6E6"/>
          </w:tcPr>
          <w:p>
            <w:pPr>
              <w:jc w:val="left"/>
            </w:pPr>
            <w:r>
              <w:rPr>
                <w:b/>
              </w:rPr>
            </w:r>
            <w:r>
              <w:rPr>
                <w:rFonts w:ascii="Times New Roman" w:hAnsi="Times New Roman"/>
                <w:b/>
                <w:sz w:val="21"/>
              </w:rPr>
              <w:t>Paradigm</w:t>
            </w:r>
          </w:p>
        </w:tc>
        <w:tc>
          <w:tcPr>
            <w:tcW w:type="dxa" w:w="1289"/>
            <w:shd w:val="clear" w:color="auto" w:fill="E7E6E6"/>
          </w:tcPr>
          <w:p>
            <w:pPr>
              <w:jc w:val="left"/>
            </w:pPr>
            <w:r>
              <w:rPr>
                <w:b/>
              </w:rPr>
            </w:r>
            <w:r>
              <w:rPr>
                <w:rFonts w:ascii="Times New Roman" w:hAnsi="Times New Roman"/>
                <w:b/>
                <w:sz w:val="21"/>
              </w:rPr>
              <w:t>Key assumption</w:t>
            </w:r>
          </w:p>
        </w:tc>
        <w:tc>
          <w:tcPr>
            <w:tcW w:type="dxa" w:w="1289"/>
            <w:shd w:val="clear" w:color="auto" w:fill="E7E6E6"/>
          </w:tcPr>
          <w:p>
            <w:pPr>
              <w:jc w:val="left"/>
            </w:pPr>
            <w:r>
              <w:rPr>
                <w:b/>
              </w:rPr>
            </w:r>
            <w:r>
              <w:rPr>
                <w:rFonts w:ascii="Times New Roman" w:hAnsi="Times New Roman"/>
                <w:b/>
                <w:sz w:val="21"/>
              </w:rPr>
              <w:t>Violation in this data and resulting bias</w:t>
            </w:r>
          </w:p>
        </w:tc>
        <w:tc>
          <w:tcPr>
            <w:tcW w:type="dxa" w:w="1289"/>
            <w:shd w:val="clear" w:color="auto" w:fill="E7E6E6"/>
          </w:tcPr>
          <w:p>
            <w:pPr>
              <w:jc w:val="left"/>
            </w:pPr>
            <w:r>
              <w:rPr>
                <w:b/>
              </w:rPr>
            </w:r>
            <w:r>
              <w:rPr>
                <w:rFonts w:ascii="Times New Roman" w:hAnsi="Times New Roman"/>
                <w:b/>
                <w:sz w:val="21"/>
              </w:rPr>
              <w:t>Scaling</w:t>
            </w:r>
          </w:p>
        </w:tc>
        <w:tc>
          <w:tcPr>
            <w:tcW w:type="dxa" w:w="1289"/>
            <w:shd w:val="clear" w:color="auto" w:fill="E7E6E6"/>
          </w:tcPr>
          <w:p>
            <w:pPr>
              <w:jc w:val="left"/>
            </w:pPr>
            <w:r>
              <w:rPr>
                <w:b/>
              </w:rPr>
            </w:r>
            <w:r>
              <w:rPr>
                <w:rFonts w:ascii="Times New Roman" w:hAnsi="Times New Roman"/>
                <w:b/>
                <w:sz w:val="21"/>
              </w:rPr>
              <w:t>Interpretability</w:t>
            </w:r>
          </w:p>
        </w:tc>
        <w:tc>
          <w:tcPr>
            <w:tcW w:type="dxa" w:w="1289"/>
            <w:shd w:val="clear" w:color="auto" w:fill="E7E6E6"/>
          </w:tcPr>
          <w:p>
            <w:pPr>
              <w:jc w:val="left"/>
            </w:pPr>
            <w:r>
              <w:rPr>
                <w:b/>
              </w:rPr>
            </w:r>
            <w:r>
              <w:rPr>
                <w:rFonts w:ascii="Times New Roman" w:hAnsi="Times New Roman"/>
                <w:b/>
                <w:sz w:val="21"/>
              </w:rPr>
              <w:t>Taught week</w:t>
            </w:r>
          </w:p>
        </w:tc>
      </w:tr>
      <w:tr>
        <w:tc>
          <w:tcPr>
            <w:tcW w:type="dxa" w:w="1289"/>
          </w:tcPr>
          <w:p>
            <w:pPr>
              <w:spacing w:after="0"/>
              <w:jc w:val="left"/>
            </w:pPr>
            <w:r/>
            <w:r>
              <w:rPr>
                <w:rFonts w:ascii="Times New Roman" w:hAnsi="Times New Roman"/>
                <w:sz w:val="21"/>
              </w:rPr>
              <w:t>Logistic regression</w:t>
            </w:r>
          </w:p>
        </w:tc>
        <w:tc>
          <w:tcPr>
            <w:tcW w:type="dxa" w:w="1289"/>
          </w:tcPr>
          <w:p>
            <w:pPr>
              <w:spacing w:after="0"/>
              <w:jc w:val="left"/>
            </w:pPr>
            <w:r/>
            <w:r>
              <w:rPr>
                <w:rFonts w:ascii="Times New Roman" w:hAnsi="Times New Roman"/>
                <w:sz w:val="21"/>
              </w:rPr>
              <w:t>parametric; discriminative; eager</w:t>
            </w:r>
          </w:p>
        </w:tc>
        <w:tc>
          <w:tcPr>
            <w:tcW w:type="dxa" w:w="1289"/>
          </w:tcPr>
          <w:p>
            <w:pPr>
              <w:spacing w:after="0"/>
              <w:jc w:val="left"/>
            </w:pPr>
            <w:r/>
            <w:r>
              <w:rPr>
                <w:rFonts w:ascii="Times New Roman" w:hAnsi="Times New Roman"/>
                <w:sz w:val="21"/>
              </w:rPr>
              <w:t>log-odds linear and additive in the encoded columns</w:t>
            </w:r>
          </w:p>
        </w:tc>
        <w:tc>
          <w:tcPr>
            <w:tcW w:type="dxa" w:w="1289"/>
          </w:tcPr>
          <w:p>
            <w:pPr>
              <w:spacing w:after="0"/>
              <w:jc w:val="left"/>
            </w:pPr>
            <w:r/>
            <w:r>
              <w:rPr>
                <w:rFonts w:ascii="Times New Roman" w:hAnsi="Times New Roman"/>
                <w:sz w:val="21"/>
              </w:rPr>
              <w:t>curved size effects (Pearson r 0.645 against Spearman 0.994) and nature x body part interactions; underfits (high bias)</w:t>
            </w:r>
          </w:p>
        </w:tc>
        <w:tc>
          <w:tcPr>
            <w:tcW w:type="dxa" w:w="1289"/>
          </w:tcPr>
          <w:p>
            <w:pPr>
              <w:spacing w:after="0"/>
              <w:jc w:val="left"/>
            </w:pPr>
            <w:r/>
            <w:r>
              <w:rPr>
                <w:rFonts w:ascii="Times New Roman" w:hAnsi="Times New Roman"/>
                <w:sz w:val="21"/>
              </w:rPr>
              <w:t>StandardScaler</w:t>
            </w:r>
          </w:p>
        </w:tc>
        <w:tc>
          <w:tcPr>
            <w:tcW w:type="dxa" w:w="1289"/>
          </w:tcPr>
          <w:p>
            <w:pPr>
              <w:spacing w:after="0"/>
              <w:jc w:val="left"/>
            </w:pPr>
            <w:r/>
            <w:r>
              <w:rPr>
                <w:rFonts w:ascii="Times New Roman" w:hAnsi="Times New Roman"/>
                <w:sz w:val="21"/>
              </w:rPr>
              <w:t>high: coefficients convert to odds ratios</w:t>
            </w:r>
          </w:p>
        </w:tc>
        <w:tc>
          <w:tcPr>
            <w:tcW w:type="dxa" w:w="1289"/>
          </w:tcPr>
          <w:p>
            <w:pPr>
              <w:spacing w:after="0"/>
              <w:jc w:val="left"/>
            </w:pPr>
            <w:r/>
            <w:r>
              <w:rPr>
                <w:rFonts w:ascii="Times New Roman" w:hAnsi="Times New Roman"/>
                <w:sz w:val="21"/>
              </w:rPr>
              <w:t>4</w:t>
            </w:r>
          </w:p>
        </w:tc>
      </w:tr>
      <w:tr>
        <w:tc>
          <w:tcPr>
            <w:tcW w:type="dxa" w:w="1289"/>
          </w:tcPr>
          <w:p>
            <w:pPr>
              <w:spacing w:after="0"/>
              <w:jc w:val="left"/>
            </w:pPr>
            <w:r/>
            <w:r>
              <w:rPr>
                <w:rFonts w:ascii="Times New Roman" w:hAnsi="Times New Roman"/>
                <w:sz w:val="21"/>
              </w:rPr>
              <w:t>KNN</w:t>
            </w:r>
          </w:p>
        </w:tc>
        <w:tc>
          <w:tcPr>
            <w:tcW w:type="dxa" w:w="1289"/>
          </w:tcPr>
          <w:p>
            <w:pPr>
              <w:spacing w:after="0"/>
              <w:jc w:val="left"/>
            </w:pPr>
            <w:r/>
            <w:r>
              <w:rPr>
                <w:rFonts w:ascii="Times New Roman" w:hAnsi="Times New Roman"/>
                <w:sz w:val="21"/>
              </w:rPr>
              <w:t>non-parametric; discriminative; lazy (instance-based)</w:t>
            </w:r>
          </w:p>
        </w:tc>
        <w:tc>
          <w:tcPr>
            <w:tcW w:type="dxa" w:w="1289"/>
          </w:tcPr>
          <w:p>
            <w:pPr>
              <w:spacing w:after="0"/>
              <w:jc w:val="left"/>
            </w:pPr>
            <w:r/>
            <w:r>
              <w:rPr>
                <w:rFonts w:ascii="Times New Roman" w:hAnsi="Times New Roman"/>
                <w:sz w:val="21"/>
              </w:rPr>
              <w:t>rows close in scaled Euclidean space share outcomes</w:t>
            </w:r>
          </w:p>
        </w:tc>
        <w:tc>
          <w:tcPr>
            <w:tcW w:type="dxa" w:w="1289"/>
          </w:tcPr>
          <w:p>
            <w:pPr>
              <w:spacing w:after="0"/>
              <w:jc w:val="left"/>
            </w:pPr>
            <w:r/>
            <w:r>
              <w:rPr>
                <w:rFonts w:ascii="Times New Roman" w:hAnsi="Times New Roman"/>
                <w:sz w:val="21"/>
              </w:rPr>
              <w:t>552 mostly binary dimensions flatten distances, so votes drift towards the local base rate</w:t>
            </w:r>
          </w:p>
        </w:tc>
        <w:tc>
          <w:tcPr>
            <w:tcW w:type="dxa" w:w="1289"/>
          </w:tcPr>
          <w:p>
            <w:pPr>
              <w:spacing w:after="0"/>
              <w:jc w:val="left"/>
            </w:pPr>
            <w:r/>
            <w:r>
              <w:rPr>
                <w:rFonts w:ascii="Times New Roman" w:hAnsi="Times New Roman"/>
                <w:sz w:val="21"/>
              </w:rPr>
              <w:t>StandardScaler</w:t>
            </w:r>
          </w:p>
        </w:tc>
        <w:tc>
          <w:tcPr>
            <w:tcW w:type="dxa" w:w="1289"/>
          </w:tcPr>
          <w:p>
            <w:pPr>
              <w:spacing w:after="0"/>
              <w:jc w:val="left"/>
            </w:pPr>
            <w:r/>
            <w:r>
              <w:rPr>
                <w:rFonts w:ascii="Times New Roman" w:hAnsi="Times New Roman"/>
                <w:sz w:val="21"/>
              </w:rPr>
              <w:t>low: a flag is explained only by similar past reports</w:t>
            </w:r>
          </w:p>
        </w:tc>
        <w:tc>
          <w:tcPr>
            <w:tcW w:type="dxa" w:w="1289"/>
          </w:tcPr>
          <w:p>
            <w:pPr>
              <w:spacing w:after="0"/>
              <w:jc w:val="left"/>
            </w:pPr>
            <w:r/>
            <w:r>
              <w:rPr>
                <w:rFonts w:ascii="Times New Roman" w:hAnsi="Times New Roman"/>
                <w:sz w:val="21"/>
              </w:rPr>
              <w:t>5</w:t>
            </w:r>
          </w:p>
        </w:tc>
      </w:tr>
      <w:tr>
        <w:tc>
          <w:tcPr>
            <w:tcW w:type="dxa" w:w="1289"/>
          </w:tcPr>
          <w:p>
            <w:pPr>
              <w:spacing w:after="0"/>
              <w:jc w:val="left"/>
            </w:pPr>
            <w:r/>
            <w:r>
              <w:rPr>
                <w:rFonts w:ascii="Times New Roman" w:hAnsi="Times New Roman"/>
                <w:sz w:val="21"/>
              </w:rPr>
              <w:t>Gaussian naive Bayes</w:t>
            </w:r>
          </w:p>
        </w:tc>
        <w:tc>
          <w:tcPr>
            <w:tcW w:type="dxa" w:w="1289"/>
          </w:tcPr>
          <w:p>
            <w:pPr>
              <w:spacing w:after="0"/>
              <w:jc w:val="left"/>
            </w:pPr>
            <w:r/>
            <w:r>
              <w:rPr>
                <w:rFonts w:ascii="Times New Roman" w:hAnsi="Times New Roman"/>
                <w:sz w:val="21"/>
              </w:rPr>
              <w:t>parametric; generative; eager</w:t>
            </w:r>
          </w:p>
        </w:tc>
        <w:tc>
          <w:tcPr>
            <w:tcW w:type="dxa" w:w="1289"/>
          </w:tcPr>
          <w:p>
            <w:pPr>
              <w:spacing w:after="0"/>
              <w:jc w:val="left"/>
            </w:pPr>
            <w:r/>
            <w:r>
              <w:rPr>
                <w:rFonts w:ascii="Times New Roman" w:hAnsi="Times New Roman"/>
                <w:sz w:val="21"/>
              </w:rPr>
              <w:t>features independent given the class, each Gaussian within a class</w:t>
            </w:r>
          </w:p>
        </w:tc>
        <w:tc>
          <w:tcPr>
            <w:tcW w:type="dxa" w:w="1289"/>
          </w:tcPr>
          <w:p>
            <w:pPr>
              <w:spacing w:after="0"/>
              <w:jc w:val="left"/>
            </w:pPr>
            <w:r/>
            <w:r>
              <w:rPr>
                <w:rFonts w:ascii="Times New Roman" w:hAnsi="Times New Roman"/>
                <w:sz w:val="21"/>
              </w:rPr>
              <w:t>collinear size measures (VIF above 160) and nine highly skewed numeric features; evidence counted twice, overconfident posteriors</w:t>
            </w:r>
          </w:p>
        </w:tc>
        <w:tc>
          <w:tcPr>
            <w:tcW w:type="dxa" w:w="1289"/>
          </w:tcPr>
          <w:p>
            <w:pPr>
              <w:spacing w:after="0"/>
              <w:jc w:val="left"/>
            </w:pPr>
            <w:r/>
            <w:r>
              <w:rPr>
                <w:rFonts w:ascii="Times New Roman" w:hAnsi="Times New Roman"/>
                <w:sz w:val="21"/>
              </w:rPr>
              <w:t>StandardScaler (var_smoothing is relative to the largest variance)</w:t>
            </w:r>
          </w:p>
        </w:tc>
        <w:tc>
          <w:tcPr>
            <w:tcW w:type="dxa" w:w="1289"/>
          </w:tcPr>
          <w:p>
            <w:pPr>
              <w:spacing w:after="0"/>
              <w:jc w:val="left"/>
            </w:pPr>
            <w:r/>
            <w:r>
              <w:rPr>
                <w:rFonts w:ascii="Times New Roman" w:hAnsi="Times New Roman"/>
                <w:sz w:val="21"/>
              </w:rPr>
              <w:t>medium: class-conditional means</w:t>
            </w:r>
          </w:p>
        </w:tc>
        <w:tc>
          <w:tcPr>
            <w:tcW w:type="dxa" w:w="1289"/>
          </w:tcPr>
          <w:p>
            <w:pPr>
              <w:spacing w:after="0"/>
              <w:jc w:val="left"/>
            </w:pPr>
            <w:r/>
            <w:r>
              <w:rPr>
                <w:rFonts w:ascii="Times New Roman" w:hAnsi="Times New Roman"/>
                <w:sz w:val="21"/>
              </w:rPr>
              <w:t>5</w:t>
            </w:r>
          </w:p>
        </w:tc>
      </w:tr>
      <w:tr>
        <w:tc>
          <w:tcPr>
            <w:tcW w:type="dxa" w:w="1289"/>
          </w:tcPr>
          <w:p>
            <w:pPr>
              <w:spacing w:after="0"/>
              <w:jc w:val="left"/>
            </w:pPr>
            <w:r/>
            <w:r>
              <w:rPr>
                <w:rFonts w:ascii="Times New Roman" w:hAnsi="Times New Roman"/>
                <w:sz w:val="21"/>
              </w:rPr>
              <w:t>Decision tree (CART)</w:t>
            </w:r>
          </w:p>
        </w:tc>
        <w:tc>
          <w:tcPr>
            <w:tcW w:type="dxa" w:w="1289"/>
          </w:tcPr>
          <w:p>
            <w:pPr>
              <w:spacing w:after="0"/>
              <w:jc w:val="left"/>
            </w:pPr>
            <w:r/>
            <w:r>
              <w:rPr>
                <w:rFonts w:ascii="Times New Roman" w:hAnsi="Times New Roman"/>
                <w:sz w:val="21"/>
              </w:rPr>
              <w:t>non-parametric; discriminative; eager</w:t>
            </w:r>
          </w:p>
        </w:tc>
        <w:tc>
          <w:tcPr>
            <w:tcW w:type="dxa" w:w="1289"/>
          </w:tcPr>
          <w:p>
            <w:pPr>
              <w:spacing w:after="0"/>
              <w:jc w:val="left"/>
            </w:pPr>
            <w:r/>
            <w:r>
              <w:rPr>
                <w:rFonts w:ascii="Times New Roman" w:hAnsi="Times New Roman"/>
                <w:sz w:val="21"/>
              </w:rPr>
              <w:t>classes separate in axis-aligned boxes</w:t>
            </w:r>
          </w:p>
        </w:tc>
        <w:tc>
          <w:tcPr>
            <w:tcW w:type="dxa" w:w="1289"/>
          </w:tcPr>
          <w:p>
            <w:pPr>
              <w:spacing w:after="0"/>
              <w:jc w:val="left"/>
            </w:pPr>
            <w:r/>
            <w:r>
              <w:rPr>
                <w:rFonts w:ascii="Times New Roman" w:hAnsi="Times New Roman"/>
                <w:sz w:val="21"/>
              </w:rPr>
              <w:t>curved effects need many steps; greedy splits give high variance</w:t>
            </w:r>
          </w:p>
        </w:tc>
        <w:tc>
          <w:tcPr>
            <w:tcW w:type="dxa" w:w="1289"/>
          </w:tcPr>
          <w:p>
            <w:pPr>
              <w:spacing w:after="0"/>
              <w:jc w:val="left"/>
            </w:pPr>
            <w:r/>
            <w:r>
              <w:rPr>
                <w:rFonts w:ascii="Times New Roman" w:hAnsi="Times New Roman"/>
                <w:sz w:val="21"/>
              </w:rPr>
              <w:t>none</w:t>
            </w:r>
          </w:p>
        </w:tc>
        <w:tc>
          <w:tcPr>
            <w:tcW w:type="dxa" w:w="1289"/>
          </w:tcPr>
          <w:p>
            <w:pPr>
              <w:spacing w:after="0"/>
              <w:jc w:val="left"/>
            </w:pPr>
            <w:r/>
            <w:r>
              <w:rPr>
                <w:rFonts w:ascii="Times New Roman" w:hAnsi="Times New Roman"/>
                <w:sz w:val="21"/>
              </w:rPr>
              <w:t>high when shallow: if-then rules</w:t>
            </w:r>
          </w:p>
        </w:tc>
        <w:tc>
          <w:tcPr>
            <w:tcW w:type="dxa" w:w="1289"/>
          </w:tcPr>
          <w:p>
            <w:pPr>
              <w:spacing w:after="0"/>
              <w:jc w:val="left"/>
            </w:pPr>
            <w:r/>
            <w:r>
              <w:rPr>
                <w:rFonts w:ascii="Times New Roman" w:hAnsi="Times New Roman"/>
                <w:sz w:val="21"/>
              </w:rPr>
              <w:t>6</w:t>
            </w:r>
          </w:p>
        </w:tc>
      </w:tr>
      <w:tr>
        <w:tc>
          <w:tcPr>
            <w:tcW w:type="dxa" w:w="1289"/>
          </w:tcPr>
          <w:p>
            <w:pPr>
              <w:spacing w:after="0"/>
              <w:jc w:val="left"/>
            </w:pPr>
            <w:r/>
            <w:r>
              <w:rPr>
                <w:rFonts w:ascii="Times New Roman" w:hAnsi="Times New Roman"/>
                <w:sz w:val="21"/>
              </w:rPr>
              <w:t>Random forest</w:t>
            </w:r>
          </w:p>
        </w:tc>
        <w:tc>
          <w:tcPr>
            <w:tcW w:type="dxa" w:w="1289"/>
          </w:tcPr>
          <w:p>
            <w:pPr>
              <w:spacing w:after="0"/>
              <w:jc w:val="left"/>
            </w:pPr>
            <w:r/>
            <w:r>
              <w:rPr>
                <w:rFonts w:ascii="Times New Roman" w:hAnsi="Times New Roman"/>
                <w:sz w:val="21"/>
              </w:rPr>
              <w:t>non-parametric bagging ensemble; discriminative; eager</w:t>
            </w:r>
          </w:p>
        </w:tc>
        <w:tc>
          <w:tcPr>
            <w:tcW w:type="dxa" w:w="1289"/>
          </w:tcPr>
          <w:p>
            <w:pPr>
              <w:spacing w:after="0"/>
              <w:jc w:val="left"/>
            </w:pPr>
            <w:r/>
            <w:r>
              <w:rPr>
                <w:rFonts w:ascii="Times New Roman" w:hAnsi="Times New Roman"/>
                <w:sz w:val="21"/>
              </w:rPr>
              <w:t>averaging decorrelated deep trees cancels their variance</w:t>
            </w:r>
          </w:p>
        </w:tc>
        <w:tc>
          <w:tcPr>
            <w:tcW w:type="dxa" w:w="1289"/>
          </w:tcPr>
          <w:p>
            <w:pPr>
              <w:spacing w:after="0"/>
              <w:jc w:val="left"/>
            </w:pPr>
            <w:r/>
            <w:r>
              <w:rPr>
                <w:rFonts w:ascii="Times New Roman" w:hAnsi="Times New Roman"/>
                <w:sz w:val="21"/>
              </w:rPr>
              <w:t>few violations; averaged leaf frequencies pull probabilities towards the middle</w:t>
            </w:r>
          </w:p>
        </w:tc>
        <w:tc>
          <w:tcPr>
            <w:tcW w:type="dxa" w:w="1289"/>
          </w:tcPr>
          <w:p>
            <w:pPr>
              <w:spacing w:after="0"/>
              <w:jc w:val="left"/>
            </w:pPr>
            <w:r/>
            <w:r>
              <w:rPr>
                <w:rFonts w:ascii="Times New Roman" w:hAnsi="Times New Roman"/>
                <w:sz w:val="21"/>
              </w:rPr>
              <w:t>none</w:t>
            </w:r>
          </w:p>
        </w:tc>
        <w:tc>
          <w:tcPr>
            <w:tcW w:type="dxa" w:w="1289"/>
          </w:tcPr>
          <w:p>
            <w:pPr>
              <w:spacing w:after="0"/>
              <w:jc w:val="left"/>
            </w:pPr>
            <w:r/>
            <w:r>
              <w:rPr>
                <w:rFonts w:ascii="Times New Roman" w:hAnsi="Times New Roman"/>
                <w:sz w:val="21"/>
              </w:rPr>
              <w:t>medium: permutation importance</w:t>
            </w:r>
          </w:p>
        </w:tc>
        <w:tc>
          <w:tcPr>
            <w:tcW w:type="dxa" w:w="1289"/>
          </w:tcPr>
          <w:p>
            <w:pPr>
              <w:spacing w:after="0"/>
              <w:jc w:val="left"/>
            </w:pPr>
            <w:r/>
            <w:r>
              <w:rPr>
                <w:rFonts w:ascii="Times New Roman" w:hAnsi="Times New Roman"/>
                <w:sz w:val="21"/>
              </w:rPr>
              <w:t>6</w:t>
            </w:r>
          </w:p>
        </w:tc>
      </w:tr>
      <w:tr>
        <w:tc>
          <w:tcPr>
            <w:tcW w:type="dxa" w:w="1289"/>
          </w:tcPr>
          <w:p>
            <w:pPr>
              <w:spacing w:after="0"/>
              <w:jc w:val="left"/>
            </w:pPr>
            <w:r/>
            <w:r>
              <w:rPr>
                <w:rFonts w:ascii="Times New Roman" w:hAnsi="Times New Roman"/>
                <w:sz w:val="21"/>
              </w:rPr>
              <w:t>Histogram-based gradient boosting (HGB)</w:t>
            </w:r>
          </w:p>
        </w:tc>
        <w:tc>
          <w:tcPr>
            <w:tcW w:type="dxa" w:w="1289"/>
          </w:tcPr>
          <w:p>
            <w:pPr>
              <w:spacing w:after="0"/>
              <w:jc w:val="left"/>
            </w:pPr>
            <w:r/>
            <w:r>
              <w:rPr>
                <w:rFonts w:ascii="Times New Roman" w:hAnsi="Times New Roman"/>
                <w:sz w:val="21"/>
              </w:rPr>
              <w:t>non-parametric boosting ensemble; discriminative; eager</w:t>
            </w:r>
          </w:p>
        </w:tc>
        <w:tc>
          <w:tcPr>
            <w:tcW w:type="dxa" w:w="1289"/>
          </w:tcPr>
          <w:p>
            <w:pPr>
              <w:spacing w:after="0"/>
              <w:jc w:val="left"/>
            </w:pPr>
            <w:r/>
            <w:r>
              <w:rPr>
                <w:rFonts w:ascii="Times New Roman" w:hAnsi="Times New Roman"/>
                <w:sz w:val="21"/>
              </w:rPr>
              <w:t>log-odds is a sum of small trees on binned features</w:t>
            </w:r>
          </w:p>
        </w:tc>
        <w:tc>
          <w:tcPr>
            <w:tcW w:type="dxa" w:w="1289"/>
          </w:tcPr>
          <w:p>
            <w:pPr>
              <w:spacing w:after="0"/>
              <w:jc w:val="left"/>
            </w:pPr>
            <w:r/>
            <w:r>
              <w:rPr>
                <w:rFonts w:ascii="Times New Roman" w:hAnsi="Times New Roman"/>
                <w:sz w:val="21"/>
              </w:rPr>
              <w:t>rare levels pooled into one column; greedy binned splits; tied to the training-period mix of codes</w:t>
            </w:r>
          </w:p>
        </w:tc>
        <w:tc>
          <w:tcPr>
            <w:tcW w:type="dxa" w:w="1289"/>
          </w:tcPr>
          <w:p>
            <w:pPr>
              <w:spacing w:after="0"/>
              <w:jc w:val="left"/>
            </w:pPr>
            <w:r/>
            <w:r>
              <w:rPr>
                <w:rFonts w:ascii="Times New Roman" w:hAnsi="Times New Roman"/>
                <w:sz w:val="21"/>
              </w:rPr>
              <w:t>none</w:t>
            </w:r>
          </w:p>
        </w:tc>
        <w:tc>
          <w:tcPr>
            <w:tcW w:type="dxa" w:w="1289"/>
          </w:tcPr>
          <w:p>
            <w:pPr>
              <w:spacing w:after="0"/>
              <w:jc w:val="left"/>
            </w:pPr>
            <w:r/>
            <w:r>
              <w:rPr>
                <w:rFonts w:ascii="Times New Roman" w:hAnsi="Times New Roman"/>
                <w:sz w:val="21"/>
              </w:rPr>
              <w:t>medium: permutation importance and SHAP values</w:t>
            </w:r>
          </w:p>
        </w:tc>
        <w:tc>
          <w:tcPr>
            <w:tcW w:type="dxa" w:w="1289"/>
          </w:tcPr>
          <w:p>
            <w:pPr>
              <w:spacing w:after="0"/>
              <w:jc w:val="left"/>
            </w:pPr>
            <w:r/>
            <w:r>
              <w:rPr>
                <w:rFonts w:ascii="Times New Roman" w:hAnsi="Times New Roman"/>
                <w:sz w:val="21"/>
              </w:rPr>
              <w:t>6</w:t>
            </w:r>
          </w:p>
        </w:tc>
      </w:tr>
      <w:tr>
        <w:tc>
          <w:tcPr>
            <w:tcW w:type="dxa" w:w="1289"/>
          </w:tcPr>
          <w:p>
            <w:pPr>
              <w:spacing w:after="0"/>
              <w:jc w:val="left"/>
            </w:pPr>
            <w:r/>
            <w:r>
              <w:rPr>
                <w:rFonts w:ascii="Times New Roman" w:hAnsi="Times New Roman"/>
                <w:sz w:val="21"/>
              </w:rPr>
              <w:t>SVM, RBF kernel</w:t>
            </w:r>
          </w:p>
        </w:tc>
        <w:tc>
          <w:tcPr>
            <w:tcW w:type="dxa" w:w="1289"/>
          </w:tcPr>
          <w:p>
            <w:pPr>
              <w:spacing w:after="0"/>
              <w:jc w:val="left"/>
            </w:pPr>
            <w:r/>
            <w:r>
              <w:rPr>
                <w:rFonts w:ascii="Times New Roman" w:hAnsi="Times New Roman"/>
                <w:sz w:val="21"/>
              </w:rPr>
              <w:t>non-parametric (kernel); discriminative; eager</w:t>
            </w:r>
          </w:p>
        </w:tc>
        <w:tc>
          <w:tcPr>
            <w:tcW w:type="dxa" w:w="1289"/>
          </w:tcPr>
          <w:p>
            <w:pPr>
              <w:spacing w:after="0"/>
              <w:jc w:val="left"/>
            </w:pPr>
            <w:r/>
            <w:r>
              <w:rPr>
                <w:rFonts w:ascii="Times New Roman" w:hAnsi="Times New Roman"/>
                <w:sz w:val="21"/>
              </w:rPr>
              <w:t>a smooth wide-margin boundary in kernel space</w:t>
            </w:r>
          </w:p>
        </w:tc>
        <w:tc>
          <w:tcPr>
            <w:tcW w:type="dxa" w:w="1289"/>
          </w:tcPr>
          <w:p>
            <w:pPr>
              <w:spacing w:after="0"/>
              <w:jc w:val="left"/>
            </w:pPr>
            <w:r/>
            <w:r>
              <w:rPr>
                <w:rFonts w:ascii="Times New Roman" w:hAnsi="Times New Roman"/>
                <w:sz w:val="21"/>
              </w:rPr>
              <w:t>training cost at least quadratic in rows, so fitted on 10,000 rows; scores need Platt scaling</w:t>
            </w:r>
          </w:p>
        </w:tc>
        <w:tc>
          <w:tcPr>
            <w:tcW w:type="dxa" w:w="1289"/>
          </w:tcPr>
          <w:p>
            <w:pPr>
              <w:spacing w:after="0"/>
              <w:jc w:val="left"/>
            </w:pPr>
            <w:r/>
            <w:r>
              <w:rPr>
                <w:rFonts w:ascii="Times New Roman" w:hAnsi="Times New Roman"/>
                <w:sz w:val="21"/>
              </w:rPr>
              <w:t>StandardScaler</w:t>
            </w:r>
          </w:p>
        </w:tc>
        <w:tc>
          <w:tcPr>
            <w:tcW w:type="dxa" w:w="1289"/>
          </w:tcPr>
          <w:p>
            <w:pPr>
              <w:spacing w:after="0"/>
              <w:jc w:val="left"/>
            </w:pPr>
            <w:r/>
            <w:r>
              <w:rPr>
                <w:rFonts w:ascii="Times New Roman" w:hAnsi="Times New Roman"/>
                <w:sz w:val="21"/>
              </w:rPr>
              <w:t>low: margin scores only</w:t>
            </w:r>
          </w:p>
        </w:tc>
        <w:tc>
          <w:tcPr>
            <w:tcW w:type="dxa" w:w="1289"/>
          </w:tcPr>
          <w:p>
            <w:pPr>
              <w:spacing w:after="0"/>
              <w:jc w:val="left"/>
            </w:pPr>
            <w:r/>
            <w:r>
              <w:rPr>
                <w:rFonts w:ascii="Times New Roman" w:hAnsi="Times New Roman"/>
                <w:sz w:val="21"/>
              </w:rPr>
              <w:t>5</w:t>
            </w:r>
          </w:p>
        </w:tc>
      </w:tr>
      <w:tr>
        <w:tc>
          <w:tcPr>
            <w:tcW w:type="dxa" w:w="1289"/>
          </w:tcPr>
          <w:p>
            <w:pPr>
              <w:spacing w:after="0"/>
              <w:jc w:val="left"/>
            </w:pPr>
            <w:r/>
            <w:r>
              <w:rPr>
                <w:rFonts w:ascii="Times New Roman" w:hAnsi="Times New Roman"/>
                <w:sz w:val="21"/>
              </w:rPr>
              <w:t>MLP</w:t>
            </w:r>
          </w:p>
        </w:tc>
        <w:tc>
          <w:tcPr>
            <w:tcW w:type="dxa" w:w="1289"/>
          </w:tcPr>
          <w:p>
            <w:pPr>
              <w:spacing w:after="0"/>
              <w:jc w:val="left"/>
            </w:pPr>
            <w:r/>
            <w:r>
              <w:rPr>
                <w:rFonts w:ascii="Times New Roman" w:hAnsi="Times New Roman"/>
                <w:sz w:val="21"/>
              </w:rPr>
              <w:t>parametric; discriminative; eager</w:t>
            </w:r>
          </w:p>
        </w:tc>
        <w:tc>
          <w:tcPr>
            <w:tcW w:type="dxa" w:w="1289"/>
          </w:tcPr>
          <w:p>
            <w:pPr>
              <w:spacing w:after="0"/>
              <w:jc w:val="left"/>
            </w:pPr>
            <w:r/>
            <w:r>
              <w:rPr>
                <w:rFonts w:ascii="Times New Roman" w:hAnsi="Times New Roman"/>
                <w:sz w:val="21"/>
              </w:rPr>
              <w:t>a smooth mapping learnable by gradient descent</w:t>
            </w:r>
          </w:p>
        </w:tc>
        <w:tc>
          <w:tcPr>
            <w:tcW w:type="dxa" w:w="1289"/>
          </w:tcPr>
          <w:p>
            <w:pPr>
              <w:spacing w:after="0"/>
              <w:jc w:val="left"/>
            </w:pPr>
            <w:r/>
            <w:r>
              <w:rPr>
                <w:rFonts w:ascii="Times New Roman" w:hAnsi="Times New Roman"/>
                <w:sz w:val="21"/>
              </w:rPr>
              <w:t>tens of thousands of weights on sparse one-hot inputs; overfits without alpha and early stopping</w:t>
            </w:r>
          </w:p>
        </w:tc>
        <w:tc>
          <w:tcPr>
            <w:tcW w:type="dxa" w:w="1289"/>
          </w:tcPr>
          <w:p>
            <w:pPr>
              <w:spacing w:after="0"/>
              <w:jc w:val="left"/>
            </w:pPr>
            <w:r/>
            <w:r>
              <w:rPr>
                <w:rFonts w:ascii="Times New Roman" w:hAnsi="Times New Roman"/>
                <w:sz w:val="21"/>
              </w:rPr>
              <w:t>StandardScaler</w:t>
            </w:r>
          </w:p>
        </w:tc>
        <w:tc>
          <w:tcPr>
            <w:tcW w:type="dxa" w:w="1289"/>
          </w:tcPr>
          <w:p>
            <w:pPr>
              <w:spacing w:after="0"/>
              <w:jc w:val="left"/>
            </w:pPr>
            <w:r/>
            <w:r>
              <w:rPr>
                <w:rFonts w:ascii="Times New Roman" w:hAnsi="Times New Roman"/>
                <w:sz w:val="21"/>
              </w:rPr>
              <w:t>low: needs post-hoc explanation</w:t>
            </w:r>
          </w:p>
        </w:tc>
        <w:tc>
          <w:tcPr>
            <w:tcW w:type="dxa" w:w="1289"/>
          </w:tcPr>
          <w:p>
            <w:pPr>
              <w:spacing w:after="0"/>
              <w:jc w:val="left"/>
            </w:pPr>
            <w:r/>
            <w:r>
              <w:rPr>
                <w:rFonts w:ascii="Times New Roman" w:hAnsi="Times New Roman"/>
                <w:sz w:val="21"/>
              </w:rPr>
              <w:t>10</w:t>
            </w:r>
          </w:p>
        </w:tc>
      </w:tr>
    </w:tbl>
    <w:p>
      <w:pPr>
        <w:spacing w:after="80"/>
      </w:pPr>
    </w:p>
    <w:p>
      <w:r>
        <w:rPr>
          <w:rFonts w:ascii="Times New Roman" w:hAnsi="Times New Roman"/>
          <w:sz w:val="24"/>
        </w:rPr>
        <w:t>Logistic regression passes a weighted sum of the inputs through the sigmoid and minimises binary cross-entropy by lbfgs, a quasi-Newton relative of gradient descent, under an L2 penalty that weakens as C rises (Hosmer et al., 2013). Linear log-odds miss curved size effects and code interactions, so it underfits. Its readable odds ratios (Figure 19) made it the transparency benchmark. Gaussian naive Bayes applies Bayes' theorem, combining the class prior with per-feature Gaussian likelihoods into a posterior. Conditional independence fails for the duplicated size measures and normality for the skewed and binary features (Figure 2), so evidence is counted twice and posteriors become overconfident. Ranking can survive this (Domingos and Pazzani, 1997), and it stayed as a fast generative baseline and calibration test.</w:t>
      </w:r>
    </w:p>
    <w:p>
      <w:r>
        <w:rPr>
          <w:rFonts w:ascii="Times New Roman" w:hAnsi="Times New Roman"/>
          <w:sz w:val="24"/>
        </w:rPr>
        <w:t>KNN, a lazy instance-based learner, labels a report by the vote of its K nearest training rows under Euclidean distance, with K odd to avoid ties (Cover and Hart, 1967). Distances need standardised inputs and lose contrast across 552 mostly binary dimensions, the curse of dimensionality. It tests whether similarity to past claims adds signal; since scoring compares each report with every stored row, I fitted it on whole mine-years capped at 40,000 rows. An SVM maximises the margin between the classes, with C penalising rows inside the margin and the RBF width gamma setting how local the boundary is (Cortes and Vapnik, 1995). Training time grows at least quadratically with rows, so I fitted it on whole mine-years capped at 10,000 rows and obtained probabilities by Platt scaling. It stayed to check whether a smooth boundary ranks lost-time cases better than tree splits.</w:t>
      </w:r>
    </w:p>
    <w:p>
      <w:r>
        <w:rPr>
          <w:rFonts w:ascii="Times New Roman" w:hAnsi="Times New Roman"/>
          <w:sz w:val="24"/>
        </w:rPr>
        <w:t>A decision tree splits greedily on the axis-aligned threshold that most reduces Gini impurity or entropy. It needs no scaling and nests interactions, yet a small change in the rows can alter every split below the root. A random forest averages deep trees grown on bootstrap samples with a random feature subset per split, which decorrelates them and cuts that variance (Breiman, 2001). The tree stayed as rules an adjuster can audit, the forest as the bagging rival to HGB.</w:t>
      </w:r>
    </w:p>
    <w:p>
      <w:r>
        <w:rPr>
          <w:rFonts w:ascii="Times New Roman" w:hAnsi="Times New Roman"/>
          <w:sz w:val="24"/>
        </w:rPr>
        <w:t>HGB adds shallow trees in stages, fitting each to the gradient of the log loss and shrinking it by the learning rate, with capped leaf nodes and early stopping. It follows the second-order boosting of XGBoost (Chen and Guestrin, 2016). As a sum of small trees, its log-odds can follow curved effects and code interactions. Tree ensembles lead on medium-sized tabular data (Grinsztajn et al., 2022), so it was expected to rank the review queue best.</w:t>
      </w:r>
    </w:p>
    <w:p>
      <w:r>
        <w:rPr>
          <w:rFonts w:ascii="Times New Roman" w:hAnsi="Times New Roman"/>
          <w:sz w:val="24"/>
        </w:rPr>
        <w:t>The MLP trains one or two hidden layers of rectified linear units by Adam, a gradient-descent variant, with alpha as an L2 penalty and early stopping (Bishop, 2006). Tens of thousands of weights on mostly zero inputs invite overfitting, so the network stayed small. It tests whether learned code combinations add recall at the capacity threshold.</w:t>
      </w:r>
    </w:p>
    <w:p>
      <w:r>
        <w:rPr>
          <w:rFonts w:ascii="Times New Roman" w:hAnsi="Times New Roman"/>
          <w:sz w:val="24"/>
        </w:rPr>
        <w:t>Three families were rejected. Time-series models such as ARIMA assume one quantity observed at regular intervals, but each row is a separate claim and time enters through lagged mine history. Clustering would discard the label, so unsupervised methods stayed in the exploratory analysis (Figure 10). Deep tabular networks trail tree ensembles at this scale and need more tuning than the MLP (Grinsztajn et al., 2022). Because no algorithm wins on every problem (Wolpert, 1996), the eight were compared under one protocol.</w:t>
      </w:r>
    </w:p>
    <w:p>
      <w:r>
        <w:rPr>
          <w:rFonts w:ascii="Times New Roman" w:hAnsi="Times New Roman"/>
          <w:sz w:val="24"/>
        </w:rPr>
        <w:t>The learning curve places that comparison in bias-variance terms (Hastie et al., 2009). On a 10,000-row subsample HGB's training score falls and validation score rises as rows are added (Figure 12), so its gap is variance that more data removes. Naive Bayes shows almost no gap at a low score, so its error is bias (Table 10). A flexible, regularised learner therefore suits this volume of data, and low variance keeps the review queue stable across retraining.</w:t>
      </w:r>
    </w:p>
    <w:p>
      <w:pPr>
        <w:keepNext/>
        <w:jc w:val="center"/>
      </w:pPr>
      <w:r>
        <w:drawing>
          <wp:inline xmlns:a="http://schemas.openxmlformats.org/drawingml/2006/main" xmlns:pic="http://schemas.openxmlformats.org/drawingml/2006/picture">
            <wp:extent cx="5029200" cy="3350948"/>
            <wp:docPr id="12" name="Picture 12"/>
            <wp:cNvGraphicFramePr>
              <a:graphicFrameLocks noChangeAspect="1"/>
            </wp:cNvGraphicFramePr>
            <a:graphic>
              <a:graphicData uri="http://schemas.openxmlformats.org/drawingml/2006/picture">
                <pic:pic>
                  <pic:nvPicPr>
                    <pic:cNvPr id="0" name="F15_learning_curve_hist_gb.png"/>
                    <pic:cNvPicPr/>
                  </pic:nvPicPr>
                  <pic:blipFill>
                    <a:blip r:embed="rId22"/>
                    <a:stretch>
                      <a:fillRect/>
                    </a:stretch>
                  </pic:blipFill>
                  <pic:spPr>
                    <a:xfrm>
                      <a:off x="0" y="0"/>
                      <a:ext cx="5029200" cy="3350948"/>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Learning curve of HGB with its selected settings, giving mean training-fold and validation-fold PR-AUC (average precision) with one standard deviation bands over five grouped folds of a 10,000-row subsample of the training split, drawn against training size because the gap between the two curves separates variance from bias. Source: author's analysis of MSHA open data.</w:t>
      </w:r>
    </w:p>
    <w:p>
      <w:pPr>
        <w:pStyle w:val="Heading2"/>
      </w:pPr>
      <w:r>
        <w:rPr>
          <w:rFonts w:ascii="Times New Roman" w:hAnsi="Times New Roman"/>
          <w:b/>
          <w:color w:val="000000"/>
          <w:sz w:val="28"/>
        </w:rPr>
        <w:t>4.3 Model selection per algorithm</w:t>
      </w:r>
    </w:p>
    <w:p>
      <w:r>
        <w:rPr>
          <w:rFonts w:ascii="Times New Roman" w:hAnsi="Times New Roman"/>
          <w:sz w:val="24"/>
        </w:rPr>
        <w:t>Every search tuned the whole pipeline, which refitted imputers, encoder, scaler and classifier on the training rows of each fold (Figure 11). I used five StratifiedGroupKFold folds over mine-year groups inside the training split, which keep each mine-year on one side and the lost-time share near that of the whole. Kohavi (1995) favoured ten stratified folds, and repeated or leave-one-out schemes cost more again; five folds halved the fits and left about 16,000 rows per validation fold. Grouping mirrors deployment, where the insurer scores mine-years the model has not seen, so no setting is rewarded for memorising a mine's other claims. PR-AUC was the refit metric because the review queue uses the whole ranking, and the other metrics were recorded alongside. Seed 42 fixed the folds, subsamples and estimators.</w:t>
      </w:r>
    </w:p>
    <w:p>
      <w:r>
        <w:rPr>
          <w:rFonts w:ascii="Times New Roman" w:hAnsi="Times New Roman"/>
          <w:sz w:val="24"/>
        </w:rPr>
        <w:t>Table 10 lists every searched hyperparameter with its meaning, bounds, selected value and the best score reached with any other value. Most grids contain the scikit-learn default and step towards stronger and weaker regularisation, and settings outside them kept defaults for the reasons listed. The random forest is the exception, since RandomizedSearchCV sampled only part of its grid and never tried the larger forest or the log2 subset; its score is therefore a lower bound. For HGB, both caps on boosting rounds scored identically at the faster learning rate, because early stopping ended training before either cap.</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Hyperparameter search per model on the 81,289 training rows with five StratifiedGroupKFold folds over mine-years, giving each searched hyperparameter with its meaning, values, rationale and selected value, the best mean validation PR-AUC (average precision) reached by any candidate with another value of that hyperparameter (that value in brackets), and the settings left fixed with the reason; the first row of each model gives the search type, the number of candidates, the selected candidate's validation PR-AUC (mean ± SD over folds) and its training-fold PR-AUC, and KNN and the SVM were searched on their 39,999-row and 9,913-row subsamples.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1"/>
              </w:rPr>
              <w:t>Model (search; validation PR-AUC; training PR-AUC)</w:t>
            </w:r>
          </w:p>
        </w:tc>
        <w:tc>
          <w:tcPr>
            <w:tcW w:type="dxa" w:w="1504"/>
            <w:shd w:val="clear" w:color="auto" w:fill="E7E6E6"/>
          </w:tcPr>
          <w:p>
            <w:pPr>
              <w:jc w:val="left"/>
            </w:pPr>
            <w:r>
              <w:rPr>
                <w:b/>
              </w:rPr>
            </w:r>
            <w:r>
              <w:rPr>
                <w:rFonts w:ascii="Times New Roman" w:hAnsi="Times New Roman"/>
                <w:b/>
                <w:sz w:val="21"/>
              </w:rPr>
              <w:t>Hyperparameter: meaning</w:t>
            </w:r>
          </w:p>
        </w:tc>
        <w:tc>
          <w:tcPr>
            <w:tcW w:type="dxa" w:w="1504"/>
            <w:shd w:val="clear" w:color="auto" w:fill="E7E6E6"/>
          </w:tcPr>
          <w:p>
            <w:pPr>
              <w:jc w:val="left"/>
            </w:pPr>
            <w:r>
              <w:rPr>
                <w:b/>
              </w:rPr>
            </w:r>
            <w:r>
              <w:rPr>
                <w:rFonts w:ascii="Times New Roman" w:hAnsi="Times New Roman"/>
                <w:b/>
                <w:sz w:val="21"/>
              </w:rPr>
              <w:t>Values searched</w:t>
            </w:r>
          </w:p>
        </w:tc>
        <w:tc>
          <w:tcPr>
            <w:tcW w:type="dxa" w:w="1504"/>
            <w:shd w:val="clear" w:color="auto" w:fill="E7E6E6"/>
          </w:tcPr>
          <w:p>
            <w:pPr>
              <w:jc w:val="left"/>
            </w:pPr>
            <w:r>
              <w:rPr>
                <w:b/>
              </w:rPr>
            </w:r>
            <w:r>
              <w:rPr>
                <w:rFonts w:ascii="Times New Roman" w:hAnsi="Times New Roman"/>
                <w:b/>
                <w:sz w:val="21"/>
              </w:rPr>
              <w:t>Why these bounds</w:t>
            </w:r>
          </w:p>
        </w:tc>
        <w:tc>
          <w:tcPr>
            <w:tcW w:type="dxa" w:w="1504"/>
            <w:shd w:val="clear" w:color="auto" w:fill="E7E6E6"/>
          </w:tcPr>
          <w:p>
            <w:pPr>
              <w:jc w:val="left"/>
            </w:pPr>
            <w:r>
              <w:rPr>
                <w:b/>
              </w:rPr>
            </w:r>
            <w:r>
              <w:rPr>
                <w:rFonts w:ascii="Times New Roman" w:hAnsi="Times New Roman"/>
                <w:b/>
                <w:sz w:val="21"/>
              </w:rPr>
              <w:t>Selected</w:t>
            </w:r>
          </w:p>
        </w:tc>
        <w:tc>
          <w:tcPr>
            <w:tcW w:type="dxa" w:w="1504"/>
            <w:shd w:val="clear" w:color="auto" w:fill="E7E6E6"/>
          </w:tcPr>
          <w:p>
            <w:pPr>
              <w:jc w:val="left"/>
            </w:pPr>
            <w:r>
              <w:rPr>
                <w:b/>
              </w:rPr>
            </w:r>
            <w:r>
              <w:rPr>
                <w:rFonts w:ascii="Times New Roman" w:hAnsi="Times New Roman"/>
                <w:b/>
                <w:sz w:val="21"/>
              </w:rPr>
              <w:t>Best other value</w:t>
            </w:r>
          </w:p>
        </w:tc>
      </w:tr>
      <w:tr>
        <w:tc>
          <w:tcPr>
            <w:tcW w:type="dxa" w:w="1504"/>
          </w:tcPr>
          <w:p>
            <w:pPr>
              <w:spacing w:after="0"/>
              <w:jc w:val="left"/>
            </w:pPr>
            <w:r/>
            <w:r>
              <w:rPr>
                <w:rFonts w:ascii="Times New Roman" w:hAnsi="Times New Roman"/>
                <w:sz w:val="21"/>
              </w:rPr>
              <w:t>Logistic regression (grid, 8 candidates; 0.820 ± 0.003; 0.828)</w:t>
            </w:r>
          </w:p>
        </w:tc>
        <w:tc>
          <w:tcPr>
            <w:tcW w:type="dxa" w:w="1504"/>
          </w:tcPr>
          <w:p>
            <w:pPr>
              <w:spacing w:after="0"/>
              <w:jc w:val="left"/>
            </w:pPr>
            <w:r/>
            <w:r>
              <w:rPr>
                <w:rFonts w:ascii="Times New Roman" w:hAnsi="Times New Roman"/>
                <w:sz w:val="21"/>
              </w:rPr>
              <w:t>C: inverse strength of the L2 penalty</w:t>
            </w:r>
          </w:p>
        </w:tc>
        <w:tc>
          <w:tcPr>
            <w:tcW w:type="dxa" w:w="1504"/>
          </w:tcPr>
          <w:p>
            <w:pPr>
              <w:spacing w:after="0"/>
              <w:jc w:val="left"/>
            </w:pPr>
            <w:r/>
            <w:r>
              <w:rPr>
                <w:rFonts w:ascii="Times New Roman" w:hAnsi="Times New Roman"/>
                <w:sz w:val="21"/>
              </w:rPr>
              <w:t>0.01, 0.1, 1, 10</w:t>
            </w:r>
          </w:p>
        </w:tc>
        <w:tc>
          <w:tcPr>
            <w:tcW w:type="dxa" w:w="1504"/>
          </w:tcPr>
          <w:p>
            <w:pPr>
              <w:spacing w:after="0"/>
              <w:jc w:val="left"/>
            </w:pPr>
            <w:r/>
            <w:r>
              <w:rPr>
                <w:rFonts w:ascii="Times New Roman" w:hAnsi="Times New Roman"/>
                <w:sz w:val="21"/>
              </w:rPr>
              <w:t>four decades around the default of 1</w:t>
            </w:r>
          </w:p>
        </w:tc>
        <w:tc>
          <w:tcPr>
            <w:tcW w:type="dxa" w:w="1504"/>
          </w:tcPr>
          <w:p>
            <w:pPr>
              <w:spacing w:after="0"/>
              <w:jc w:val="left"/>
            </w:pPr>
            <w:r/>
            <w:r>
              <w:rPr>
                <w:rFonts w:ascii="Times New Roman" w:hAnsi="Times New Roman"/>
                <w:sz w:val="21"/>
              </w:rPr>
              <w:t>1</w:t>
            </w:r>
          </w:p>
        </w:tc>
        <w:tc>
          <w:tcPr>
            <w:tcW w:type="dxa" w:w="1504"/>
          </w:tcPr>
          <w:p>
            <w:pPr>
              <w:spacing w:after="0"/>
              <w:jc w:val="left"/>
            </w:pPr>
            <w:r/>
            <w:r>
              <w:rPr>
                <w:rFonts w:ascii="Times New Roman" w:hAnsi="Times New Roman"/>
                <w:sz w:val="21"/>
              </w:rPr>
              <w:t>0.820 (10); 0.815 (0.01)</w:t>
            </w:r>
          </w:p>
        </w:tc>
      </w:tr>
      <w:tr>
        <w:tc>
          <w:tcPr>
            <w:tcW w:type="dxa" w:w="1504"/>
          </w:tcPr>
          <w:p>
            <w:pPr>
              <w:spacing w:after="0"/>
              <w:jc w:val="left"/>
            </w:pPr>
            <w:r/>
          </w:p>
        </w:tc>
        <w:tc>
          <w:tcPr>
            <w:tcW w:type="dxa" w:w="1504"/>
          </w:tcPr>
          <w:p>
            <w:pPr>
              <w:spacing w:after="0"/>
              <w:jc w:val="left"/>
            </w:pPr>
            <w:r/>
            <w:r>
              <w:rPr>
                <w:rFonts w:ascii="Times New Roman" w:hAnsi="Times New Roman"/>
                <w:sz w:val="21"/>
              </w:rPr>
              <w:t>class_weight: reweights the classes in the loss</w:t>
            </w:r>
          </w:p>
        </w:tc>
        <w:tc>
          <w:tcPr>
            <w:tcW w:type="dxa" w:w="1504"/>
          </w:tcPr>
          <w:p>
            <w:pPr>
              <w:spacing w:after="0"/>
              <w:jc w:val="left"/>
            </w:pPr>
            <w:r/>
            <w:r>
              <w:rPr>
                <w:rFonts w:ascii="Times New Roman" w:hAnsi="Times New Roman"/>
                <w:sz w:val="21"/>
              </w:rPr>
              <w:t>None, balanced</w:t>
            </w:r>
          </w:p>
        </w:tc>
        <w:tc>
          <w:tcPr>
            <w:tcW w:type="dxa" w:w="1504"/>
          </w:tcPr>
          <w:p>
            <w:pPr>
              <w:spacing w:after="0"/>
              <w:jc w:val="left"/>
            </w:pPr>
            <w:r/>
            <w:r>
              <w:rPr>
                <w:rFonts w:ascii="Times New Roman" w:hAnsi="Times New Roman"/>
                <w:sz w:val="21"/>
              </w:rPr>
              <w:t>tests reweighting as the alternative to resampling at near balance</w:t>
            </w:r>
          </w:p>
        </w:tc>
        <w:tc>
          <w:tcPr>
            <w:tcW w:type="dxa" w:w="1504"/>
          </w:tcPr>
          <w:p>
            <w:pPr>
              <w:spacing w:after="0"/>
              <w:jc w:val="left"/>
            </w:pPr>
            <w:r/>
            <w:r>
              <w:rPr>
                <w:rFonts w:ascii="Times New Roman" w:hAnsi="Times New Roman"/>
                <w:sz w:val="21"/>
              </w:rPr>
              <w:t>None</w:t>
            </w:r>
          </w:p>
        </w:tc>
        <w:tc>
          <w:tcPr>
            <w:tcW w:type="dxa" w:w="1504"/>
          </w:tcPr>
          <w:p>
            <w:pPr>
              <w:spacing w:after="0"/>
              <w:jc w:val="left"/>
            </w:pPr>
            <w:r/>
            <w:r>
              <w:rPr>
                <w:rFonts w:ascii="Times New Roman" w:hAnsi="Times New Roman"/>
                <w:sz w:val="21"/>
              </w:rPr>
              <w:t>0.820 (balanced)</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L2 penalty, lbfgs solver, max_iter 2,000</w:t>
            </w:r>
          </w:p>
        </w:tc>
        <w:tc>
          <w:tcPr>
            <w:tcW w:type="dxa" w:w="1504"/>
          </w:tcPr>
          <w:p>
            <w:pPr>
              <w:spacing w:after="0"/>
              <w:jc w:val="left"/>
            </w:pPr>
            <w:r/>
            <w:r>
              <w:rPr>
                <w:rFonts w:ascii="Times New Roman" w:hAnsi="Times New Roman"/>
                <w:sz w:val="21"/>
              </w:rPr>
              <w:t>L2 suits collinear columns; no convergence warning was logged</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1"/>
              </w:rPr>
              <w:t>KNN (grid, 6; 0.764 ± 0.009; 1.000)</w:t>
            </w:r>
          </w:p>
        </w:tc>
        <w:tc>
          <w:tcPr>
            <w:tcW w:type="dxa" w:w="1504"/>
          </w:tcPr>
          <w:p>
            <w:pPr>
              <w:spacing w:after="0"/>
              <w:jc w:val="left"/>
            </w:pPr>
            <w:r/>
            <w:r>
              <w:rPr>
                <w:rFonts w:ascii="Times New Roman" w:hAnsi="Times New Roman"/>
                <w:sz w:val="21"/>
              </w:rPr>
              <w:t>n_neighbors (K): number of voters</w:t>
            </w:r>
          </w:p>
        </w:tc>
        <w:tc>
          <w:tcPr>
            <w:tcW w:type="dxa" w:w="1504"/>
          </w:tcPr>
          <w:p>
            <w:pPr>
              <w:spacing w:after="0"/>
              <w:jc w:val="left"/>
            </w:pPr>
            <w:r/>
            <w:r>
              <w:rPr>
                <w:rFonts w:ascii="Times New Roman" w:hAnsi="Times New Roman"/>
                <w:sz w:val="21"/>
              </w:rPr>
              <w:t>11, 25, 51</w:t>
            </w:r>
          </w:p>
        </w:tc>
        <w:tc>
          <w:tcPr>
            <w:tcW w:type="dxa" w:w="1504"/>
          </w:tcPr>
          <w:p>
            <w:pPr>
              <w:spacing w:after="0"/>
              <w:jc w:val="left"/>
            </w:pPr>
            <w:r/>
            <w:r>
              <w:rPr>
                <w:rFonts w:ascii="Times New Roman" w:hAnsi="Times New Roman"/>
                <w:sz w:val="21"/>
              </w:rPr>
              <w:t>odd values from a local to a smooth vote</w:t>
            </w:r>
          </w:p>
        </w:tc>
        <w:tc>
          <w:tcPr>
            <w:tcW w:type="dxa" w:w="1504"/>
          </w:tcPr>
          <w:p>
            <w:pPr>
              <w:spacing w:after="0"/>
              <w:jc w:val="left"/>
            </w:pPr>
            <w:r/>
            <w:r>
              <w:rPr>
                <w:rFonts w:ascii="Times New Roman" w:hAnsi="Times New Roman"/>
                <w:sz w:val="21"/>
              </w:rPr>
              <w:t>51</w:t>
            </w:r>
          </w:p>
        </w:tc>
        <w:tc>
          <w:tcPr>
            <w:tcW w:type="dxa" w:w="1504"/>
          </w:tcPr>
          <w:p>
            <w:pPr>
              <w:spacing w:after="0"/>
              <w:jc w:val="left"/>
            </w:pPr>
            <w:r/>
            <w:r>
              <w:rPr>
                <w:rFonts w:ascii="Times New Roman" w:hAnsi="Times New Roman"/>
                <w:sz w:val="21"/>
              </w:rPr>
              <w:t>0.758 (25)</w:t>
            </w:r>
          </w:p>
        </w:tc>
      </w:tr>
      <w:tr>
        <w:tc>
          <w:tcPr>
            <w:tcW w:type="dxa" w:w="1504"/>
          </w:tcPr>
          <w:p>
            <w:pPr>
              <w:spacing w:after="0"/>
              <w:jc w:val="left"/>
            </w:pPr>
            <w:r/>
          </w:p>
        </w:tc>
        <w:tc>
          <w:tcPr>
            <w:tcW w:type="dxa" w:w="1504"/>
          </w:tcPr>
          <w:p>
            <w:pPr>
              <w:spacing w:after="0"/>
              <w:jc w:val="left"/>
            </w:pPr>
            <w:r/>
            <w:r>
              <w:rPr>
                <w:rFonts w:ascii="Times New Roman" w:hAnsi="Times New Roman"/>
                <w:sz w:val="21"/>
              </w:rPr>
              <w:t>weights: equal or inverse-distance votes</w:t>
            </w:r>
          </w:p>
        </w:tc>
        <w:tc>
          <w:tcPr>
            <w:tcW w:type="dxa" w:w="1504"/>
          </w:tcPr>
          <w:p>
            <w:pPr>
              <w:spacing w:after="0"/>
              <w:jc w:val="left"/>
            </w:pPr>
            <w:r/>
            <w:r>
              <w:rPr>
                <w:rFonts w:ascii="Times New Roman" w:hAnsi="Times New Roman"/>
                <w:sz w:val="21"/>
              </w:rPr>
              <w:t>uniform, distance</w:t>
            </w:r>
          </w:p>
        </w:tc>
        <w:tc>
          <w:tcPr>
            <w:tcW w:type="dxa" w:w="1504"/>
          </w:tcPr>
          <w:p>
            <w:pPr>
              <w:spacing w:after="0"/>
              <w:jc w:val="left"/>
            </w:pPr>
            <w:r/>
            <w:r>
              <w:rPr>
                <w:rFonts w:ascii="Times New Roman" w:hAnsi="Times New Roman"/>
                <w:sz w:val="21"/>
              </w:rPr>
              <w:t>lets close neighbours count more</w:t>
            </w:r>
          </w:p>
        </w:tc>
        <w:tc>
          <w:tcPr>
            <w:tcW w:type="dxa" w:w="1504"/>
          </w:tcPr>
          <w:p>
            <w:pPr>
              <w:spacing w:after="0"/>
              <w:jc w:val="left"/>
            </w:pPr>
            <w:r/>
            <w:r>
              <w:rPr>
                <w:rFonts w:ascii="Times New Roman" w:hAnsi="Times New Roman"/>
                <w:sz w:val="21"/>
              </w:rPr>
              <w:t>distance</w:t>
            </w:r>
          </w:p>
        </w:tc>
        <w:tc>
          <w:tcPr>
            <w:tcW w:type="dxa" w:w="1504"/>
          </w:tcPr>
          <w:p>
            <w:pPr>
              <w:spacing w:after="0"/>
              <w:jc w:val="left"/>
            </w:pPr>
            <w:r/>
            <w:r>
              <w:rPr>
                <w:rFonts w:ascii="Times New Roman" w:hAnsi="Times New Roman"/>
                <w:sz w:val="21"/>
              </w:rPr>
              <w:t>0.757 (uniform)</w:t>
            </w:r>
          </w:p>
        </w:tc>
      </w:tr>
      <w:tr>
        <w:tc>
          <w:tcPr>
            <w:tcW w:type="dxa" w:w="1504"/>
          </w:tcPr>
          <w:p>
            <w:pPr>
              <w:spacing w:after="0"/>
              <w:jc w:val="left"/>
            </w:pPr>
            <w:r/>
          </w:p>
        </w:tc>
        <w:tc>
          <w:tcPr>
            <w:tcW w:type="dxa" w:w="1504"/>
          </w:tcPr>
          <w:p>
            <w:pPr>
              <w:spacing w:after="0"/>
              <w:jc w:val="left"/>
            </w:pPr>
            <w:r/>
            <w:r>
              <w:rPr>
                <w:rFonts w:ascii="Times New Roman" w:hAnsi="Times New Roman"/>
                <w:sz w:val="21"/>
              </w:rPr>
              <w:t>p: Minkowski power</w:t>
            </w:r>
          </w:p>
        </w:tc>
        <w:tc>
          <w:tcPr>
            <w:tcW w:type="dxa" w:w="1504"/>
          </w:tcPr>
          <w:p>
            <w:pPr>
              <w:spacing w:after="0"/>
              <w:jc w:val="left"/>
            </w:pPr>
            <w:r/>
            <w:r>
              <w:rPr>
                <w:rFonts w:ascii="Times New Roman" w:hAnsi="Times New Roman"/>
                <w:sz w:val="21"/>
              </w:rPr>
              <w:t>2</w:t>
            </w:r>
          </w:p>
        </w:tc>
        <w:tc>
          <w:tcPr>
            <w:tcW w:type="dxa" w:w="1504"/>
          </w:tcPr>
          <w:p>
            <w:pPr>
              <w:spacing w:after="0"/>
              <w:jc w:val="left"/>
            </w:pPr>
            <w:r/>
            <w:r>
              <w:rPr>
                <w:rFonts w:ascii="Times New Roman" w:hAnsi="Times New Roman"/>
                <w:sz w:val="21"/>
              </w:rPr>
              <w:t>Euclidean distance only, to keep six candidates</w:t>
            </w:r>
          </w:p>
        </w:tc>
        <w:tc>
          <w:tcPr>
            <w:tcW w:type="dxa" w:w="1504"/>
          </w:tcPr>
          <w:p>
            <w:pPr>
              <w:spacing w:after="0"/>
              <w:jc w:val="left"/>
            </w:pPr>
            <w:r/>
            <w:r>
              <w:rPr>
                <w:rFonts w:ascii="Times New Roman" w:hAnsi="Times New Roman"/>
                <w:sz w:val="21"/>
              </w:rPr>
              <w:t>2</w:t>
            </w:r>
          </w:p>
        </w:tc>
        <w:tc>
          <w:tcPr>
            <w:tcW w:type="dxa" w:w="1504"/>
          </w:tcPr>
          <w:p>
            <w:pPr>
              <w:spacing w:after="0"/>
              <w:jc w:val="left"/>
            </w:pPr>
            <w:r/>
            <w:r>
              <w:rPr>
                <w:rFonts w:ascii="Times New Roman" w:hAnsi="Times New Roman"/>
                <w:sz w:val="21"/>
              </w:rPr>
              <w:t>none</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brute-force search; 39,999-row subsample of whole mine-years</w:t>
            </w:r>
          </w:p>
        </w:tc>
        <w:tc>
          <w:tcPr>
            <w:tcW w:type="dxa" w:w="1504"/>
          </w:tcPr>
          <w:p>
            <w:pPr>
              <w:spacing w:after="0"/>
              <w:jc w:val="left"/>
            </w:pPr>
            <w:r/>
            <w:r>
              <w:rPr>
                <w:rFonts w:ascii="Times New Roman" w:hAnsi="Times New Roman"/>
                <w:sz w:val="21"/>
              </w:rPr>
              <w:t>tree indexes do not help in 552 dimensions; scoring cost grows with stored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1"/>
              </w:rPr>
              <w:t>Gaussian naive Bayes (grid, 5; 0.734 ± 0.006; 0.735)</w:t>
            </w:r>
          </w:p>
        </w:tc>
        <w:tc>
          <w:tcPr>
            <w:tcW w:type="dxa" w:w="1504"/>
          </w:tcPr>
          <w:p>
            <w:pPr>
              <w:spacing w:after="0"/>
              <w:jc w:val="left"/>
            </w:pPr>
            <w:r/>
            <w:r>
              <w:rPr>
                <w:rFonts w:ascii="Times New Roman" w:hAnsi="Times New Roman"/>
                <w:sz w:val="21"/>
              </w:rPr>
              <w:t>var_smoothing: share of the largest variance added to every variance</w:t>
            </w:r>
          </w:p>
        </w:tc>
        <w:tc>
          <w:tcPr>
            <w:tcW w:type="dxa" w:w="1504"/>
          </w:tcPr>
          <w:p>
            <w:pPr>
              <w:spacing w:after="0"/>
              <w:jc w:val="left"/>
            </w:pPr>
            <w:r/>
            <w:r>
              <w:rPr>
                <w:rFonts w:ascii="Times New Roman" w:hAnsi="Times New Roman"/>
                <w:sz w:val="21"/>
              </w:rPr>
              <w:t>1e-9, 1e-6, 1e-3, 0.1, 1</w:t>
            </w:r>
          </w:p>
        </w:tc>
        <w:tc>
          <w:tcPr>
            <w:tcW w:type="dxa" w:w="1504"/>
          </w:tcPr>
          <w:p>
            <w:pPr>
              <w:spacing w:after="0"/>
              <w:jc w:val="left"/>
            </w:pPr>
            <w:r/>
            <w:r>
              <w:rPr>
                <w:rFonts w:ascii="Times New Roman" w:hAnsi="Times New Roman"/>
                <w:sz w:val="21"/>
              </w:rPr>
              <w:t>log-spaced from the default upwards, since near-constant one-hot columns have tiny variances</w:t>
            </w:r>
          </w:p>
        </w:tc>
        <w:tc>
          <w:tcPr>
            <w:tcW w:type="dxa" w:w="1504"/>
          </w:tcPr>
          <w:p>
            <w:pPr>
              <w:spacing w:after="0"/>
              <w:jc w:val="left"/>
            </w:pPr>
            <w:r/>
            <w:r>
              <w:rPr>
                <w:rFonts w:ascii="Times New Roman" w:hAnsi="Times New Roman"/>
                <w:sz w:val="21"/>
              </w:rPr>
              <w:t>0.1</w:t>
            </w:r>
          </w:p>
        </w:tc>
        <w:tc>
          <w:tcPr>
            <w:tcW w:type="dxa" w:w="1504"/>
          </w:tcPr>
          <w:p>
            <w:pPr>
              <w:spacing w:after="0"/>
              <w:jc w:val="left"/>
            </w:pPr>
            <w:r/>
            <w:r>
              <w:rPr>
                <w:rFonts w:ascii="Times New Roman" w:hAnsi="Times New Roman"/>
                <w:sz w:val="21"/>
              </w:rPr>
              <w:t>0.702 (1)</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class priors from training frequencies</w:t>
            </w:r>
          </w:p>
        </w:tc>
        <w:tc>
          <w:tcPr>
            <w:tcW w:type="dxa" w:w="1504"/>
          </w:tcPr>
          <w:p>
            <w:pPr>
              <w:spacing w:after="0"/>
              <w:jc w:val="left"/>
            </w:pPr>
            <w:r/>
            <w:r>
              <w:rPr>
                <w:rFonts w:ascii="Times New Roman" w:hAnsi="Times New Roman"/>
                <w:sz w:val="21"/>
              </w:rPr>
              <w:t>the priors then equal the 48.6% prevalence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1"/>
              </w:rPr>
              <w:t>Decision tree (grid, 24; 0.803 ± 0.004; 0.827)</w:t>
            </w:r>
          </w:p>
        </w:tc>
        <w:tc>
          <w:tcPr>
            <w:tcW w:type="dxa" w:w="1504"/>
          </w:tcPr>
          <w:p>
            <w:pPr>
              <w:spacing w:after="0"/>
              <w:jc w:val="left"/>
            </w:pPr>
            <w:r/>
            <w:r>
              <w:rPr>
                <w:rFonts w:ascii="Times New Roman" w:hAnsi="Times New Roman"/>
                <w:sz w:val="21"/>
              </w:rPr>
              <w:t>max_depth: longest root-to-leaf path</w:t>
            </w:r>
          </w:p>
        </w:tc>
        <w:tc>
          <w:tcPr>
            <w:tcW w:type="dxa" w:w="1504"/>
          </w:tcPr>
          <w:p>
            <w:pPr>
              <w:spacing w:after="0"/>
              <w:jc w:val="left"/>
            </w:pPr>
            <w:r/>
            <w:r>
              <w:rPr>
                <w:rFonts w:ascii="Times New Roman" w:hAnsi="Times New Roman"/>
                <w:sz w:val="21"/>
              </w:rPr>
              <w:t>4, 8, 12, None</w:t>
            </w:r>
          </w:p>
        </w:tc>
        <w:tc>
          <w:tcPr>
            <w:tcW w:type="dxa" w:w="1504"/>
          </w:tcPr>
          <w:p>
            <w:pPr>
              <w:spacing w:after="0"/>
              <w:jc w:val="left"/>
            </w:pPr>
            <w:r/>
            <w:r>
              <w:rPr>
                <w:rFonts w:ascii="Times New Roman" w:hAnsi="Times New Roman"/>
                <w:sz w:val="21"/>
              </w:rPr>
              <w:t>from a readable tree to unlimited growth</w:t>
            </w:r>
          </w:p>
        </w:tc>
        <w:tc>
          <w:tcPr>
            <w:tcW w:type="dxa" w:w="1504"/>
          </w:tcPr>
          <w:p>
            <w:pPr>
              <w:spacing w:after="0"/>
              <w:jc w:val="left"/>
            </w:pPr>
            <w:r/>
            <w:r>
              <w:rPr>
                <w:rFonts w:ascii="Times New Roman" w:hAnsi="Times New Roman"/>
                <w:sz w:val="21"/>
              </w:rPr>
              <w:t>12</w:t>
            </w:r>
          </w:p>
        </w:tc>
        <w:tc>
          <w:tcPr>
            <w:tcW w:type="dxa" w:w="1504"/>
          </w:tcPr>
          <w:p>
            <w:pPr>
              <w:spacing w:after="0"/>
              <w:jc w:val="left"/>
            </w:pPr>
            <w:r/>
            <w:r>
              <w:rPr>
                <w:rFonts w:ascii="Times New Roman" w:hAnsi="Times New Roman"/>
                <w:sz w:val="21"/>
              </w:rPr>
              <w:t>0.793 (None)</w:t>
            </w:r>
          </w:p>
        </w:tc>
      </w:tr>
      <w:tr>
        <w:tc>
          <w:tcPr>
            <w:tcW w:type="dxa" w:w="1504"/>
          </w:tcPr>
          <w:p>
            <w:pPr>
              <w:spacing w:after="0"/>
              <w:jc w:val="left"/>
            </w:pPr>
            <w:r/>
          </w:p>
        </w:tc>
        <w:tc>
          <w:tcPr>
            <w:tcW w:type="dxa" w:w="1504"/>
          </w:tcPr>
          <w:p>
            <w:pPr>
              <w:spacing w:after="0"/>
              <w:jc w:val="left"/>
            </w:pPr>
            <w:r/>
            <w:r>
              <w:rPr>
                <w:rFonts w:ascii="Times New Roman" w:hAnsi="Times New Roman"/>
                <w:sz w:val="21"/>
              </w:rPr>
              <w:t>min_samples_leaf: smallest leaf</w:t>
            </w:r>
          </w:p>
        </w:tc>
        <w:tc>
          <w:tcPr>
            <w:tcW w:type="dxa" w:w="1504"/>
          </w:tcPr>
          <w:p>
            <w:pPr>
              <w:spacing w:after="0"/>
              <w:jc w:val="left"/>
            </w:pPr>
            <w:r/>
            <w:r>
              <w:rPr>
                <w:rFonts w:ascii="Times New Roman" w:hAnsi="Times New Roman"/>
                <w:sz w:val="21"/>
              </w:rPr>
              <w:t>5, 20, 50</w:t>
            </w:r>
          </w:p>
        </w:tc>
        <w:tc>
          <w:tcPr>
            <w:tcW w:type="dxa" w:w="1504"/>
          </w:tcPr>
          <w:p>
            <w:pPr>
              <w:spacing w:after="0"/>
              <w:jc w:val="left"/>
            </w:pPr>
            <w:r/>
            <w:r>
              <w:rPr>
                <w:rFonts w:ascii="Times New Roman" w:hAnsi="Times New Roman"/>
                <w:sz w:val="21"/>
              </w:rPr>
              <w:t>larger leaves give steadier lost-time rates</w:t>
            </w:r>
          </w:p>
        </w:tc>
        <w:tc>
          <w:tcPr>
            <w:tcW w:type="dxa" w:w="1504"/>
          </w:tcPr>
          <w:p>
            <w:pPr>
              <w:spacing w:after="0"/>
              <w:jc w:val="left"/>
            </w:pPr>
            <w:r/>
            <w:r>
              <w:rPr>
                <w:rFonts w:ascii="Times New Roman" w:hAnsi="Times New Roman"/>
                <w:sz w:val="21"/>
              </w:rPr>
              <w:t>50</w:t>
            </w:r>
          </w:p>
        </w:tc>
        <w:tc>
          <w:tcPr>
            <w:tcW w:type="dxa" w:w="1504"/>
          </w:tcPr>
          <w:p>
            <w:pPr>
              <w:spacing w:after="0"/>
              <w:jc w:val="left"/>
            </w:pPr>
            <w:r/>
            <w:r>
              <w:rPr>
                <w:rFonts w:ascii="Times New Roman" w:hAnsi="Times New Roman"/>
                <w:sz w:val="21"/>
              </w:rPr>
              <w:t>0.794 (20)</w:t>
            </w:r>
          </w:p>
        </w:tc>
      </w:tr>
      <w:tr>
        <w:tc>
          <w:tcPr>
            <w:tcW w:type="dxa" w:w="1504"/>
          </w:tcPr>
          <w:p>
            <w:pPr>
              <w:spacing w:after="0"/>
              <w:jc w:val="left"/>
            </w:pPr>
            <w:r/>
          </w:p>
        </w:tc>
        <w:tc>
          <w:tcPr>
            <w:tcW w:type="dxa" w:w="1504"/>
          </w:tcPr>
          <w:p>
            <w:pPr>
              <w:spacing w:after="0"/>
              <w:jc w:val="left"/>
            </w:pPr>
            <w:r/>
            <w:r>
              <w:rPr>
                <w:rFonts w:ascii="Times New Roman" w:hAnsi="Times New Roman"/>
                <w:sz w:val="21"/>
              </w:rPr>
              <w:t>criterion: impurity measure</w:t>
            </w:r>
          </w:p>
        </w:tc>
        <w:tc>
          <w:tcPr>
            <w:tcW w:type="dxa" w:w="1504"/>
          </w:tcPr>
          <w:p>
            <w:pPr>
              <w:spacing w:after="0"/>
              <w:jc w:val="left"/>
            </w:pPr>
            <w:r/>
            <w:r>
              <w:rPr>
                <w:rFonts w:ascii="Times New Roman" w:hAnsi="Times New Roman"/>
                <w:sz w:val="21"/>
              </w:rPr>
              <w:t>gini, entropy</w:t>
            </w:r>
          </w:p>
        </w:tc>
        <w:tc>
          <w:tcPr>
            <w:tcW w:type="dxa" w:w="1504"/>
          </w:tcPr>
          <w:p>
            <w:pPr>
              <w:spacing w:after="0"/>
              <w:jc w:val="left"/>
            </w:pPr>
            <w:r/>
            <w:r>
              <w:rPr>
                <w:rFonts w:ascii="Times New Roman" w:hAnsi="Times New Roman"/>
                <w:sz w:val="21"/>
              </w:rPr>
              <w:t>the two impurity measures taught</w:t>
            </w:r>
          </w:p>
        </w:tc>
        <w:tc>
          <w:tcPr>
            <w:tcW w:type="dxa" w:w="1504"/>
          </w:tcPr>
          <w:p>
            <w:pPr>
              <w:spacing w:after="0"/>
              <w:jc w:val="left"/>
            </w:pPr>
            <w:r/>
            <w:r>
              <w:rPr>
                <w:rFonts w:ascii="Times New Roman" w:hAnsi="Times New Roman"/>
                <w:sz w:val="21"/>
              </w:rPr>
              <w:t>gini</w:t>
            </w:r>
          </w:p>
        </w:tc>
        <w:tc>
          <w:tcPr>
            <w:tcW w:type="dxa" w:w="1504"/>
          </w:tcPr>
          <w:p>
            <w:pPr>
              <w:spacing w:after="0"/>
              <w:jc w:val="left"/>
            </w:pPr>
            <w:r/>
            <w:r>
              <w:rPr>
                <w:rFonts w:ascii="Times New Roman" w:hAnsi="Times New Roman"/>
                <w:sz w:val="21"/>
              </w:rPr>
              <w:t>0.802 (entropy)</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best split over all features; no cost-complexity pruning</w:t>
            </w:r>
          </w:p>
        </w:tc>
        <w:tc>
          <w:tcPr>
            <w:tcW w:type="dxa" w:w="1504"/>
          </w:tcPr>
          <w:p>
            <w:pPr>
              <w:spacing w:after="0"/>
              <w:jc w:val="left"/>
            </w:pPr>
            <w:r/>
            <w:r>
              <w:rPr>
                <w:rFonts w:ascii="Times New Roman" w:hAnsi="Times New Roman"/>
                <w:sz w:val="21"/>
              </w:rPr>
              <w:t>depth and leaf size already prune the tree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1"/>
              </w:rPr>
              <w:t>Random forest (random search, 4 of 24 grid points; 0.821 ± 0.003; 0.946)</w:t>
            </w:r>
          </w:p>
        </w:tc>
        <w:tc>
          <w:tcPr>
            <w:tcW w:type="dxa" w:w="1504"/>
          </w:tcPr>
          <w:p>
            <w:pPr>
              <w:spacing w:after="0"/>
              <w:jc w:val="left"/>
            </w:pPr>
            <w:r/>
            <w:r>
              <w:rPr>
                <w:rFonts w:ascii="Times New Roman" w:hAnsi="Times New Roman"/>
                <w:sz w:val="21"/>
              </w:rPr>
              <w:t>n_estimators: number of trees</w:t>
            </w:r>
          </w:p>
        </w:tc>
        <w:tc>
          <w:tcPr>
            <w:tcW w:type="dxa" w:w="1504"/>
          </w:tcPr>
          <w:p>
            <w:pPr>
              <w:spacing w:after="0"/>
              <w:jc w:val="left"/>
            </w:pPr>
            <w:r/>
            <w:r>
              <w:rPr>
                <w:rFonts w:ascii="Times New Roman" w:hAnsi="Times New Roman"/>
                <w:sz w:val="21"/>
              </w:rPr>
              <w:t>100, 200</w:t>
            </w:r>
          </w:p>
        </w:tc>
        <w:tc>
          <w:tcPr>
            <w:tcW w:type="dxa" w:w="1504"/>
          </w:tcPr>
          <w:p>
            <w:pPr>
              <w:spacing w:after="0"/>
              <w:jc w:val="left"/>
            </w:pPr>
            <w:r/>
            <w:r>
              <w:rPr>
                <w:rFonts w:ascii="Times New Roman" w:hAnsi="Times New Roman"/>
                <w:sz w:val="21"/>
              </w:rPr>
              <w:t>the default and double</w:t>
            </w:r>
          </w:p>
        </w:tc>
        <w:tc>
          <w:tcPr>
            <w:tcW w:type="dxa" w:w="1504"/>
          </w:tcPr>
          <w:p>
            <w:pPr>
              <w:spacing w:after="0"/>
              <w:jc w:val="left"/>
            </w:pPr>
            <w:r/>
            <w:r>
              <w:rPr>
                <w:rFonts w:ascii="Times New Roman" w:hAnsi="Times New Roman"/>
                <w:sz w:val="21"/>
              </w:rPr>
              <w:t>100</w:t>
            </w:r>
          </w:p>
        </w:tc>
        <w:tc>
          <w:tcPr>
            <w:tcW w:type="dxa" w:w="1504"/>
          </w:tcPr>
          <w:p>
            <w:pPr>
              <w:spacing w:after="0"/>
              <w:jc w:val="left"/>
            </w:pPr>
            <w:r/>
            <w:r>
              <w:rPr>
                <w:rFonts w:ascii="Times New Roman" w:hAnsi="Times New Roman"/>
                <w:sz w:val="21"/>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1"/>
              </w:rPr>
              <w:t>max_depth: longest path in each tree</w:t>
            </w:r>
          </w:p>
        </w:tc>
        <w:tc>
          <w:tcPr>
            <w:tcW w:type="dxa" w:w="1504"/>
          </w:tcPr>
          <w:p>
            <w:pPr>
              <w:spacing w:after="0"/>
              <w:jc w:val="left"/>
            </w:pPr>
            <w:r/>
            <w:r>
              <w:rPr>
                <w:rFonts w:ascii="Times New Roman" w:hAnsi="Times New Roman"/>
                <w:sz w:val="21"/>
              </w:rPr>
              <w:t>8, 12, None</w:t>
            </w:r>
          </w:p>
        </w:tc>
        <w:tc>
          <w:tcPr>
            <w:tcW w:type="dxa" w:w="1504"/>
          </w:tcPr>
          <w:p>
            <w:pPr>
              <w:spacing w:after="0"/>
              <w:jc w:val="left"/>
            </w:pPr>
            <w:r/>
            <w:r>
              <w:rPr>
                <w:rFonts w:ascii="Times New Roman" w:hAnsi="Times New Roman"/>
                <w:sz w:val="21"/>
              </w:rPr>
              <w:t>as for the single tree</w:t>
            </w:r>
          </w:p>
        </w:tc>
        <w:tc>
          <w:tcPr>
            <w:tcW w:type="dxa" w:w="1504"/>
          </w:tcPr>
          <w:p>
            <w:pPr>
              <w:spacing w:after="0"/>
              <w:jc w:val="left"/>
            </w:pPr>
            <w:r/>
            <w:r>
              <w:rPr>
                <w:rFonts w:ascii="Times New Roman" w:hAnsi="Times New Roman"/>
                <w:sz w:val="21"/>
              </w:rPr>
              <w:t>None</w:t>
            </w:r>
          </w:p>
        </w:tc>
        <w:tc>
          <w:tcPr>
            <w:tcW w:type="dxa" w:w="1504"/>
          </w:tcPr>
          <w:p>
            <w:pPr>
              <w:spacing w:after="0"/>
              <w:jc w:val="left"/>
            </w:pPr>
            <w:r/>
            <w:r>
              <w:rPr>
                <w:rFonts w:ascii="Times New Roman" w:hAnsi="Times New Roman"/>
                <w:sz w:val="21"/>
              </w:rPr>
              <w:t>0.808 (12)</w:t>
            </w:r>
          </w:p>
        </w:tc>
      </w:tr>
      <w:tr>
        <w:tc>
          <w:tcPr>
            <w:tcW w:type="dxa" w:w="1504"/>
          </w:tcPr>
          <w:p>
            <w:pPr>
              <w:spacing w:after="0"/>
              <w:jc w:val="left"/>
            </w:pPr>
            <w:r/>
          </w:p>
        </w:tc>
        <w:tc>
          <w:tcPr>
            <w:tcW w:type="dxa" w:w="1504"/>
          </w:tcPr>
          <w:p>
            <w:pPr>
              <w:spacing w:after="0"/>
              <w:jc w:val="left"/>
            </w:pPr>
            <w:r/>
            <w:r>
              <w:rPr>
                <w:rFonts w:ascii="Times New Roman" w:hAnsi="Times New Roman"/>
                <w:sz w:val="21"/>
              </w:rPr>
              <w:t>min_samples_leaf: smallest leaf</w:t>
            </w:r>
          </w:p>
        </w:tc>
        <w:tc>
          <w:tcPr>
            <w:tcW w:type="dxa" w:w="1504"/>
          </w:tcPr>
          <w:p>
            <w:pPr>
              <w:spacing w:after="0"/>
              <w:jc w:val="left"/>
            </w:pPr>
            <w:r/>
            <w:r>
              <w:rPr>
                <w:rFonts w:ascii="Times New Roman" w:hAnsi="Times New Roman"/>
                <w:sz w:val="21"/>
              </w:rPr>
              <w:t>5, 20</w:t>
            </w:r>
          </w:p>
        </w:tc>
        <w:tc>
          <w:tcPr>
            <w:tcW w:type="dxa" w:w="1504"/>
          </w:tcPr>
          <w:p>
            <w:pPr>
              <w:spacing w:after="0"/>
              <w:jc w:val="left"/>
            </w:pPr>
            <w:r/>
            <w:r>
              <w:rPr>
                <w:rFonts w:ascii="Times New Roman" w:hAnsi="Times New Roman"/>
                <w:sz w:val="21"/>
              </w:rPr>
              <w:t>small leaves suit averaged deep trees</w:t>
            </w:r>
          </w:p>
        </w:tc>
        <w:tc>
          <w:tcPr>
            <w:tcW w:type="dxa" w:w="1504"/>
          </w:tcPr>
          <w:p>
            <w:pPr>
              <w:spacing w:after="0"/>
              <w:jc w:val="left"/>
            </w:pPr>
            <w:r/>
            <w:r>
              <w:rPr>
                <w:rFonts w:ascii="Times New Roman" w:hAnsi="Times New Roman"/>
                <w:sz w:val="21"/>
              </w:rPr>
              <w:t>5</w:t>
            </w:r>
          </w:p>
        </w:tc>
        <w:tc>
          <w:tcPr>
            <w:tcW w:type="dxa" w:w="1504"/>
          </w:tcPr>
          <w:p>
            <w:pPr>
              <w:spacing w:after="0"/>
              <w:jc w:val="left"/>
            </w:pPr>
            <w:r/>
            <w:r>
              <w:rPr>
                <w:rFonts w:ascii="Times New Roman" w:hAnsi="Times New Roman"/>
                <w:sz w:val="21"/>
              </w:rPr>
              <w:t>0.815 (20)</w:t>
            </w:r>
          </w:p>
        </w:tc>
      </w:tr>
      <w:tr>
        <w:tc>
          <w:tcPr>
            <w:tcW w:type="dxa" w:w="1504"/>
          </w:tcPr>
          <w:p>
            <w:pPr>
              <w:spacing w:after="0"/>
              <w:jc w:val="left"/>
            </w:pPr>
            <w:r/>
          </w:p>
        </w:tc>
        <w:tc>
          <w:tcPr>
            <w:tcW w:type="dxa" w:w="1504"/>
          </w:tcPr>
          <w:p>
            <w:pPr>
              <w:spacing w:after="0"/>
              <w:jc w:val="left"/>
            </w:pPr>
            <w:r/>
            <w:r>
              <w:rPr>
                <w:rFonts w:ascii="Times New Roman" w:hAnsi="Times New Roman"/>
                <w:sz w:val="21"/>
              </w:rPr>
              <w:t>max_features: features tried per split</w:t>
            </w:r>
          </w:p>
        </w:tc>
        <w:tc>
          <w:tcPr>
            <w:tcW w:type="dxa" w:w="1504"/>
          </w:tcPr>
          <w:p>
            <w:pPr>
              <w:spacing w:after="0"/>
              <w:jc w:val="left"/>
            </w:pPr>
            <w:r/>
            <w:r>
              <w:rPr>
                <w:rFonts w:ascii="Times New Roman" w:hAnsi="Times New Roman"/>
                <w:sz w:val="21"/>
              </w:rPr>
              <w:t>sqrt, log2</w:t>
            </w:r>
          </w:p>
        </w:tc>
        <w:tc>
          <w:tcPr>
            <w:tcW w:type="dxa" w:w="1504"/>
          </w:tcPr>
          <w:p>
            <w:pPr>
              <w:spacing w:after="0"/>
              <w:jc w:val="left"/>
            </w:pPr>
            <w:r/>
            <w:r>
              <w:rPr>
                <w:rFonts w:ascii="Times New Roman" w:hAnsi="Times New Roman"/>
                <w:sz w:val="21"/>
              </w:rPr>
              <w:t>the two usual subset sizes for decorrelation</w:t>
            </w:r>
          </w:p>
        </w:tc>
        <w:tc>
          <w:tcPr>
            <w:tcW w:type="dxa" w:w="1504"/>
          </w:tcPr>
          <w:p>
            <w:pPr>
              <w:spacing w:after="0"/>
              <w:jc w:val="left"/>
            </w:pPr>
            <w:r/>
            <w:r>
              <w:rPr>
                <w:rFonts w:ascii="Times New Roman" w:hAnsi="Times New Roman"/>
                <w:sz w:val="21"/>
              </w:rPr>
              <w:t>sqrt</w:t>
            </w:r>
          </w:p>
        </w:tc>
        <w:tc>
          <w:tcPr>
            <w:tcW w:type="dxa" w:w="1504"/>
          </w:tcPr>
          <w:p>
            <w:pPr>
              <w:spacing w:after="0"/>
              <w:jc w:val="left"/>
            </w:pPr>
            <w:r/>
            <w:r>
              <w:rPr>
                <w:rFonts w:ascii="Times New Roman" w:hAnsi="Times New Roman"/>
                <w:sz w:val="21"/>
              </w:rPr>
              <w:t>not sampled</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bootstrap samples, Gini impurity</w:t>
            </w:r>
          </w:p>
        </w:tc>
        <w:tc>
          <w:tcPr>
            <w:tcW w:type="dxa" w:w="1504"/>
          </w:tcPr>
          <w:p>
            <w:pPr>
              <w:spacing w:after="0"/>
              <w:jc w:val="left"/>
            </w:pPr>
            <w:r/>
            <w:r>
              <w:rPr>
                <w:rFonts w:ascii="Times New Roman" w:hAnsi="Times New Roman"/>
                <w:sz w:val="21"/>
              </w:rPr>
              <w:t>the design of Breiman (2001)</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1"/>
              </w:rPr>
              <w:t>HGB (grid, 16; 0.838 ± 0.003; 0.873)</w:t>
            </w:r>
          </w:p>
        </w:tc>
        <w:tc>
          <w:tcPr>
            <w:tcW w:type="dxa" w:w="1504"/>
          </w:tcPr>
          <w:p>
            <w:pPr>
              <w:spacing w:after="0"/>
              <w:jc w:val="left"/>
            </w:pPr>
            <w:r/>
            <w:r>
              <w:rPr>
                <w:rFonts w:ascii="Times New Roman" w:hAnsi="Times New Roman"/>
                <w:sz w:val="21"/>
              </w:rPr>
              <w:t>learning_rate: shrinkage applied to each tree</w:t>
            </w:r>
          </w:p>
        </w:tc>
        <w:tc>
          <w:tcPr>
            <w:tcW w:type="dxa" w:w="1504"/>
          </w:tcPr>
          <w:p>
            <w:pPr>
              <w:spacing w:after="0"/>
              <w:jc w:val="left"/>
            </w:pPr>
            <w:r/>
            <w:r>
              <w:rPr>
                <w:rFonts w:ascii="Times New Roman" w:hAnsi="Times New Roman"/>
                <w:sz w:val="21"/>
              </w:rPr>
              <w:t>0.05, 0.1</w:t>
            </w:r>
          </w:p>
        </w:tc>
        <w:tc>
          <w:tcPr>
            <w:tcW w:type="dxa" w:w="1504"/>
          </w:tcPr>
          <w:p>
            <w:pPr>
              <w:spacing w:after="0"/>
              <w:jc w:val="left"/>
            </w:pPr>
            <w:r/>
            <w:r>
              <w:rPr>
                <w:rFonts w:ascii="Times New Roman" w:hAnsi="Times New Roman"/>
                <w:sz w:val="21"/>
              </w:rPr>
              <w:t>the default and half of it</w:t>
            </w:r>
          </w:p>
        </w:tc>
        <w:tc>
          <w:tcPr>
            <w:tcW w:type="dxa" w:w="1504"/>
          </w:tcPr>
          <w:p>
            <w:pPr>
              <w:spacing w:after="0"/>
              <w:jc w:val="left"/>
            </w:pPr>
            <w:r/>
            <w:r>
              <w:rPr>
                <w:rFonts w:ascii="Times New Roman" w:hAnsi="Times New Roman"/>
                <w:sz w:val="21"/>
              </w:rPr>
              <w:t>0.05</w:t>
            </w:r>
          </w:p>
        </w:tc>
        <w:tc>
          <w:tcPr>
            <w:tcW w:type="dxa" w:w="1504"/>
          </w:tcPr>
          <w:p>
            <w:pPr>
              <w:spacing w:after="0"/>
              <w:jc w:val="left"/>
            </w:pPr>
            <w:r/>
            <w:r>
              <w:rPr>
                <w:rFonts w:ascii="Times New Roman" w:hAnsi="Times New Roman"/>
                <w:sz w:val="21"/>
              </w:rPr>
              <w:t>0.837 (0.1)</w:t>
            </w:r>
          </w:p>
        </w:tc>
      </w:tr>
      <w:tr>
        <w:tc>
          <w:tcPr>
            <w:tcW w:type="dxa" w:w="1504"/>
          </w:tcPr>
          <w:p>
            <w:pPr>
              <w:spacing w:after="0"/>
              <w:jc w:val="left"/>
            </w:pPr>
            <w:r/>
          </w:p>
        </w:tc>
        <w:tc>
          <w:tcPr>
            <w:tcW w:type="dxa" w:w="1504"/>
          </w:tcPr>
          <w:p>
            <w:pPr>
              <w:spacing w:after="0"/>
              <w:jc w:val="left"/>
            </w:pPr>
            <w:r/>
            <w:r>
              <w:rPr>
                <w:rFonts w:ascii="Times New Roman" w:hAnsi="Times New Roman"/>
                <w:sz w:val="21"/>
              </w:rPr>
              <w:t>max_iter: cap on boosting rounds</w:t>
            </w:r>
          </w:p>
        </w:tc>
        <w:tc>
          <w:tcPr>
            <w:tcW w:type="dxa" w:w="1504"/>
          </w:tcPr>
          <w:p>
            <w:pPr>
              <w:spacing w:after="0"/>
              <w:jc w:val="left"/>
            </w:pPr>
            <w:r/>
            <w:r>
              <w:rPr>
                <w:rFonts w:ascii="Times New Roman" w:hAnsi="Times New Roman"/>
                <w:sz w:val="21"/>
              </w:rPr>
              <w:t>200, 400</w:t>
            </w:r>
          </w:p>
        </w:tc>
        <w:tc>
          <w:tcPr>
            <w:tcW w:type="dxa" w:w="1504"/>
          </w:tcPr>
          <w:p>
            <w:pPr>
              <w:spacing w:after="0"/>
              <w:jc w:val="left"/>
            </w:pPr>
            <w:r/>
            <w:r>
              <w:rPr>
                <w:rFonts w:ascii="Times New Roman" w:hAnsi="Times New Roman"/>
                <w:sz w:val="21"/>
              </w:rPr>
              <w:t>caps only, since early stopping ends training</w:t>
            </w:r>
          </w:p>
        </w:tc>
        <w:tc>
          <w:tcPr>
            <w:tcW w:type="dxa" w:w="1504"/>
          </w:tcPr>
          <w:p>
            <w:pPr>
              <w:spacing w:after="0"/>
              <w:jc w:val="left"/>
            </w:pPr>
            <w:r/>
            <w:r>
              <w:rPr>
                <w:rFonts w:ascii="Times New Roman" w:hAnsi="Times New Roman"/>
                <w:sz w:val="21"/>
              </w:rPr>
              <w:t>400</w:t>
            </w:r>
          </w:p>
        </w:tc>
        <w:tc>
          <w:tcPr>
            <w:tcW w:type="dxa" w:w="1504"/>
          </w:tcPr>
          <w:p>
            <w:pPr>
              <w:spacing w:after="0"/>
              <w:jc w:val="left"/>
            </w:pPr>
            <w:r/>
            <w:r>
              <w:rPr>
                <w:rFonts w:ascii="Times New Roman" w:hAnsi="Times New Roman"/>
                <w:sz w:val="21"/>
              </w:rPr>
              <w:t>0.837 (200)</w:t>
            </w:r>
          </w:p>
        </w:tc>
      </w:tr>
      <w:tr>
        <w:tc>
          <w:tcPr>
            <w:tcW w:type="dxa" w:w="1504"/>
          </w:tcPr>
          <w:p>
            <w:pPr>
              <w:spacing w:after="0"/>
              <w:jc w:val="left"/>
            </w:pPr>
            <w:r/>
          </w:p>
        </w:tc>
        <w:tc>
          <w:tcPr>
            <w:tcW w:type="dxa" w:w="1504"/>
          </w:tcPr>
          <w:p>
            <w:pPr>
              <w:spacing w:after="0"/>
              <w:jc w:val="left"/>
            </w:pPr>
            <w:r/>
            <w:r>
              <w:rPr>
                <w:rFonts w:ascii="Times New Roman" w:hAnsi="Times New Roman"/>
                <w:sz w:val="21"/>
              </w:rPr>
              <w:t>max_leaf_nodes: leaves per tree</w:t>
            </w:r>
          </w:p>
        </w:tc>
        <w:tc>
          <w:tcPr>
            <w:tcW w:type="dxa" w:w="1504"/>
          </w:tcPr>
          <w:p>
            <w:pPr>
              <w:spacing w:after="0"/>
              <w:jc w:val="left"/>
            </w:pPr>
            <w:r/>
            <w:r>
              <w:rPr>
                <w:rFonts w:ascii="Times New Roman" w:hAnsi="Times New Roman"/>
                <w:sz w:val="21"/>
              </w:rPr>
              <w:t>15, 31</w:t>
            </w:r>
          </w:p>
        </w:tc>
        <w:tc>
          <w:tcPr>
            <w:tcW w:type="dxa" w:w="1504"/>
          </w:tcPr>
          <w:p>
            <w:pPr>
              <w:spacing w:after="0"/>
              <w:jc w:val="left"/>
            </w:pPr>
            <w:r/>
            <w:r>
              <w:rPr>
                <w:rFonts w:ascii="Times New Roman" w:hAnsi="Times New Roman"/>
                <w:sz w:val="21"/>
              </w:rPr>
              <w:t>the default and about half</w:t>
            </w:r>
          </w:p>
        </w:tc>
        <w:tc>
          <w:tcPr>
            <w:tcW w:type="dxa" w:w="1504"/>
          </w:tcPr>
          <w:p>
            <w:pPr>
              <w:spacing w:after="0"/>
              <w:jc w:val="left"/>
            </w:pPr>
            <w:r/>
            <w:r>
              <w:rPr>
                <w:rFonts w:ascii="Times New Roman" w:hAnsi="Times New Roman"/>
                <w:sz w:val="21"/>
              </w:rPr>
              <w:t>31</w:t>
            </w:r>
          </w:p>
        </w:tc>
        <w:tc>
          <w:tcPr>
            <w:tcW w:type="dxa" w:w="1504"/>
          </w:tcPr>
          <w:p>
            <w:pPr>
              <w:spacing w:after="0"/>
              <w:jc w:val="left"/>
            </w:pPr>
            <w:r/>
            <w:r>
              <w:rPr>
                <w:rFonts w:ascii="Times New Roman" w:hAnsi="Times New Roman"/>
                <w:sz w:val="21"/>
              </w:rPr>
              <w:t>0.836 (15)</w:t>
            </w:r>
          </w:p>
        </w:tc>
      </w:tr>
      <w:tr>
        <w:tc>
          <w:tcPr>
            <w:tcW w:type="dxa" w:w="1504"/>
          </w:tcPr>
          <w:p>
            <w:pPr>
              <w:spacing w:after="0"/>
              <w:jc w:val="left"/>
            </w:pPr>
            <w:r/>
          </w:p>
        </w:tc>
        <w:tc>
          <w:tcPr>
            <w:tcW w:type="dxa" w:w="1504"/>
          </w:tcPr>
          <w:p>
            <w:pPr>
              <w:spacing w:after="0"/>
              <w:jc w:val="left"/>
            </w:pPr>
            <w:r/>
            <w:r>
              <w:rPr>
                <w:rFonts w:ascii="Times New Roman" w:hAnsi="Times New Roman"/>
                <w:sz w:val="21"/>
              </w:rPr>
              <w:t>l2_regularization: penalty on leaf values</w:t>
            </w:r>
          </w:p>
        </w:tc>
        <w:tc>
          <w:tcPr>
            <w:tcW w:type="dxa" w:w="1504"/>
          </w:tcPr>
          <w:p>
            <w:pPr>
              <w:spacing w:after="0"/>
              <w:jc w:val="left"/>
            </w:pPr>
            <w:r/>
            <w:r>
              <w:rPr>
                <w:rFonts w:ascii="Times New Roman" w:hAnsi="Times New Roman"/>
                <w:sz w:val="21"/>
              </w:rPr>
              <w:t>0, 1</w:t>
            </w:r>
          </w:p>
        </w:tc>
        <w:tc>
          <w:tcPr>
            <w:tcW w:type="dxa" w:w="1504"/>
          </w:tcPr>
          <w:p>
            <w:pPr>
              <w:spacing w:after="0"/>
              <w:jc w:val="left"/>
            </w:pPr>
            <w:r/>
            <w:r>
              <w:rPr>
                <w:rFonts w:ascii="Times New Roman" w:hAnsi="Times New Roman"/>
                <w:sz w:val="21"/>
              </w:rPr>
              <w:t>no penalty or a unit penalty</w:t>
            </w:r>
          </w:p>
        </w:tc>
        <w:tc>
          <w:tcPr>
            <w:tcW w:type="dxa" w:w="1504"/>
          </w:tcPr>
          <w:p>
            <w:pPr>
              <w:spacing w:after="0"/>
              <w:jc w:val="left"/>
            </w:pPr>
            <w:r/>
            <w:r>
              <w:rPr>
                <w:rFonts w:ascii="Times New Roman" w:hAnsi="Times New Roman"/>
                <w:sz w:val="21"/>
              </w:rPr>
              <w:t>0</w:t>
            </w:r>
          </w:p>
        </w:tc>
        <w:tc>
          <w:tcPr>
            <w:tcW w:type="dxa" w:w="1504"/>
          </w:tcPr>
          <w:p>
            <w:pPr>
              <w:spacing w:after="0"/>
              <w:jc w:val="left"/>
            </w:pPr>
            <w:r/>
            <w:r>
              <w:rPr>
                <w:rFonts w:ascii="Times New Roman" w:hAnsi="Times New Roman"/>
                <w:sz w:val="21"/>
              </w:rPr>
              <w:t>0.838 (1)</w:t>
            </w:r>
          </w:p>
        </w:tc>
      </w:tr>
      <w:tr>
        <w:tc>
          <w:tcPr>
            <w:tcW w:type="dxa" w:w="1504"/>
          </w:tcPr>
          <w:p>
            <w:pPr>
              <w:spacing w:after="0"/>
              <w:jc w:val="left"/>
            </w:pPr>
            <w:r/>
          </w:p>
        </w:tc>
        <w:tc>
          <w:tcPr>
            <w:tcW w:type="dxa" w:w="1504"/>
          </w:tcPr>
          <w:p>
            <w:pPr>
              <w:spacing w:after="0"/>
              <w:jc w:val="left"/>
            </w:pPr>
            <w:r/>
            <w:r>
              <w:rPr>
                <w:rFonts w:ascii="Times New Roman" w:hAnsi="Times New Roman"/>
                <w:sz w:val="21"/>
              </w:rPr>
              <w:t>early_stopping</w:t>
            </w:r>
          </w:p>
        </w:tc>
        <w:tc>
          <w:tcPr>
            <w:tcW w:type="dxa" w:w="1504"/>
          </w:tcPr>
          <w:p>
            <w:pPr>
              <w:spacing w:after="0"/>
              <w:jc w:val="left"/>
            </w:pPr>
            <w:r/>
            <w:r>
              <w:rPr>
                <w:rFonts w:ascii="Times New Roman" w:hAnsi="Times New Roman"/>
                <w:sz w:val="21"/>
              </w:rPr>
              <w:t>True</w:t>
            </w:r>
          </w:p>
        </w:tc>
        <w:tc>
          <w:tcPr>
            <w:tcW w:type="dxa" w:w="1504"/>
          </w:tcPr>
          <w:p>
            <w:pPr>
              <w:spacing w:after="0"/>
              <w:jc w:val="left"/>
            </w:pPr>
            <w:r/>
            <w:r>
              <w:rPr>
                <w:rFonts w:ascii="Times New Roman" w:hAnsi="Times New Roman"/>
                <w:sz w:val="21"/>
              </w:rPr>
              <w:t>stops after 10 rounds without loss improvement on a 10% validation split</w:t>
            </w:r>
          </w:p>
        </w:tc>
        <w:tc>
          <w:tcPr>
            <w:tcW w:type="dxa" w:w="1504"/>
          </w:tcPr>
          <w:p>
            <w:pPr>
              <w:spacing w:after="0"/>
              <w:jc w:val="left"/>
            </w:pPr>
            <w:r/>
            <w:r>
              <w:rPr>
                <w:rFonts w:ascii="Times New Roman" w:hAnsi="Times New Roman"/>
                <w:sz w:val="21"/>
              </w:rPr>
              <w:t>True</w:t>
            </w:r>
          </w:p>
        </w:tc>
        <w:tc>
          <w:tcPr>
            <w:tcW w:type="dxa" w:w="1504"/>
          </w:tcPr>
          <w:p>
            <w:pPr>
              <w:spacing w:after="0"/>
              <w:jc w:val="left"/>
            </w:pPr>
            <w:r/>
            <w:r>
              <w:rPr>
                <w:rFonts w:ascii="Times New Roman" w:hAnsi="Times New Roman"/>
                <w:sz w:val="21"/>
              </w:rPr>
              <w:t>none</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min_samples_leaf 20, 255 bins, no depth limit</w:t>
            </w:r>
          </w:p>
        </w:tc>
        <w:tc>
          <w:tcPr>
            <w:tcW w:type="dxa" w:w="1504"/>
          </w:tcPr>
          <w:p>
            <w:pPr>
              <w:spacing w:after="0"/>
              <w:jc w:val="left"/>
            </w:pPr>
            <w:r/>
            <w:r>
              <w:rPr>
                <w:rFonts w:ascii="Times New Roman" w:hAnsi="Times New Roman"/>
                <w:sz w:val="21"/>
              </w:rPr>
              <w:t>the leaf count already limits tree size</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1"/>
              </w:rPr>
              <w:t>SVM, RBF kernel (grid, 4; 0.795 ± 0.014; 0.858)</w:t>
            </w:r>
          </w:p>
        </w:tc>
        <w:tc>
          <w:tcPr>
            <w:tcW w:type="dxa" w:w="1504"/>
          </w:tcPr>
          <w:p>
            <w:pPr>
              <w:spacing w:after="0"/>
              <w:jc w:val="left"/>
            </w:pPr>
            <w:r/>
            <w:r>
              <w:rPr>
                <w:rFonts w:ascii="Times New Roman" w:hAnsi="Times New Roman"/>
                <w:sz w:val="21"/>
              </w:rPr>
              <w:t>C: penalty on margin violations</w:t>
            </w:r>
          </w:p>
        </w:tc>
        <w:tc>
          <w:tcPr>
            <w:tcW w:type="dxa" w:w="1504"/>
          </w:tcPr>
          <w:p>
            <w:pPr>
              <w:spacing w:after="0"/>
              <w:jc w:val="left"/>
            </w:pPr>
            <w:r/>
            <w:r>
              <w:rPr>
                <w:rFonts w:ascii="Times New Roman" w:hAnsi="Times New Roman"/>
                <w:sz w:val="21"/>
              </w:rPr>
              <w:t>1, 10</w:t>
            </w:r>
          </w:p>
        </w:tc>
        <w:tc>
          <w:tcPr>
            <w:tcW w:type="dxa" w:w="1504"/>
          </w:tcPr>
          <w:p>
            <w:pPr>
              <w:spacing w:after="0"/>
              <w:jc w:val="left"/>
            </w:pPr>
            <w:r/>
            <w:r>
              <w:rPr>
                <w:rFonts w:ascii="Times New Roman" w:hAnsi="Times New Roman"/>
                <w:sz w:val="21"/>
              </w:rPr>
              <w:t>the default and a weaker penalty; each fit took about three minutes</w:t>
            </w:r>
          </w:p>
        </w:tc>
        <w:tc>
          <w:tcPr>
            <w:tcW w:type="dxa" w:w="1504"/>
          </w:tcPr>
          <w:p>
            <w:pPr>
              <w:spacing w:after="0"/>
              <w:jc w:val="left"/>
            </w:pPr>
            <w:r/>
            <w:r>
              <w:rPr>
                <w:rFonts w:ascii="Times New Roman" w:hAnsi="Times New Roman"/>
                <w:sz w:val="21"/>
              </w:rPr>
              <w:t>1</w:t>
            </w:r>
          </w:p>
        </w:tc>
        <w:tc>
          <w:tcPr>
            <w:tcW w:type="dxa" w:w="1504"/>
          </w:tcPr>
          <w:p>
            <w:pPr>
              <w:spacing w:after="0"/>
              <w:jc w:val="left"/>
            </w:pPr>
            <w:r/>
            <w:r>
              <w:rPr>
                <w:rFonts w:ascii="Times New Roman" w:hAnsi="Times New Roman"/>
                <w:sz w:val="21"/>
              </w:rPr>
              <w:t>0.786 (10)</w:t>
            </w:r>
          </w:p>
        </w:tc>
      </w:tr>
      <w:tr>
        <w:tc>
          <w:tcPr>
            <w:tcW w:type="dxa" w:w="1504"/>
          </w:tcPr>
          <w:p>
            <w:pPr>
              <w:spacing w:after="0"/>
              <w:jc w:val="left"/>
            </w:pPr>
            <w:r/>
          </w:p>
        </w:tc>
        <w:tc>
          <w:tcPr>
            <w:tcW w:type="dxa" w:w="1504"/>
          </w:tcPr>
          <w:p>
            <w:pPr>
              <w:spacing w:after="0"/>
              <w:jc w:val="left"/>
            </w:pPr>
            <w:r/>
            <w:r>
              <w:rPr>
                <w:rFonts w:ascii="Times New Roman" w:hAnsi="Times New Roman"/>
                <w:sz w:val="21"/>
              </w:rPr>
              <w:t>gamma: RBF kernel width</w:t>
            </w:r>
          </w:p>
        </w:tc>
        <w:tc>
          <w:tcPr>
            <w:tcW w:type="dxa" w:w="1504"/>
          </w:tcPr>
          <w:p>
            <w:pPr>
              <w:spacing w:after="0"/>
              <w:jc w:val="left"/>
            </w:pPr>
            <w:r/>
            <w:r>
              <w:rPr>
                <w:rFonts w:ascii="Times New Roman" w:hAnsi="Times New Roman"/>
                <w:sz w:val="21"/>
              </w:rPr>
              <w:t>scale, 0.01</w:t>
            </w:r>
          </w:p>
        </w:tc>
        <w:tc>
          <w:tcPr>
            <w:tcW w:type="dxa" w:w="1504"/>
          </w:tcPr>
          <w:p>
            <w:pPr>
              <w:spacing w:after="0"/>
              <w:jc w:val="left"/>
            </w:pPr>
            <w:r/>
            <w:r>
              <w:rPr>
                <w:rFonts w:ascii="Times New Roman" w:hAnsi="Times New Roman"/>
                <w:sz w:val="21"/>
              </w:rPr>
              <w:t>the default heuristic and one fixed value</w:t>
            </w:r>
          </w:p>
        </w:tc>
        <w:tc>
          <w:tcPr>
            <w:tcW w:type="dxa" w:w="1504"/>
          </w:tcPr>
          <w:p>
            <w:pPr>
              <w:spacing w:after="0"/>
              <w:jc w:val="left"/>
            </w:pPr>
            <w:r/>
            <w:r>
              <w:rPr>
                <w:rFonts w:ascii="Times New Roman" w:hAnsi="Times New Roman"/>
                <w:sz w:val="21"/>
              </w:rPr>
              <w:t>0.01</w:t>
            </w:r>
          </w:p>
        </w:tc>
        <w:tc>
          <w:tcPr>
            <w:tcW w:type="dxa" w:w="1504"/>
          </w:tcPr>
          <w:p>
            <w:pPr>
              <w:spacing w:after="0"/>
              <w:jc w:val="left"/>
            </w:pPr>
            <w:r/>
            <w:r>
              <w:rPr>
                <w:rFonts w:ascii="Times New Roman" w:hAnsi="Times New Roman"/>
                <w:sz w:val="21"/>
              </w:rPr>
              <w:t>0.791 (scale)</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Platt scaling over five inner folds; 9,913-row subsample of whole mine-years</w:t>
            </w:r>
          </w:p>
        </w:tc>
        <w:tc>
          <w:tcPr>
            <w:tcW w:type="dxa" w:w="1504"/>
          </w:tcPr>
          <w:p>
            <w:pPr>
              <w:spacing w:after="0"/>
              <w:jc w:val="left"/>
            </w:pPr>
            <w:r/>
            <w:r>
              <w:rPr>
                <w:rFonts w:ascii="Times New Roman" w:hAnsi="Times New Roman"/>
                <w:sz w:val="21"/>
              </w:rPr>
              <w:t>probabilities are needed for thresholds; training time is quadratic in rows</w:t>
            </w:r>
          </w:p>
        </w:tc>
        <w:tc>
          <w:tcPr>
            <w:tcW w:type="dxa" w:w="1504"/>
          </w:tcPr>
          <w:p>
            <w:pPr>
              <w:spacing w:after="0"/>
              <w:jc w:val="left"/>
            </w:pPr>
            <w:r/>
          </w:p>
        </w:tc>
        <w:tc>
          <w:tcPr>
            <w:tcW w:type="dxa" w:w="1504"/>
          </w:tcPr>
          <w:p>
            <w:pPr>
              <w:spacing w:after="0"/>
              <w:jc w:val="left"/>
            </w:pPr>
            <w:r/>
          </w:p>
        </w:tc>
      </w:tr>
      <w:tr>
        <w:tc>
          <w:tcPr>
            <w:tcW w:type="dxa" w:w="1504"/>
          </w:tcPr>
          <w:p>
            <w:pPr>
              <w:spacing w:after="0"/>
              <w:jc w:val="left"/>
            </w:pPr>
            <w:r/>
            <w:r>
              <w:rPr>
                <w:rFonts w:ascii="Times New Roman" w:hAnsi="Times New Roman"/>
                <w:sz w:val="21"/>
              </w:rPr>
              <w:t>MLP (grid, 9; 0.833 ± 0.004; 0.870)</w:t>
            </w:r>
          </w:p>
        </w:tc>
        <w:tc>
          <w:tcPr>
            <w:tcW w:type="dxa" w:w="1504"/>
          </w:tcPr>
          <w:p>
            <w:pPr>
              <w:spacing w:after="0"/>
              <w:jc w:val="left"/>
            </w:pPr>
            <w:r/>
            <w:r>
              <w:rPr>
                <w:rFonts w:ascii="Times New Roman" w:hAnsi="Times New Roman"/>
                <w:sz w:val="21"/>
              </w:rPr>
              <w:t>hidden_layer_sizes: units per hidden layer</w:t>
            </w:r>
          </w:p>
        </w:tc>
        <w:tc>
          <w:tcPr>
            <w:tcW w:type="dxa" w:w="1504"/>
          </w:tcPr>
          <w:p>
            <w:pPr>
              <w:spacing w:after="0"/>
              <w:jc w:val="left"/>
            </w:pPr>
            <w:r/>
            <w:r>
              <w:rPr>
                <w:rFonts w:ascii="Times New Roman" w:hAnsi="Times New Roman"/>
                <w:sz w:val="21"/>
              </w:rPr>
              <w:t>(64), (128), (128, 64)</w:t>
            </w:r>
          </w:p>
        </w:tc>
        <w:tc>
          <w:tcPr>
            <w:tcW w:type="dxa" w:w="1504"/>
          </w:tcPr>
          <w:p>
            <w:pPr>
              <w:spacing w:after="0"/>
              <w:jc w:val="left"/>
            </w:pPr>
            <w:r/>
            <w:r>
              <w:rPr>
                <w:rFonts w:ascii="Times New Roman" w:hAnsi="Times New Roman"/>
                <w:sz w:val="21"/>
              </w:rPr>
              <w:t>one or two small layers for about 65,000 rows per fold</w:t>
            </w:r>
          </w:p>
        </w:tc>
        <w:tc>
          <w:tcPr>
            <w:tcW w:type="dxa" w:w="1504"/>
          </w:tcPr>
          <w:p>
            <w:pPr>
              <w:spacing w:after="0"/>
              <w:jc w:val="left"/>
            </w:pPr>
            <w:r/>
            <w:r>
              <w:rPr>
                <w:rFonts w:ascii="Times New Roman" w:hAnsi="Times New Roman"/>
                <w:sz w:val="21"/>
              </w:rPr>
              <w:t>(128)</w:t>
            </w:r>
          </w:p>
        </w:tc>
        <w:tc>
          <w:tcPr>
            <w:tcW w:type="dxa" w:w="1504"/>
          </w:tcPr>
          <w:p>
            <w:pPr>
              <w:spacing w:after="0"/>
              <w:jc w:val="left"/>
            </w:pPr>
            <w:r/>
            <w:r>
              <w:rPr>
                <w:rFonts w:ascii="Times New Roman" w:hAnsi="Times New Roman"/>
                <w:sz w:val="21"/>
              </w:rPr>
              <w:t>0.832 (64)</w:t>
            </w:r>
          </w:p>
        </w:tc>
      </w:tr>
      <w:tr>
        <w:tc>
          <w:tcPr>
            <w:tcW w:type="dxa" w:w="1504"/>
          </w:tcPr>
          <w:p>
            <w:pPr>
              <w:spacing w:after="0"/>
              <w:jc w:val="left"/>
            </w:pPr>
            <w:r/>
          </w:p>
        </w:tc>
        <w:tc>
          <w:tcPr>
            <w:tcW w:type="dxa" w:w="1504"/>
          </w:tcPr>
          <w:p>
            <w:pPr>
              <w:spacing w:after="0"/>
              <w:jc w:val="left"/>
            </w:pPr>
            <w:r/>
            <w:r>
              <w:rPr>
                <w:rFonts w:ascii="Times New Roman" w:hAnsi="Times New Roman"/>
                <w:sz w:val="21"/>
              </w:rPr>
              <w:t>alpha: L2 weight penalty</w:t>
            </w:r>
          </w:p>
        </w:tc>
        <w:tc>
          <w:tcPr>
            <w:tcW w:type="dxa" w:w="1504"/>
          </w:tcPr>
          <w:p>
            <w:pPr>
              <w:spacing w:after="0"/>
              <w:jc w:val="left"/>
            </w:pPr>
            <w:r/>
            <w:r>
              <w:rPr>
                <w:rFonts w:ascii="Times New Roman" w:hAnsi="Times New Roman"/>
                <w:sz w:val="21"/>
              </w:rPr>
              <w:t>1e-4, 1e-2, 1e-1</w:t>
            </w:r>
          </w:p>
        </w:tc>
        <w:tc>
          <w:tcPr>
            <w:tcW w:type="dxa" w:w="1504"/>
          </w:tcPr>
          <w:p>
            <w:pPr>
              <w:spacing w:after="0"/>
              <w:jc w:val="left"/>
            </w:pPr>
            <w:r/>
            <w:r>
              <w:rPr>
                <w:rFonts w:ascii="Times New Roman" w:hAnsi="Times New Roman"/>
                <w:sz w:val="21"/>
              </w:rPr>
              <w:t>log-spaced from the default upwards</w:t>
            </w:r>
          </w:p>
        </w:tc>
        <w:tc>
          <w:tcPr>
            <w:tcW w:type="dxa" w:w="1504"/>
          </w:tcPr>
          <w:p>
            <w:pPr>
              <w:spacing w:after="0"/>
              <w:jc w:val="left"/>
            </w:pPr>
            <w:r/>
            <w:r>
              <w:rPr>
                <w:rFonts w:ascii="Times New Roman" w:hAnsi="Times New Roman"/>
                <w:sz w:val="21"/>
              </w:rPr>
              <w:t>0.01</w:t>
            </w:r>
          </w:p>
        </w:tc>
        <w:tc>
          <w:tcPr>
            <w:tcW w:type="dxa" w:w="1504"/>
          </w:tcPr>
          <w:p>
            <w:pPr>
              <w:spacing w:after="0"/>
              <w:jc w:val="left"/>
            </w:pPr>
            <w:r/>
            <w:r>
              <w:rPr>
                <w:rFonts w:ascii="Times New Roman" w:hAnsi="Times New Roman"/>
                <w:sz w:val="21"/>
              </w:rPr>
              <w:t>0.832 (0.1)</w:t>
            </w:r>
          </w:p>
        </w:tc>
      </w:tr>
      <w:tr>
        <w:tc>
          <w:tcPr>
            <w:tcW w:type="dxa" w:w="1504"/>
          </w:tcPr>
          <w:p>
            <w:pPr>
              <w:spacing w:after="0"/>
              <w:jc w:val="left"/>
            </w:pPr>
            <w:r/>
          </w:p>
        </w:tc>
        <w:tc>
          <w:tcPr>
            <w:tcW w:type="dxa" w:w="1504"/>
          </w:tcPr>
          <w:p>
            <w:pPr>
              <w:spacing w:after="0"/>
              <w:jc w:val="left"/>
            </w:pPr>
            <w:r/>
            <w:r>
              <w:rPr>
                <w:rFonts w:ascii="Times New Roman" w:hAnsi="Times New Roman"/>
                <w:sz w:val="21"/>
              </w:rPr>
              <w:t>Fixed settings</w:t>
            </w:r>
          </w:p>
        </w:tc>
        <w:tc>
          <w:tcPr>
            <w:tcW w:type="dxa" w:w="1504"/>
          </w:tcPr>
          <w:p>
            <w:pPr>
              <w:spacing w:after="0"/>
              <w:jc w:val="left"/>
            </w:pPr>
            <w:r/>
            <w:r>
              <w:rPr>
                <w:rFonts w:ascii="Times New Roman" w:hAnsi="Times New Roman"/>
                <w:sz w:val="21"/>
              </w:rPr>
              <w:t>ReLU units; Adam with initial learning rate 0.001; batches of 200; early stopping on a 10% split; at most 200 epochs</w:t>
            </w:r>
          </w:p>
        </w:tc>
        <w:tc>
          <w:tcPr>
            <w:tcW w:type="dxa" w:w="1504"/>
          </w:tcPr>
          <w:p>
            <w:pPr>
              <w:spacing w:after="0"/>
              <w:jc w:val="left"/>
            </w:pPr>
            <w:r/>
            <w:r>
              <w:rPr>
                <w:rFonts w:ascii="Times New Roman" w:hAnsi="Times New Roman"/>
                <w:sz w:val="21"/>
              </w:rPr>
              <w:t>standard settings, with early stopping against overfitting</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Figure 13 plots training and validation PR-AUC against each search's most varied hyperparameter. The decision tree underfits at depth 4 with equal scores, overfits at unlimited depth with a wide gap and peaks at depth 12 with large leaves. The random forest's deep trees open a wider gap still, yet its validation score rises with depth, because averaging cancels much of each tree's variance. The SVM overfits as C grows and has the largest fold-to-fold spread, a cost of its small subsample.</w:t>
      </w:r>
    </w:p>
    <w:p>
      <w:pPr>
        <w:keepNext/>
        <w:jc w:val="center"/>
      </w:pPr>
      <w:r>
        <w:drawing>
          <wp:inline xmlns:a="http://schemas.openxmlformats.org/drawingml/2006/main" xmlns:pic="http://schemas.openxmlformats.org/drawingml/2006/picture">
            <wp:extent cx="5029200" cy="8086703"/>
            <wp:docPr id="13" name="Picture 13"/>
            <wp:cNvGraphicFramePr>
              <a:graphicFrameLocks noChangeAspect="1"/>
            </wp:cNvGraphicFramePr>
            <a:graphic>
              <a:graphicData uri="http://schemas.openxmlformats.org/drawingml/2006/picture">
                <pic:pic>
                  <pic:nvPicPr>
                    <pic:cNvPr id="0" name="F14_validation_curves.png"/>
                    <pic:cNvPicPr/>
                  </pic:nvPicPr>
                  <pic:blipFill>
                    <a:blip r:embed="rId23"/>
                    <a:stretch>
                      <a:fillRect/>
                    </a:stretch>
                  </pic:blipFill>
                  <pic:spPr>
                    <a:xfrm>
                      <a:off x="0" y="0"/>
                      <a:ext cx="5029200" cy="8086703"/>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Validation curves of the eight tuned models, giving mean training-fold and validation-fold PR-AUC (average precision) with one standard deviation bands over the five grouped folds of the training split against the hyperparameter with most searched values, the other hyperparameters held at their selected values (for the random forest, the best sampled candidate per value), with the selected value dashed; curves are drawn because the train-validation gap and its shape show over- and underfitting. Source: author's analysis of MSHA open data.</w:t>
      </w:r>
    </w:p>
    <w:p>
      <w:r>
        <w:rPr>
          <w:rFonts w:ascii="Times New Roman" w:hAnsi="Times New Roman"/>
          <w:sz w:val="24"/>
        </w:rPr>
        <w:t>Logistic regression is flat from C = 0.1 upwards, with training and validation scores close together, which marks a high-bias model. KNN scores 1.000 on its training folds under distance weighting, because each training row is its own nearest neighbour, and its validation score was still rising at the grid edge of K = 51, where a wider grid might have helped it. Gaussian naive Bayes peaks sharply in var_smoothing without a gap; one smoothing constant decides its score. HGB and the MLP have flat curves and moderate gaps, so their model class matters more than the selected values.</w:t>
      </w:r>
    </w:p>
    <w:p>
      <w:r>
        <w:rPr>
          <w:rFonts w:ascii="Times New Roman" w:hAnsi="Times New Roman"/>
          <w:sz w:val="24"/>
        </w:rPr>
        <w:t>The threshold was tuned as a further hyperparameter on out-of-fold probabilities, never on test rows, whose labels would then make the reported recall optimistic. The capacity rule takes the lowest threshold whose out-of-fold specificity reaches the target, a second rule flags half the cases, and a cost rule minimises out-of-fold expected cost at each cost ratio (Figure 15). For HGB the capacity threshold of 0.210 gave a test specificity of 0.403 against the 0.40 target, so the review workload planned on training rows held on unseen mine-years.</w:t>
      </w:r>
    </w:p>
    <w:p>
      <w:r>
        <w:rPr>
          <w:rFonts w:ascii="Times New Roman" w:hAnsi="Times New Roman"/>
          <w:sz w:val="24"/>
        </w:rPr>
        <w:t>The grids stayed narrow for compute reasons (Table 15). Searches took from about a minute for logistic regression to about twenty minutes for the SVM, and the temporal split repeated all of them, so the run took about an hour and a half; wider grids multiply those times for little promised gain. Under the one-standard-error rule, which picks the simplest candidate within one standard error of the best mean (Hastie et al., 2009), logistic regression would take a tenfold stronger penalty, the MLP its smaller layer and HGB the faster learning rate with fewer rounds. I kept the highest mean, since each alternative lies within fold noise and none changes the ranking of algorithms.</w:t>
      </w:r>
    </w:p>
    <w:p>
      <w:pPr>
        <w:pStyle w:val="Heading2"/>
      </w:pPr>
      <w:r>
        <w:rPr>
          <w:rFonts w:ascii="Times New Roman" w:hAnsi="Times New Roman"/>
          <w:b/>
          <w:color w:val="000000"/>
          <w:sz w:val="28"/>
        </w:rPr>
        <w:t>4.4 Evaluation metrics</w:t>
      </w:r>
    </w:p>
    <w:p>
      <w:r>
        <w:rPr>
          <w:rFonts w:ascii="Times New Roman" w:hAnsi="Times New Roman"/>
          <w:sz w:val="24"/>
        </w:rPr>
        <w:t>Each test report lands in one cell of the confusion matrix. A true positive (TP) is a lost-time case flagged at filing, whose reserve and return-to-work plan then start early. A false negative (FN) is a lost-time case left in routine handling, the miss priced at USD 4,000 in Table 1. A false positive (FP) sends a restricted-duty or no-lost-time case to an unnecessary review costing about USD 200, and a true negative (TN) is such a case left alone. Accuracy, the share of correct cells, was reported but not used, because it prices both errors alike and the majority class reaches 0.514 while flagging nothing (Table 12).</w:t>
      </w:r>
    </w:p>
    <w:p>
      <w:r>
        <w:rPr>
          <w:rFonts w:ascii="Times New Roman" w:hAnsi="Times New Roman"/>
          <w:sz w:val="24"/>
        </w:rPr>
        <w:t>Recall, the true positive rate (TPR), is TP / (TP + FN), the share of lost-time cases flagged and the quantity the insurer most needs. Precision, TP / (TP + FP), is the share of flags that are lost-time and sets the review effort per catch. Specificity, the true negative rate (TNR), is TN / (TN + FP), the share of other cases left alone, which fixes the workload. F1, the harmonic mean of precision and recall, weights both errors equally, so it was reported but not optimised; the expected cost states the asymmetry that an F-beta score would only approximate. Balanced accuracy averages TPR and TNR, and the Matthews correlation coefficient (MCC) is zero for any constant prediction, so both expose a model that flags everything.</w:t>
      </w:r>
    </w:p>
    <w:p>
      <w:r>
        <w:rPr>
          <w:rFonts w:ascii="Times New Roman" w:hAnsi="Times New Roman"/>
          <w:sz w:val="24"/>
        </w:rPr>
        <w:t>ROC-AUC is the probability that a random lost-time case scores above a random other case and does not depend on prevalence (Fawcett, 2006). PR-AUC averages precision over all recall levels, and its no-skill level equals the prevalence of 0.486. A model dominates in precision-recall space exactly when it dominates in ROC space (Davis and Goadrich, 2006), and at near balance the two rank models alike. PR-AUC is primary because the adjuster works down a ranked queue with limited capacity, where precision is the review cost per lost-time case found (Saito and Rehmsmeier, 2015).</w:t>
      </w:r>
    </w:p>
    <w:p>
      <w:r>
        <w:rPr>
          <w:rFonts w:ascii="Times New Roman" w:hAnsi="Times New Roman"/>
          <w:sz w:val="24"/>
        </w:rPr>
        <w:t>Because the application shows each probability and the cost rule takes it at face value, calibration was checked. The Brier score, the mean squared gap between probability and outcome, is 0.250 for a constant prediction at the prevalence, and Figure 14 compares predicted with observed rates. Gaussian naive Bayes places many lost-time cases in its lowest bin, the overconfidence expected in Section 2.4. HGB follows the diagonal. Expected cost per 1,000 cases is 1,000 x (FN x C_FN + FP x C_FP) / N, with C_FP from Table 1 and C_FN set by the cost ratio (Figure 15). Reviewing everything costs the same at any ratio, and at high ratios the cheapest threshold flags nearly every case at about that cost, so cost separates models only at the low ratios that S4 tests.</w:t>
      </w:r>
    </w:p>
    <w:p>
      <w:pPr>
        <w:keepNext/>
        <w:jc w:val="center"/>
      </w:pPr>
      <w:r>
        <w:drawing>
          <wp:inline xmlns:a="http://schemas.openxmlformats.org/drawingml/2006/main" xmlns:pic="http://schemas.openxmlformats.org/drawingml/2006/picture">
            <wp:extent cx="4572000" cy="4444845"/>
            <wp:docPr id="14" name="Picture 14"/>
            <wp:cNvGraphicFramePr>
              <a:graphicFrameLocks noChangeAspect="1"/>
            </wp:cNvGraphicFramePr>
            <a:graphic>
              <a:graphicData uri="http://schemas.openxmlformats.org/drawingml/2006/picture">
                <pic:pic>
                  <pic:nvPicPr>
                    <pic:cNvPr id="0" name="F19_calibration.png"/>
                    <pic:cNvPicPr/>
                  </pic:nvPicPr>
                  <pic:blipFill>
                    <a:blip r:embed="rId24"/>
                    <a:stretch>
                      <a:fillRect/>
                    </a:stretch>
                  </pic:blipFill>
                  <pic:spPr>
                    <a:xfrm>
                      <a:off x="0" y="0"/>
                      <a:ext cx="4572000" cy="4444845"/>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Calibration curves of the eight tuned models and the lookup baseline on the 20,320 test reports, plotting the observed lost-time rate against the mean predicted probability in ten equal-width bins with marker size proportional to the cases in each bin and Brier scores in the legend; a reliability diagram is used because the application displays these probabilities. Source: author's analysis of MSHA open data.</w:t>
      </w:r>
    </w:p>
    <w:p>
      <w:pPr>
        <w:keepNext/>
        <w:jc w:val="center"/>
      </w:pPr>
      <w:r>
        <w:drawing>
          <wp:inline xmlns:a="http://schemas.openxmlformats.org/drawingml/2006/main" xmlns:pic="http://schemas.openxmlformats.org/drawingml/2006/picture">
            <wp:extent cx="5733288" cy="4928930"/>
            <wp:docPr id="15" name="Picture 15"/>
            <wp:cNvGraphicFramePr>
              <a:graphicFrameLocks noChangeAspect="1"/>
            </wp:cNvGraphicFramePr>
            <a:graphic>
              <a:graphicData uri="http://schemas.openxmlformats.org/drawingml/2006/picture">
                <pic:pic>
                  <pic:nvPicPr>
                    <pic:cNvPr id="0" name="F18_threshold_cost_curve_hist_gb.png"/>
                    <pic:cNvPicPr/>
                  </pic:nvPicPr>
                  <pic:blipFill>
                    <a:blip r:embed="rId25"/>
                    <a:stretch>
                      <a:fillRect/>
                    </a:stretch>
                  </pic:blipFill>
                  <pic:spPr>
                    <a:xfrm>
                      <a:off x="0" y="0"/>
                      <a:ext cx="5733288" cy="4928930"/>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Recall, specificity, precision, F1 and flag rate (top) and expected cost per 1,000 cases at six false-negative to false-positive cost ratios on a log scale (bottom) against the decision threshold of HGB on the 20,320 test reports, with the three out-of-fold thresholds dashed and the cost of reviewing everything dotted; the test set only displays the consequences of thresholds fixed beforehand, and a shared threshold axis is used so that each rate and cost can be read at the same cut-off. Source: author's analysis of MSHA open data.</w:t>
      </w:r>
    </w:p>
    <w:p>
      <w:r>
        <w:rPr>
          <w:rFonts w:ascii="Times New Roman" w:hAnsi="Times New Roman"/>
          <w:sz w:val="24"/>
        </w:rPr>
        <w:t>Cross-validated scores are fold means and standard deviations on training rows and served selection only; the test set was scored once with every choice fixed, and the two sit in separate tables. No metric here captures fairness between sectors, whose label partly records employer practice, or drift after the training years, so results are also reported by sector and on a temporal split (Table 19).</w:t>
      </w:r>
    </w:p>
    <w:p>
      <w:pPr>
        <w:pStyle w:val="Heading2"/>
      </w:pPr>
      <w:r>
        <w:rPr>
          <w:rFonts w:ascii="Times New Roman" w:hAnsi="Times New Roman"/>
          <w:b/>
          <w:color w:val="000000"/>
          <w:sz w:val="28"/>
        </w:rPr>
        <w:t>4.5 Comparison and final model</w:t>
      </w:r>
    </w:p>
    <w:p>
      <w:r>
        <w:rPr>
          <w:rFonts w:ascii="Times New Roman" w:hAnsi="Times New Roman"/>
          <w:sz w:val="24"/>
        </w:rPr>
        <w:t>Table 11 gives the cross-validated scores and Table 12 the test scores at the default threshold of 0.5. HGB leads both, the MLP is second, and logistic regression nearly ties the random forest. The curves of the top six models lie close together, while KNN and naive Bayes fall below the lookup baseline (Figure 16; Figure 17). At each capacity threshold, recall is close among the top six, and the MLP's highest recall comes with the lowest specificity (Table 13).</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Cross-validated scores (mean ± SD over five StratifiedGroupKFold folds of mine-year groups in the 81,289-row training split) of the selected candidate of each model, with F1, recall (TPR), TNR, precision and accuracy at the default threshold of 0.5, ordered by PR-AUC (average precision), the refit metric; KNN and the SVM were cross-validated on their 39,999-row and 9,913-row subsamples. TNR (specificity) is the pooled out-of-fold value over all 81,289 training rows and has no SD, because the search did not score specificity per fold; for KNN and the SVM, rows outside their subsamples were scored by the model refitted on the subsample.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1"/>
              </w:rPr>
              <w:t>Model</w:t>
            </w:r>
          </w:p>
        </w:tc>
        <w:tc>
          <w:tcPr>
            <w:tcW w:type="dxa" w:w="1003"/>
            <w:shd w:val="clear" w:color="auto" w:fill="E7E6E6"/>
          </w:tcPr>
          <w:p>
            <w:pPr>
              <w:jc w:val="left"/>
            </w:pPr>
            <w:r>
              <w:rPr>
                <w:b/>
              </w:rPr>
            </w:r>
            <w:r>
              <w:rPr>
                <w:rFonts w:ascii="Times New Roman" w:hAnsi="Times New Roman"/>
                <w:b/>
                <w:sz w:val="21"/>
              </w:rPr>
              <w:t>PR-AUC</w:t>
            </w:r>
          </w:p>
        </w:tc>
        <w:tc>
          <w:tcPr>
            <w:tcW w:type="dxa" w:w="1003"/>
            <w:shd w:val="clear" w:color="auto" w:fill="E7E6E6"/>
          </w:tcPr>
          <w:p>
            <w:pPr>
              <w:jc w:val="left"/>
            </w:pPr>
            <w:r>
              <w:rPr>
                <w:b/>
              </w:rPr>
            </w:r>
            <w:r>
              <w:rPr>
                <w:rFonts w:ascii="Times New Roman" w:hAnsi="Times New Roman"/>
                <w:b/>
                <w:sz w:val="21"/>
              </w:rPr>
              <w:t>ROC-AUC</w:t>
            </w:r>
          </w:p>
        </w:tc>
        <w:tc>
          <w:tcPr>
            <w:tcW w:type="dxa" w:w="1003"/>
            <w:shd w:val="clear" w:color="auto" w:fill="E7E6E6"/>
          </w:tcPr>
          <w:p>
            <w:pPr>
              <w:jc w:val="left"/>
            </w:pPr>
            <w:r>
              <w:rPr>
                <w:b/>
              </w:rPr>
            </w:r>
            <w:r>
              <w:rPr>
                <w:rFonts w:ascii="Times New Roman" w:hAnsi="Times New Roman"/>
                <w:b/>
                <w:sz w:val="21"/>
              </w:rPr>
              <w:t>F1</w:t>
            </w:r>
          </w:p>
        </w:tc>
        <w:tc>
          <w:tcPr>
            <w:tcW w:type="dxa" w:w="1003"/>
            <w:shd w:val="clear" w:color="auto" w:fill="E7E6E6"/>
          </w:tcPr>
          <w:p>
            <w:pPr>
              <w:jc w:val="left"/>
            </w:pPr>
            <w:r>
              <w:rPr>
                <w:b/>
              </w:rPr>
            </w:r>
            <w:r>
              <w:rPr>
                <w:rFonts w:ascii="Times New Roman" w:hAnsi="Times New Roman"/>
                <w:b/>
                <w:sz w:val="21"/>
              </w:rPr>
              <w:t>Recall (TPR)</w:t>
            </w:r>
          </w:p>
        </w:tc>
        <w:tc>
          <w:tcPr>
            <w:tcW w:type="dxa" w:w="1003"/>
            <w:shd w:val="clear" w:color="auto" w:fill="E7E6E6"/>
          </w:tcPr>
          <w:p>
            <w:pPr>
              <w:jc w:val="left"/>
            </w:pPr>
            <w:r>
              <w:rPr>
                <w:b/>
              </w:rPr>
            </w:r>
            <w:r>
              <w:rPr>
                <w:rFonts w:ascii="Times New Roman" w:hAnsi="Times New Roman"/>
                <w:b/>
                <w:sz w:val="21"/>
              </w:rPr>
              <w:t>TNR (pooled)</w:t>
            </w:r>
          </w:p>
        </w:tc>
        <w:tc>
          <w:tcPr>
            <w:tcW w:type="dxa" w:w="1003"/>
            <w:shd w:val="clear" w:color="auto" w:fill="E7E6E6"/>
          </w:tcPr>
          <w:p>
            <w:pPr>
              <w:jc w:val="left"/>
            </w:pPr>
            <w:r>
              <w:rPr>
                <w:b/>
              </w:rPr>
            </w:r>
            <w:r>
              <w:rPr>
                <w:rFonts w:ascii="Times New Roman" w:hAnsi="Times New Roman"/>
                <w:b/>
                <w:sz w:val="21"/>
              </w:rPr>
              <w:t>Precision</w:t>
            </w:r>
          </w:p>
        </w:tc>
        <w:tc>
          <w:tcPr>
            <w:tcW w:type="dxa" w:w="1003"/>
            <w:shd w:val="clear" w:color="auto" w:fill="E7E6E6"/>
          </w:tcPr>
          <w:p>
            <w:pPr>
              <w:jc w:val="left"/>
            </w:pPr>
            <w:r>
              <w:rPr>
                <w:b/>
              </w:rPr>
            </w:r>
            <w:r>
              <w:rPr>
                <w:rFonts w:ascii="Times New Roman" w:hAnsi="Times New Roman"/>
                <w:b/>
                <w:sz w:val="21"/>
              </w:rPr>
              <w:t>Accuracy</w:t>
            </w:r>
          </w:p>
        </w:tc>
        <w:tc>
          <w:tcPr>
            <w:tcW w:type="dxa" w:w="1003"/>
            <w:shd w:val="clear" w:color="auto" w:fill="E7E6E6"/>
          </w:tcPr>
          <w:p>
            <w:pPr>
              <w:jc w:val="left"/>
            </w:pPr>
            <w:r>
              <w:rPr>
                <w:b/>
              </w:rPr>
            </w:r>
            <w:r>
              <w:rPr>
                <w:rFonts w:ascii="Times New Roman" w:hAnsi="Times New Roman"/>
                <w:b/>
                <w:sz w:val="21"/>
              </w:rPr>
              <w:t>Brier</w:t>
            </w:r>
          </w:p>
        </w:tc>
      </w:tr>
      <w:tr>
        <w:tc>
          <w:tcPr>
            <w:tcW w:type="dxa" w:w="1003"/>
          </w:tcPr>
          <w:p>
            <w:pPr>
              <w:spacing w:after="0"/>
              <w:jc w:val="left"/>
            </w:pPr>
            <w:r/>
            <w:r>
              <w:rPr>
                <w:rFonts w:ascii="Times New Roman" w:hAnsi="Times New Roman"/>
                <w:sz w:val="21"/>
              </w:rPr>
              <w:t>HGB</w:t>
            </w:r>
          </w:p>
        </w:tc>
        <w:tc>
          <w:tcPr>
            <w:tcW w:type="dxa" w:w="1003"/>
          </w:tcPr>
          <w:p>
            <w:pPr>
              <w:spacing w:after="0"/>
              <w:jc w:val="left"/>
            </w:pPr>
            <w:r/>
            <w:r>
              <w:rPr>
                <w:rFonts w:ascii="Times New Roman" w:hAnsi="Times New Roman"/>
                <w:sz w:val="21"/>
              </w:rPr>
              <w:t>0.838 ± 0.003</w:t>
            </w:r>
          </w:p>
        </w:tc>
        <w:tc>
          <w:tcPr>
            <w:tcW w:type="dxa" w:w="1003"/>
          </w:tcPr>
          <w:p>
            <w:pPr>
              <w:spacing w:after="0"/>
              <w:jc w:val="left"/>
            </w:pPr>
            <w:r/>
            <w:r>
              <w:rPr>
                <w:rFonts w:ascii="Times New Roman" w:hAnsi="Times New Roman"/>
                <w:sz w:val="21"/>
              </w:rPr>
              <w:t>0.839 ± 0.002</w:t>
            </w:r>
          </w:p>
        </w:tc>
        <w:tc>
          <w:tcPr>
            <w:tcW w:type="dxa" w:w="1003"/>
          </w:tcPr>
          <w:p>
            <w:pPr>
              <w:spacing w:after="0"/>
              <w:jc w:val="left"/>
            </w:pPr>
            <w:r/>
            <w:r>
              <w:rPr>
                <w:rFonts w:ascii="Times New Roman" w:hAnsi="Times New Roman"/>
                <w:sz w:val="21"/>
              </w:rPr>
              <w:t>0.743 ± 0.002</w:t>
            </w:r>
          </w:p>
        </w:tc>
        <w:tc>
          <w:tcPr>
            <w:tcW w:type="dxa" w:w="1003"/>
          </w:tcPr>
          <w:p>
            <w:pPr>
              <w:spacing w:after="0"/>
              <w:jc w:val="left"/>
            </w:pPr>
            <w:r/>
            <w:r>
              <w:rPr>
                <w:rFonts w:ascii="Times New Roman" w:hAnsi="Times New Roman"/>
                <w:sz w:val="21"/>
              </w:rPr>
              <w:t>0.723 ± 0.007</w:t>
            </w:r>
          </w:p>
        </w:tc>
        <w:tc>
          <w:tcPr>
            <w:tcW w:type="dxa" w:w="1003"/>
          </w:tcPr>
          <w:p>
            <w:pPr>
              <w:spacing w:after="0"/>
              <w:jc w:val="left"/>
            </w:pPr>
            <w:r/>
            <w:r>
              <w:rPr>
                <w:rFonts w:ascii="Times New Roman" w:hAnsi="Times New Roman"/>
                <w:sz w:val="21"/>
              </w:rPr>
              <w:t>0.789</w:t>
            </w:r>
          </w:p>
        </w:tc>
        <w:tc>
          <w:tcPr>
            <w:tcW w:type="dxa" w:w="1003"/>
          </w:tcPr>
          <w:p>
            <w:pPr>
              <w:spacing w:after="0"/>
              <w:jc w:val="left"/>
            </w:pPr>
            <w:r/>
            <w:r>
              <w:rPr>
                <w:rFonts w:ascii="Times New Roman" w:hAnsi="Times New Roman"/>
                <w:sz w:val="21"/>
              </w:rPr>
              <w:t>0.764 ± 0.005</w:t>
            </w:r>
          </w:p>
        </w:tc>
        <w:tc>
          <w:tcPr>
            <w:tcW w:type="dxa" w:w="1003"/>
          </w:tcPr>
          <w:p>
            <w:pPr>
              <w:spacing w:after="0"/>
              <w:jc w:val="left"/>
            </w:pPr>
            <w:r/>
            <w:r>
              <w:rPr>
                <w:rFonts w:ascii="Times New Roman" w:hAnsi="Times New Roman"/>
                <w:sz w:val="21"/>
              </w:rPr>
              <w:t>0.757 ± 0.002</w:t>
            </w:r>
          </w:p>
        </w:tc>
        <w:tc>
          <w:tcPr>
            <w:tcW w:type="dxa" w:w="1003"/>
          </w:tcPr>
          <w:p>
            <w:pPr>
              <w:spacing w:after="0"/>
              <w:jc w:val="left"/>
            </w:pPr>
            <w:r/>
            <w:r>
              <w:rPr>
                <w:rFonts w:ascii="Times New Roman" w:hAnsi="Times New Roman"/>
                <w:sz w:val="21"/>
              </w:rPr>
              <w:t>0.163 ± 0.001</w:t>
            </w:r>
          </w:p>
        </w:tc>
      </w:tr>
      <w:tr>
        <w:tc>
          <w:tcPr>
            <w:tcW w:type="dxa" w:w="1003"/>
          </w:tcPr>
          <w:p>
            <w:pPr>
              <w:spacing w:after="0"/>
              <w:jc w:val="left"/>
            </w:pPr>
            <w:r/>
            <w:r>
              <w:rPr>
                <w:rFonts w:ascii="Times New Roman" w:hAnsi="Times New Roman"/>
                <w:sz w:val="21"/>
              </w:rPr>
              <w:t>MLP</w:t>
            </w:r>
          </w:p>
        </w:tc>
        <w:tc>
          <w:tcPr>
            <w:tcW w:type="dxa" w:w="1003"/>
          </w:tcPr>
          <w:p>
            <w:pPr>
              <w:spacing w:after="0"/>
              <w:jc w:val="left"/>
            </w:pPr>
            <w:r/>
            <w:r>
              <w:rPr>
                <w:rFonts w:ascii="Times New Roman" w:hAnsi="Times New Roman"/>
                <w:sz w:val="21"/>
              </w:rPr>
              <w:t>0.833 ± 0.004</w:t>
            </w:r>
          </w:p>
        </w:tc>
        <w:tc>
          <w:tcPr>
            <w:tcW w:type="dxa" w:w="1003"/>
          </w:tcPr>
          <w:p>
            <w:pPr>
              <w:spacing w:after="0"/>
              <w:jc w:val="left"/>
            </w:pPr>
            <w:r/>
            <w:r>
              <w:rPr>
                <w:rFonts w:ascii="Times New Roman" w:hAnsi="Times New Roman"/>
                <w:sz w:val="21"/>
              </w:rPr>
              <w:t>0.835 ± 0.004</w:t>
            </w:r>
          </w:p>
        </w:tc>
        <w:tc>
          <w:tcPr>
            <w:tcW w:type="dxa" w:w="1003"/>
          </w:tcPr>
          <w:p>
            <w:pPr>
              <w:spacing w:after="0"/>
              <w:jc w:val="left"/>
            </w:pPr>
            <w:r/>
            <w:r>
              <w:rPr>
                <w:rFonts w:ascii="Times New Roman" w:hAnsi="Times New Roman"/>
                <w:sz w:val="21"/>
              </w:rPr>
              <w:t>0.740 ± 0.007</w:t>
            </w:r>
          </w:p>
        </w:tc>
        <w:tc>
          <w:tcPr>
            <w:tcW w:type="dxa" w:w="1003"/>
          </w:tcPr>
          <w:p>
            <w:pPr>
              <w:spacing w:after="0"/>
              <w:jc w:val="left"/>
            </w:pPr>
            <w:r/>
            <w:r>
              <w:rPr>
                <w:rFonts w:ascii="Times New Roman" w:hAnsi="Times New Roman"/>
                <w:sz w:val="21"/>
              </w:rPr>
              <w:t>0.719 ± 0.019</w:t>
            </w:r>
          </w:p>
        </w:tc>
        <w:tc>
          <w:tcPr>
            <w:tcW w:type="dxa" w:w="1003"/>
          </w:tcPr>
          <w:p>
            <w:pPr>
              <w:spacing w:after="0"/>
              <w:jc w:val="left"/>
            </w:pPr>
            <w:r/>
            <w:r>
              <w:rPr>
                <w:rFonts w:ascii="Times New Roman" w:hAnsi="Times New Roman"/>
                <w:sz w:val="21"/>
              </w:rPr>
              <w:t>0.788</w:t>
            </w:r>
          </w:p>
        </w:tc>
        <w:tc>
          <w:tcPr>
            <w:tcW w:type="dxa" w:w="1003"/>
          </w:tcPr>
          <w:p>
            <w:pPr>
              <w:spacing w:after="0"/>
              <w:jc w:val="left"/>
            </w:pPr>
            <w:r/>
            <w:r>
              <w:rPr>
                <w:rFonts w:ascii="Times New Roman" w:hAnsi="Times New Roman"/>
                <w:sz w:val="21"/>
              </w:rPr>
              <w:t>0.763 ± 0.007</w:t>
            </w:r>
          </w:p>
        </w:tc>
        <w:tc>
          <w:tcPr>
            <w:tcW w:type="dxa" w:w="1003"/>
          </w:tcPr>
          <w:p>
            <w:pPr>
              <w:spacing w:after="0"/>
              <w:jc w:val="left"/>
            </w:pPr>
            <w:r/>
            <w:r>
              <w:rPr>
                <w:rFonts w:ascii="Times New Roman" w:hAnsi="Times New Roman"/>
                <w:sz w:val="21"/>
              </w:rPr>
              <w:t>0.755 ± 0.002</w:t>
            </w:r>
          </w:p>
        </w:tc>
        <w:tc>
          <w:tcPr>
            <w:tcW w:type="dxa" w:w="1003"/>
          </w:tcPr>
          <w:p>
            <w:pPr>
              <w:spacing w:after="0"/>
              <w:jc w:val="left"/>
            </w:pPr>
            <w:r/>
            <w:r>
              <w:rPr>
                <w:rFonts w:ascii="Times New Roman" w:hAnsi="Times New Roman"/>
                <w:sz w:val="21"/>
              </w:rPr>
              <w:t>0.166 ± 0.002</w:t>
            </w:r>
          </w:p>
        </w:tc>
      </w:tr>
      <w:tr>
        <w:tc>
          <w:tcPr>
            <w:tcW w:type="dxa" w:w="1003"/>
          </w:tcPr>
          <w:p>
            <w:pPr>
              <w:spacing w:after="0"/>
              <w:jc w:val="left"/>
            </w:pPr>
            <w:r/>
            <w:r>
              <w:rPr>
                <w:rFonts w:ascii="Times New Roman" w:hAnsi="Times New Roman"/>
                <w:sz w:val="21"/>
              </w:rPr>
              <w:t>Random forest</w:t>
            </w:r>
          </w:p>
        </w:tc>
        <w:tc>
          <w:tcPr>
            <w:tcW w:type="dxa" w:w="1003"/>
          </w:tcPr>
          <w:p>
            <w:pPr>
              <w:spacing w:after="0"/>
              <w:jc w:val="left"/>
            </w:pPr>
            <w:r/>
            <w:r>
              <w:rPr>
                <w:rFonts w:ascii="Times New Roman" w:hAnsi="Times New Roman"/>
                <w:sz w:val="21"/>
              </w:rPr>
              <w:t>0.821 ± 0.003</w:t>
            </w:r>
          </w:p>
        </w:tc>
        <w:tc>
          <w:tcPr>
            <w:tcW w:type="dxa" w:w="1003"/>
          </w:tcPr>
          <w:p>
            <w:pPr>
              <w:spacing w:after="0"/>
              <w:jc w:val="left"/>
            </w:pPr>
            <w:r/>
            <w:r>
              <w:rPr>
                <w:rFonts w:ascii="Times New Roman" w:hAnsi="Times New Roman"/>
                <w:sz w:val="21"/>
              </w:rPr>
              <w:t>0.828 ± 0.003</w:t>
            </w:r>
          </w:p>
        </w:tc>
        <w:tc>
          <w:tcPr>
            <w:tcW w:type="dxa" w:w="1003"/>
          </w:tcPr>
          <w:p>
            <w:pPr>
              <w:spacing w:after="0"/>
              <w:jc w:val="left"/>
            </w:pPr>
            <w:r/>
            <w:r>
              <w:rPr>
                <w:rFonts w:ascii="Times New Roman" w:hAnsi="Times New Roman"/>
                <w:sz w:val="21"/>
              </w:rPr>
              <w:t>0.732 ± 0.004</w:t>
            </w:r>
          </w:p>
        </w:tc>
        <w:tc>
          <w:tcPr>
            <w:tcW w:type="dxa" w:w="1003"/>
          </w:tcPr>
          <w:p>
            <w:pPr>
              <w:spacing w:after="0"/>
              <w:jc w:val="left"/>
            </w:pPr>
            <w:r/>
            <w:r>
              <w:rPr>
                <w:rFonts w:ascii="Times New Roman" w:hAnsi="Times New Roman"/>
                <w:sz w:val="21"/>
              </w:rPr>
              <w:t>0.704 ± 0.009</w:t>
            </w:r>
          </w:p>
        </w:tc>
        <w:tc>
          <w:tcPr>
            <w:tcW w:type="dxa" w:w="1003"/>
          </w:tcPr>
          <w:p>
            <w:pPr>
              <w:spacing w:after="0"/>
              <w:jc w:val="left"/>
            </w:pPr>
            <w:r/>
            <w:r>
              <w:rPr>
                <w:rFonts w:ascii="Times New Roman" w:hAnsi="Times New Roman"/>
                <w:sz w:val="21"/>
              </w:rPr>
              <w:t>0.793</w:t>
            </w:r>
          </w:p>
        </w:tc>
        <w:tc>
          <w:tcPr>
            <w:tcW w:type="dxa" w:w="1003"/>
          </w:tcPr>
          <w:p>
            <w:pPr>
              <w:spacing w:after="0"/>
              <w:jc w:val="left"/>
            </w:pPr>
            <w:r/>
            <w:r>
              <w:rPr>
                <w:rFonts w:ascii="Times New Roman" w:hAnsi="Times New Roman"/>
                <w:sz w:val="21"/>
              </w:rPr>
              <w:t>0.762 ± 0.003</w:t>
            </w:r>
          </w:p>
        </w:tc>
        <w:tc>
          <w:tcPr>
            <w:tcW w:type="dxa" w:w="1003"/>
          </w:tcPr>
          <w:p>
            <w:pPr>
              <w:spacing w:after="0"/>
              <w:jc w:val="left"/>
            </w:pPr>
            <w:r/>
            <w:r>
              <w:rPr>
                <w:rFonts w:ascii="Times New Roman" w:hAnsi="Times New Roman"/>
                <w:sz w:val="21"/>
              </w:rPr>
              <w:t>0.750 ± 0.002</w:t>
            </w:r>
          </w:p>
        </w:tc>
        <w:tc>
          <w:tcPr>
            <w:tcW w:type="dxa" w:w="1003"/>
          </w:tcPr>
          <w:p>
            <w:pPr>
              <w:spacing w:after="0"/>
              <w:jc w:val="left"/>
            </w:pPr>
            <w:r/>
            <w:r>
              <w:rPr>
                <w:rFonts w:ascii="Times New Roman" w:hAnsi="Times New Roman"/>
                <w:sz w:val="21"/>
              </w:rPr>
              <w:t>0.173 ± 0.001</w:t>
            </w:r>
          </w:p>
        </w:tc>
      </w:tr>
      <w:tr>
        <w:tc>
          <w:tcPr>
            <w:tcW w:type="dxa" w:w="1003"/>
          </w:tcPr>
          <w:p>
            <w:pPr>
              <w:spacing w:after="0"/>
              <w:jc w:val="left"/>
            </w:pPr>
            <w:r/>
            <w:r>
              <w:rPr>
                <w:rFonts w:ascii="Times New Roman" w:hAnsi="Times New Roman"/>
                <w:sz w:val="21"/>
              </w:rPr>
              <w:t>Logistic regression</w:t>
            </w:r>
          </w:p>
        </w:tc>
        <w:tc>
          <w:tcPr>
            <w:tcW w:type="dxa" w:w="1003"/>
          </w:tcPr>
          <w:p>
            <w:pPr>
              <w:spacing w:after="0"/>
              <w:jc w:val="left"/>
            </w:pPr>
            <w:r/>
            <w:r>
              <w:rPr>
                <w:rFonts w:ascii="Times New Roman" w:hAnsi="Times New Roman"/>
                <w:sz w:val="21"/>
              </w:rPr>
              <w:t>0.820 ± 0.003</w:t>
            </w:r>
          </w:p>
        </w:tc>
        <w:tc>
          <w:tcPr>
            <w:tcW w:type="dxa" w:w="1003"/>
          </w:tcPr>
          <w:p>
            <w:pPr>
              <w:spacing w:after="0"/>
              <w:jc w:val="left"/>
            </w:pPr>
            <w:r/>
            <w:r>
              <w:rPr>
                <w:rFonts w:ascii="Times New Roman" w:hAnsi="Times New Roman"/>
                <w:sz w:val="21"/>
              </w:rPr>
              <w:t>0.825 ± 0.002</w:t>
            </w:r>
          </w:p>
        </w:tc>
        <w:tc>
          <w:tcPr>
            <w:tcW w:type="dxa" w:w="1003"/>
          </w:tcPr>
          <w:p>
            <w:pPr>
              <w:spacing w:after="0"/>
              <w:jc w:val="left"/>
            </w:pPr>
            <w:r/>
            <w:r>
              <w:rPr>
                <w:rFonts w:ascii="Times New Roman" w:hAnsi="Times New Roman"/>
                <w:sz w:val="21"/>
              </w:rPr>
              <w:t>0.739 ± 0.002</w:t>
            </w:r>
          </w:p>
        </w:tc>
        <w:tc>
          <w:tcPr>
            <w:tcW w:type="dxa" w:w="1003"/>
          </w:tcPr>
          <w:p>
            <w:pPr>
              <w:spacing w:after="0"/>
              <w:jc w:val="left"/>
            </w:pPr>
            <w:r/>
            <w:r>
              <w:rPr>
                <w:rFonts w:ascii="Times New Roman" w:hAnsi="Times New Roman"/>
                <w:sz w:val="21"/>
              </w:rPr>
              <w:t>0.740 ± 0.007</w:t>
            </w:r>
          </w:p>
        </w:tc>
        <w:tc>
          <w:tcPr>
            <w:tcW w:type="dxa" w:w="1003"/>
          </w:tcPr>
          <w:p>
            <w:pPr>
              <w:spacing w:after="0"/>
              <w:jc w:val="left"/>
            </w:pPr>
            <w:r/>
            <w:r>
              <w:rPr>
                <w:rFonts w:ascii="Times New Roman" w:hAnsi="Times New Roman"/>
                <w:sz w:val="21"/>
              </w:rPr>
              <w:t>0.751</w:t>
            </w:r>
          </w:p>
        </w:tc>
        <w:tc>
          <w:tcPr>
            <w:tcW w:type="dxa" w:w="1003"/>
          </w:tcPr>
          <w:p>
            <w:pPr>
              <w:spacing w:after="0"/>
              <w:jc w:val="left"/>
            </w:pPr>
            <w:r/>
            <w:r>
              <w:rPr>
                <w:rFonts w:ascii="Times New Roman" w:hAnsi="Times New Roman"/>
                <w:sz w:val="21"/>
              </w:rPr>
              <w:t>0.738 ± 0.005</w:t>
            </w:r>
          </w:p>
        </w:tc>
        <w:tc>
          <w:tcPr>
            <w:tcW w:type="dxa" w:w="1003"/>
          </w:tcPr>
          <w:p>
            <w:pPr>
              <w:spacing w:after="0"/>
              <w:jc w:val="left"/>
            </w:pPr>
            <w:r/>
            <w:r>
              <w:rPr>
                <w:rFonts w:ascii="Times New Roman" w:hAnsi="Times New Roman"/>
                <w:sz w:val="21"/>
              </w:rPr>
              <w:t>0.746 ± 0.002</w:t>
            </w:r>
          </w:p>
        </w:tc>
        <w:tc>
          <w:tcPr>
            <w:tcW w:type="dxa" w:w="1003"/>
          </w:tcPr>
          <w:p>
            <w:pPr>
              <w:spacing w:after="0"/>
              <w:jc w:val="left"/>
            </w:pPr>
            <w:r/>
            <w:r>
              <w:rPr>
                <w:rFonts w:ascii="Times New Roman" w:hAnsi="Times New Roman"/>
                <w:sz w:val="21"/>
              </w:rPr>
              <w:t>0.171 ± 0.001</w:t>
            </w:r>
          </w:p>
        </w:tc>
      </w:tr>
      <w:tr>
        <w:tc>
          <w:tcPr>
            <w:tcW w:type="dxa" w:w="1003"/>
          </w:tcPr>
          <w:p>
            <w:pPr>
              <w:spacing w:after="0"/>
              <w:jc w:val="left"/>
            </w:pPr>
            <w:r/>
            <w:r>
              <w:rPr>
                <w:rFonts w:ascii="Times New Roman" w:hAnsi="Times New Roman"/>
                <w:sz w:val="21"/>
              </w:rPr>
              <w:t>Decision tree</w:t>
            </w:r>
          </w:p>
        </w:tc>
        <w:tc>
          <w:tcPr>
            <w:tcW w:type="dxa" w:w="1003"/>
          </w:tcPr>
          <w:p>
            <w:pPr>
              <w:spacing w:after="0"/>
              <w:jc w:val="left"/>
            </w:pPr>
            <w:r/>
            <w:r>
              <w:rPr>
                <w:rFonts w:ascii="Times New Roman" w:hAnsi="Times New Roman"/>
                <w:sz w:val="21"/>
              </w:rPr>
              <w:t>0.803 ± 0.004</w:t>
            </w:r>
          </w:p>
        </w:tc>
        <w:tc>
          <w:tcPr>
            <w:tcW w:type="dxa" w:w="1003"/>
          </w:tcPr>
          <w:p>
            <w:pPr>
              <w:spacing w:after="0"/>
              <w:jc w:val="left"/>
            </w:pPr>
            <w:r/>
            <w:r>
              <w:rPr>
                <w:rFonts w:ascii="Times New Roman" w:hAnsi="Times New Roman"/>
                <w:sz w:val="21"/>
              </w:rPr>
              <w:t>0.812 ± 0.004</w:t>
            </w:r>
          </w:p>
        </w:tc>
        <w:tc>
          <w:tcPr>
            <w:tcW w:type="dxa" w:w="1003"/>
          </w:tcPr>
          <w:p>
            <w:pPr>
              <w:spacing w:after="0"/>
              <w:jc w:val="left"/>
            </w:pPr>
            <w:r/>
            <w:r>
              <w:rPr>
                <w:rFonts w:ascii="Times New Roman" w:hAnsi="Times New Roman"/>
                <w:sz w:val="21"/>
              </w:rPr>
              <w:t>0.724 ± 0.015</w:t>
            </w:r>
          </w:p>
        </w:tc>
        <w:tc>
          <w:tcPr>
            <w:tcW w:type="dxa" w:w="1003"/>
          </w:tcPr>
          <w:p>
            <w:pPr>
              <w:spacing w:after="0"/>
              <w:jc w:val="left"/>
            </w:pPr>
            <w:r/>
            <w:r>
              <w:rPr>
                <w:rFonts w:ascii="Times New Roman" w:hAnsi="Times New Roman"/>
                <w:sz w:val="21"/>
              </w:rPr>
              <w:t>0.715 ± 0.046</w:t>
            </w:r>
          </w:p>
        </w:tc>
        <w:tc>
          <w:tcPr>
            <w:tcW w:type="dxa" w:w="1003"/>
          </w:tcPr>
          <w:p>
            <w:pPr>
              <w:spacing w:after="0"/>
              <w:jc w:val="left"/>
            </w:pPr>
            <w:r/>
            <w:r>
              <w:rPr>
                <w:rFonts w:ascii="Times New Roman" w:hAnsi="Times New Roman"/>
                <w:sz w:val="21"/>
              </w:rPr>
              <w:t>0.753</w:t>
            </w:r>
          </w:p>
        </w:tc>
        <w:tc>
          <w:tcPr>
            <w:tcW w:type="dxa" w:w="1003"/>
          </w:tcPr>
          <w:p>
            <w:pPr>
              <w:spacing w:after="0"/>
              <w:jc w:val="left"/>
            </w:pPr>
            <w:r/>
            <w:r>
              <w:rPr>
                <w:rFonts w:ascii="Times New Roman" w:hAnsi="Times New Roman"/>
                <w:sz w:val="21"/>
              </w:rPr>
              <w:t>0.735 ± 0.021</w:t>
            </w:r>
          </w:p>
        </w:tc>
        <w:tc>
          <w:tcPr>
            <w:tcW w:type="dxa" w:w="1003"/>
          </w:tcPr>
          <w:p>
            <w:pPr>
              <w:spacing w:after="0"/>
              <w:jc w:val="left"/>
            </w:pPr>
            <w:r/>
            <w:r>
              <w:rPr>
                <w:rFonts w:ascii="Times New Roman" w:hAnsi="Times New Roman"/>
                <w:sz w:val="21"/>
              </w:rPr>
              <w:t>0.735 ± 0.004</w:t>
            </w:r>
          </w:p>
        </w:tc>
        <w:tc>
          <w:tcPr>
            <w:tcW w:type="dxa" w:w="1003"/>
          </w:tcPr>
          <w:p>
            <w:pPr>
              <w:spacing w:after="0"/>
              <w:jc w:val="left"/>
            </w:pPr>
            <w:r/>
            <w:r>
              <w:rPr>
                <w:rFonts w:ascii="Times New Roman" w:hAnsi="Times New Roman"/>
                <w:sz w:val="21"/>
              </w:rPr>
              <w:t>0.176 ± 0.002</w:t>
            </w:r>
          </w:p>
        </w:tc>
      </w:tr>
      <w:tr>
        <w:tc>
          <w:tcPr>
            <w:tcW w:type="dxa" w:w="1003"/>
          </w:tcPr>
          <w:p>
            <w:pPr>
              <w:spacing w:after="0"/>
              <w:jc w:val="left"/>
            </w:pPr>
            <w:r/>
            <w:r>
              <w:rPr>
                <w:rFonts w:ascii="Times New Roman" w:hAnsi="Times New Roman"/>
                <w:sz w:val="21"/>
              </w:rPr>
              <w:t>SVM, RBF kernel</w:t>
            </w:r>
          </w:p>
        </w:tc>
        <w:tc>
          <w:tcPr>
            <w:tcW w:type="dxa" w:w="1003"/>
          </w:tcPr>
          <w:p>
            <w:pPr>
              <w:spacing w:after="0"/>
              <w:jc w:val="left"/>
            </w:pPr>
            <w:r/>
            <w:r>
              <w:rPr>
                <w:rFonts w:ascii="Times New Roman" w:hAnsi="Times New Roman"/>
                <w:sz w:val="21"/>
              </w:rPr>
              <w:t>0.795 ± 0.014</w:t>
            </w:r>
          </w:p>
        </w:tc>
        <w:tc>
          <w:tcPr>
            <w:tcW w:type="dxa" w:w="1003"/>
          </w:tcPr>
          <w:p>
            <w:pPr>
              <w:spacing w:after="0"/>
              <w:jc w:val="left"/>
            </w:pPr>
            <w:r/>
            <w:r>
              <w:rPr>
                <w:rFonts w:ascii="Times New Roman" w:hAnsi="Times New Roman"/>
                <w:sz w:val="21"/>
              </w:rPr>
              <w:t>0.807 ± 0.011</w:t>
            </w:r>
          </w:p>
        </w:tc>
        <w:tc>
          <w:tcPr>
            <w:tcW w:type="dxa" w:w="1003"/>
          </w:tcPr>
          <w:p>
            <w:pPr>
              <w:spacing w:after="0"/>
              <w:jc w:val="left"/>
            </w:pPr>
            <w:r/>
            <w:r>
              <w:rPr>
                <w:rFonts w:ascii="Times New Roman" w:hAnsi="Times New Roman"/>
                <w:sz w:val="21"/>
              </w:rPr>
              <w:t>0.722 ± 0.017</w:t>
            </w:r>
          </w:p>
        </w:tc>
        <w:tc>
          <w:tcPr>
            <w:tcW w:type="dxa" w:w="1003"/>
          </w:tcPr>
          <w:p>
            <w:pPr>
              <w:spacing w:after="0"/>
              <w:jc w:val="left"/>
            </w:pPr>
            <w:r/>
            <w:r>
              <w:rPr>
                <w:rFonts w:ascii="Times New Roman" w:hAnsi="Times New Roman"/>
                <w:sz w:val="21"/>
              </w:rPr>
              <w:t>0.722 ± 0.020</w:t>
            </w:r>
          </w:p>
        </w:tc>
        <w:tc>
          <w:tcPr>
            <w:tcW w:type="dxa" w:w="1003"/>
          </w:tcPr>
          <w:p>
            <w:pPr>
              <w:spacing w:after="0"/>
              <w:jc w:val="left"/>
            </w:pPr>
            <w:r/>
            <w:r>
              <w:rPr>
                <w:rFonts w:ascii="Times New Roman" w:hAnsi="Times New Roman"/>
                <w:sz w:val="21"/>
              </w:rPr>
              <w:t>0.752</w:t>
            </w:r>
          </w:p>
        </w:tc>
        <w:tc>
          <w:tcPr>
            <w:tcW w:type="dxa" w:w="1003"/>
          </w:tcPr>
          <w:p>
            <w:pPr>
              <w:spacing w:after="0"/>
              <w:jc w:val="left"/>
            </w:pPr>
            <w:r/>
            <w:r>
              <w:rPr>
                <w:rFonts w:ascii="Times New Roman" w:hAnsi="Times New Roman"/>
                <w:sz w:val="21"/>
              </w:rPr>
              <w:t>0.723 ± 0.016</w:t>
            </w:r>
          </w:p>
        </w:tc>
        <w:tc>
          <w:tcPr>
            <w:tcW w:type="dxa" w:w="1003"/>
          </w:tcPr>
          <w:p>
            <w:pPr>
              <w:spacing w:after="0"/>
              <w:jc w:val="left"/>
            </w:pPr>
            <w:r/>
            <w:r>
              <w:rPr>
                <w:rFonts w:ascii="Times New Roman" w:hAnsi="Times New Roman"/>
                <w:sz w:val="21"/>
              </w:rPr>
              <w:t>0.731 ± 0.015</w:t>
            </w:r>
          </w:p>
        </w:tc>
        <w:tc>
          <w:tcPr>
            <w:tcW w:type="dxa" w:w="1003"/>
          </w:tcPr>
          <w:p>
            <w:pPr>
              <w:spacing w:after="0"/>
              <w:jc w:val="left"/>
            </w:pPr>
            <w:r/>
            <w:r>
              <w:rPr>
                <w:rFonts w:ascii="Times New Roman" w:hAnsi="Times New Roman"/>
                <w:sz w:val="21"/>
              </w:rPr>
              <w:t>0.179 ± 0.005</w:t>
            </w:r>
          </w:p>
        </w:tc>
      </w:tr>
      <w:tr>
        <w:tc>
          <w:tcPr>
            <w:tcW w:type="dxa" w:w="1003"/>
          </w:tcPr>
          <w:p>
            <w:pPr>
              <w:spacing w:after="0"/>
              <w:jc w:val="left"/>
            </w:pPr>
            <w:r/>
            <w:r>
              <w:rPr>
                <w:rFonts w:ascii="Times New Roman" w:hAnsi="Times New Roman"/>
                <w:sz w:val="21"/>
              </w:rPr>
              <w:t>KNN</w:t>
            </w:r>
          </w:p>
        </w:tc>
        <w:tc>
          <w:tcPr>
            <w:tcW w:type="dxa" w:w="1003"/>
          </w:tcPr>
          <w:p>
            <w:pPr>
              <w:spacing w:after="0"/>
              <w:jc w:val="left"/>
            </w:pPr>
            <w:r/>
            <w:r>
              <w:rPr>
                <w:rFonts w:ascii="Times New Roman" w:hAnsi="Times New Roman"/>
                <w:sz w:val="21"/>
              </w:rPr>
              <w:t>0.764 ± 0.009</w:t>
            </w:r>
          </w:p>
        </w:tc>
        <w:tc>
          <w:tcPr>
            <w:tcW w:type="dxa" w:w="1003"/>
          </w:tcPr>
          <w:p>
            <w:pPr>
              <w:spacing w:after="0"/>
              <w:jc w:val="left"/>
            </w:pPr>
            <w:r/>
            <w:r>
              <w:rPr>
                <w:rFonts w:ascii="Times New Roman" w:hAnsi="Times New Roman"/>
                <w:sz w:val="21"/>
              </w:rPr>
              <w:t>0.766 ± 0.008</w:t>
            </w:r>
          </w:p>
        </w:tc>
        <w:tc>
          <w:tcPr>
            <w:tcW w:type="dxa" w:w="1003"/>
          </w:tcPr>
          <w:p>
            <w:pPr>
              <w:spacing w:after="0"/>
              <w:jc w:val="left"/>
            </w:pPr>
            <w:r/>
            <w:r>
              <w:rPr>
                <w:rFonts w:ascii="Times New Roman" w:hAnsi="Times New Roman"/>
                <w:sz w:val="21"/>
              </w:rPr>
              <w:t>0.648 ± 0.013</w:t>
            </w:r>
          </w:p>
        </w:tc>
        <w:tc>
          <w:tcPr>
            <w:tcW w:type="dxa" w:w="1003"/>
          </w:tcPr>
          <w:p>
            <w:pPr>
              <w:spacing w:after="0"/>
              <w:jc w:val="left"/>
            </w:pPr>
            <w:r/>
            <w:r>
              <w:rPr>
                <w:rFonts w:ascii="Times New Roman" w:hAnsi="Times New Roman"/>
                <w:sz w:val="21"/>
              </w:rPr>
              <w:t>0.585 ± 0.017</w:t>
            </w:r>
          </w:p>
        </w:tc>
        <w:tc>
          <w:tcPr>
            <w:tcW w:type="dxa" w:w="1003"/>
          </w:tcPr>
          <w:p>
            <w:pPr>
              <w:spacing w:after="0"/>
              <w:jc w:val="left"/>
            </w:pPr>
            <w:r/>
            <w:r>
              <w:rPr>
                <w:rFonts w:ascii="Times New Roman" w:hAnsi="Times New Roman"/>
                <w:sz w:val="21"/>
              </w:rPr>
              <w:t>0.793</w:t>
            </w:r>
          </w:p>
        </w:tc>
        <w:tc>
          <w:tcPr>
            <w:tcW w:type="dxa" w:w="1003"/>
          </w:tcPr>
          <w:p>
            <w:pPr>
              <w:spacing w:after="0"/>
              <w:jc w:val="left"/>
            </w:pPr>
            <w:r/>
            <w:r>
              <w:rPr>
                <w:rFonts w:ascii="Times New Roman" w:hAnsi="Times New Roman"/>
                <w:sz w:val="21"/>
              </w:rPr>
              <w:t>0.725 ± 0.014</w:t>
            </w:r>
          </w:p>
        </w:tc>
        <w:tc>
          <w:tcPr>
            <w:tcW w:type="dxa" w:w="1003"/>
          </w:tcPr>
          <w:p>
            <w:pPr>
              <w:spacing w:after="0"/>
              <w:jc w:val="left"/>
            </w:pPr>
            <w:r/>
            <w:r>
              <w:rPr>
                <w:rFonts w:ascii="Times New Roman" w:hAnsi="Times New Roman"/>
                <w:sz w:val="21"/>
              </w:rPr>
              <w:t>0.691 ± 0.010</w:t>
            </w:r>
          </w:p>
        </w:tc>
        <w:tc>
          <w:tcPr>
            <w:tcW w:type="dxa" w:w="1003"/>
          </w:tcPr>
          <w:p>
            <w:pPr>
              <w:spacing w:after="0"/>
              <w:jc w:val="left"/>
            </w:pPr>
            <w:r/>
            <w:r>
              <w:rPr>
                <w:rFonts w:ascii="Times New Roman" w:hAnsi="Times New Roman"/>
                <w:sz w:val="21"/>
              </w:rPr>
              <w:t>0.197 ± 0.003</w:t>
            </w:r>
          </w:p>
        </w:tc>
      </w:tr>
      <w:tr>
        <w:tc>
          <w:tcPr>
            <w:tcW w:type="dxa" w:w="1003"/>
          </w:tcPr>
          <w:p>
            <w:pPr>
              <w:spacing w:after="0"/>
              <w:jc w:val="left"/>
            </w:pPr>
            <w:r/>
            <w:r>
              <w:rPr>
                <w:rFonts w:ascii="Times New Roman" w:hAnsi="Times New Roman"/>
                <w:sz w:val="21"/>
              </w:rPr>
              <w:t>Gaussian naive Bayes</w:t>
            </w:r>
          </w:p>
        </w:tc>
        <w:tc>
          <w:tcPr>
            <w:tcW w:type="dxa" w:w="1003"/>
          </w:tcPr>
          <w:p>
            <w:pPr>
              <w:spacing w:after="0"/>
              <w:jc w:val="left"/>
            </w:pPr>
            <w:r/>
            <w:r>
              <w:rPr>
                <w:rFonts w:ascii="Times New Roman" w:hAnsi="Times New Roman"/>
                <w:sz w:val="21"/>
              </w:rPr>
              <w:t>0.734 ± 0.006</w:t>
            </w:r>
          </w:p>
        </w:tc>
        <w:tc>
          <w:tcPr>
            <w:tcW w:type="dxa" w:w="1003"/>
          </w:tcPr>
          <w:p>
            <w:pPr>
              <w:spacing w:after="0"/>
              <w:jc w:val="left"/>
            </w:pPr>
            <w:r/>
            <w:r>
              <w:rPr>
                <w:rFonts w:ascii="Times New Roman" w:hAnsi="Times New Roman"/>
                <w:sz w:val="21"/>
              </w:rPr>
              <w:t>0.735 ± 0.002</w:t>
            </w:r>
          </w:p>
        </w:tc>
        <w:tc>
          <w:tcPr>
            <w:tcW w:type="dxa" w:w="1003"/>
          </w:tcPr>
          <w:p>
            <w:pPr>
              <w:spacing w:after="0"/>
              <w:jc w:val="left"/>
            </w:pPr>
            <w:r/>
            <w:r>
              <w:rPr>
                <w:rFonts w:ascii="Times New Roman" w:hAnsi="Times New Roman"/>
                <w:sz w:val="21"/>
              </w:rPr>
              <w:t>0.601 ± 0.003</w:t>
            </w:r>
          </w:p>
        </w:tc>
        <w:tc>
          <w:tcPr>
            <w:tcW w:type="dxa" w:w="1003"/>
          </w:tcPr>
          <w:p>
            <w:pPr>
              <w:spacing w:after="0"/>
              <w:jc w:val="left"/>
            </w:pPr>
            <w:r/>
            <w:r>
              <w:rPr>
                <w:rFonts w:ascii="Times New Roman" w:hAnsi="Times New Roman"/>
                <w:sz w:val="21"/>
              </w:rPr>
              <w:t>0.529 ± 0.006</w:t>
            </w:r>
          </w:p>
        </w:tc>
        <w:tc>
          <w:tcPr>
            <w:tcW w:type="dxa" w:w="1003"/>
          </w:tcPr>
          <w:p>
            <w:pPr>
              <w:spacing w:after="0"/>
              <w:jc w:val="left"/>
            </w:pPr>
            <w:r/>
            <w:r>
              <w:rPr>
                <w:rFonts w:ascii="Times New Roman" w:hAnsi="Times New Roman"/>
                <w:sz w:val="21"/>
              </w:rPr>
              <w:t>0.781</w:t>
            </w:r>
          </w:p>
        </w:tc>
        <w:tc>
          <w:tcPr>
            <w:tcW w:type="dxa" w:w="1003"/>
          </w:tcPr>
          <w:p>
            <w:pPr>
              <w:spacing w:after="0"/>
              <w:jc w:val="left"/>
            </w:pPr>
            <w:r/>
            <w:r>
              <w:rPr>
                <w:rFonts w:ascii="Times New Roman" w:hAnsi="Times New Roman"/>
                <w:sz w:val="21"/>
              </w:rPr>
              <w:t>0.696 ± 0.006</w:t>
            </w:r>
          </w:p>
        </w:tc>
        <w:tc>
          <w:tcPr>
            <w:tcW w:type="dxa" w:w="1003"/>
          </w:tcPr>
          <w:p>
            <w:pPr>
              <w:spacing w:after="0"/>
              <w:jc w:val="left"/>
            </w:pPr>
            <w:r/>
            <w:r>
              <w:rPr>
                <w:rFonts w:ascii="Times New Roman" w:hAnsi="Times New Roman"/>
                <w:sz w:val="21"/>
              </w:rPr>
              <w:t>0.659 ± 0.003</w:t>
            </w:r>
          </w:p>
        </w:tc>
        <w:tc>
          <w:tcPr>
            <w:tcW w:type="dxa" w:w="1003"/>
          </w:tcPr>
          <w:p>
            <w:pPr>
              <w:spacing w:after="0"/>
              <w:jc w:val="left"/>
            </w:pPr>
            <w:r/>
            <w:r>
              <w:rPr>
                <w:rFonts w:ascii="Times New Roman" w:hAnsi="Times New Roman"/>
                <w:sz w:val="21"/>
              </w:rPr>
              <w:t>0.305 ± 0.003</w:t>
            </w:r>
          </w:p>
        </w:tc>
      </w:tr>
    </w:tbl>
    <w:p>
      <w:pPr>
        <w:spacing w:after="80"/>
      </w:pP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12</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Test-set scores of the eight tuned models and four baselines on the 20,320 held-out reports at the default threshold of 0.5, in the brief's column order with F1, PR-AUC and accuracy added and ordered by PR-AUC; TPR equals recall, TP / (TP + FN), and both columns are kept because the brief lists both, while TNR is specificity, TN / (TN + FP). Source: author's analysis of MSHA open data.</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E7E6E6"/>
          </w:tcPr>
          <w:p>
            <w:pPr>
              <w:jc w:val="left"/>
            </w:pPr>
            <w:r>
              <w:rPr>
                <w:b/>
              </w:rPr>
            </w:r>
            <w:r>
              <w:rPr>
                <w:rFonts w:ascii="Times New Roman" w:hAnsi="Times New Roman"/>
                <w:b/>
                <w:sz w:val="21"/>
              </w:rPr>
              <w:t>Model</w:t>
            </w:r>
          </w:p>
        </w:tc>
        <w:tc>
          <w:tcPr>
            <w:tcW w:type="dxa" w:w="1003"/>
            <w:shd w:val="clear" w:color="auto" w:fill="E7E6E6"/>
          </w:tcPr>
          <w:p>
            <w:pPr>
              <w:jc w:val="left"/>
            </w:pPr>
            <w:r>
              <w:rPr>
                <w:b/>
              </w:rPr>
            </w:r>
            <w:r>
              <w:rPr>
                <w:rFonts w:ascii="Times New Roman" w:hAnsi="Times New Roman"/>
                <w:b/>
                <w:sz w:val="21"/>
              </w:rPr>
              <w:t>TPR</w:t>
            </w:r>
          </w:p>
        </w:tc>
        <w:tc>
          <w:tcPr>
            <w:tcW w:type="dxa" w:w="1003"/>
            <w:shd w:val="clear" w:color="auto" w:fill="E7E6E6"/>
          </w:tcPr>
          <w:p>
            <w:pPr>
              <w:jc w:val="left"/>
            </w:pPr>
            <w:r>
              <w:rPr>
                <w:b/>
              </w:rPr>
            </w:r>
            <w:r>
              <w:rPr>
                <w:rFonts w:ascii="Times New Roman" w:hAnsi="Times New Roman"/>
                <w:b/>
                <w:sz w:val="21"/>
              </w:rPr>
              <w:t>TNR</w:t>
            </w:r>
          </w:p>
        </w:tc>
        <w:tc>
          <w:tcPr>
            <w:tcW w:type="dxa" w:w="1003"/>
            <w:shd w:val="clear" w:color="auto" w:fill="E7E6E6"/>
          </w:tcPr>
          <w:p>
            <w:pPr>
              <w:jc w:val="left"/>
            </w:pPr>
            <w:r>
              <w:rPr>
                <w:b/>
              </w:rPr>
            </w:r>
            <w:r>
              <w:rPr>
                <w:rFonts w:ascii="Times New Roman" w:hAnsi="Times New Roman"/>
                <w:b/>
                <w:sz w:val="21"/>
              </w:rPr>
              <w:t>AUC</w:t>
            </w:r>
          </w:p>
        </w:tc>
        <w:tc>
          <w:tcPr>
            <w:tcW w:type="dxa" w:w="1003"/>
            <w:shd w:val="clear" w:color="auto" w:fill="E7E6E6"/>
          </w:tcPr>
          <w:p>
            <w:pPr>
              <w:jc w:val="left"/>
            </w:pPr>
            <w:r>
              <w:rPr>
                <w:b/>
              </w:rPr>
            </w:r>
            <w:r>
              <w:rPr>
                <w:rFonts w:ascii="Times New Roman" w:hAnsi="Times New Roman"/>
                <w:b/>
                <w:sz w:val="21"/>
              </w:rPr>
              <w:t>Recall</w:t>
            </w:r>
          </w:p>
        </w:tc>
        <w:tc>
          <w:tcPr>
            <w:tcW w:type="dxa" w:w="1003"/>
            <w:shd w:val="clear" w:color="auto" w:fill="E7E6E6"/>
          </w:tcPr>
          <w:p>
            <w:pPr>
              <w:jc w:val="left"/>
            </w:pPr>
            <w:r>
              <w:rPr>
                <w:b/>
              </w:rPr>
            </w:r>
            <w:r>
              <w:rPr>
                <w:rFonts w:ascii="Times New Roman" w:hAnsi="Times New Roman"/>
                <w:b/>
                <w:sz w:val="21"/>
              </w:rPr>
              <w:t>Precision</w:t>
            </w:r>
          </w:p>
        </w:tc>
        <w:tc>
          <w:tcPr>
            <w:tcW w:type="dxa" w:w="1003"/>
            <w:shd w:val="clear" w:color="auto" w:fill="E7E6E6"/>
          </w:tcPr>
          <w:p>
            <w:pPr>
              <w:jc w:val="left"/>
            </w:pPr>
            <w:r>
              <w:rPr>
                <w:b/>
              </w:rPr>
            </w:r>
            <w:r>
              <w:rPr>
                <w:rFonts w:ascii="Times New Roman" w:hAnsi="Times New Roman"/>
                <w:b/>
                <w:sz w:val="21"/>
              </w:rPr>
              <w:t>F1</w:t>
            </w:r>
          </w:p>
        </w:tc>
        <w:tc>
          <w:tcPr>
            <w:tcW w:type="dxa" w:w="1003"/>
            <w:shd w:val="clear" w:color="auto" w:fill="E7E6E6"/>
          </w:tcPr>
          <w:p>
            <w:pPr>
              <w:jc w:val="left"/>
            </w:pPr>
            <w:r>
              <w:rPr>
                <w:b/>
              </w:rPr>
            </w:r>
            <w:r>
              <w:rPr>
                <w:rFonts w:ascii="Times New Roman" w:hAnsi="Times New Roman"/>
                <w:b/>
                <w:sz w:val="21"/>
              </w:rPr>
              <w:t>PR-AUC</w:t>
            </w:r>
          </w:p>
        </w:tc>
        <w:tc>
          <w:tcPr>
            <w:tcW w:type="dxa" w:w="1003"/>
            <w:shd w:val="clear" w:color="auto" w:fill="E7E6E6"/>
          </w:tcPr>
          <w:p>
            <w:pPr>
              <w:jc w:val="left"/>
            </w:pPr>
            <w:r>
              <w:rPr>
                <w:b/>
              </w:rPr>
            </w:r>
            <w:r>
              <w:rPr>
                <w:rFonts w:ascii="Times New Roman" w:hAnsi="Times New Roman"/>
                <w:b/>
                <w:sz w:val="21"/>
              </w:rPr>
              <w:t>Accuracy</w:t>
            </w:r>
          </w:p>
        </w:tc>
      </w:tr>
      <w:tr>
        <w:tc>
          <w:tcPr>
            <w:tcW w:type="dxa" w:w="1003"/>
          </w:tcPr>
          <w:p>
            <w:pPr>
              <w:spacing w:after="0"/>
              <w:jc w:val="left"/>
            </w:pPr>
            <w:r/>
            <w:r>
              <w:rPr>
                <w:rFonts w:ascii="Times New Roman" w:hAnsi="Times New Roman"/>
                <w:sz w:val="21"/>
              </w:rPr>
              <w:t>HGB</w:t>
            </w:r>
          </w:p>
        </w:tc>
        <w:tc>
          <w:tcPr>
            <w:tcW w:type="dxa" w:w="1003"/>
          </w:tcPr>
          <w:p>
            <w:pPr>
              <w:spacing w:after="0"/>
              <w:jc w:val="left"/>
            </w:pPr>
            <w:r/>
            <w:r>
              <w:rPr>
                <w:rFonts w:ascii="Times New Roman" w:hAnsi="Times New Roman"/>
                <w:sz w:val="21"/>
              </w:rPr>
              <w:t>0.738</w:t>
            </w:r>
          </w:p>
        </w:tc>
        <w:tc>
          <w:tcPr>
            <w:tcW w:type="dxa" w:w="1003"/>
          </w:tcPr>
          <w:p>
            <w:pPr>
              <w:spacing w:after="0"/>
              <w:jc w:val="left"/>
            </w:pPr>
            <w:r/>
            <w:r>
              <w:rPr>
                <w:rFonts w:ascii="Times New Roman" w:hAnsi="Times New Roman"/>
                <w:sz w:val="21"/>
              </w:rPr>
              <w:t>0.785</w:t>
            </w:r>
          </w:p>
        </w:tc>
        <w:tc>
          <w:tcPr>
            <w:tcW w:type="dxa" w:w="1003"/>
          </w:tcPr>
          <w:p>
            <w:pPr>
              <w:spacing w:after="0"/>
              <w:jc w:val="left"/>
            </w:pPr>
            <w:r/>
            <w:r>
              <w:rPr>
                <w:rFonts w:ascii="Times New Roman" w:hAnsi="Times New Roman"/>
                <w:sz w:val="21"/>
              </w:rPr>
              <w:t>0.843</w:t>
            </w:r>
          </w:p>
        </w:tc>
        <w:tc>
          <w:tcPr>
            <w:tcW w:type="dxa" w:w="1003"/>
          </w:tcPr>
          <w:p>
            <w:pPr>
              <w:spacing w:after="0"/>
              <w:jc w:val="left"/>
            </w:pPr>
            <w:r/>
            <w:r>
              <w:rPr>
                <w:rFonts w:ascii="Times New Roman" w:hAnsi="Times New Roman"/>
                <w:sz w:val="21"/>
              </w:rPr>
              <w:t>0.738</w:t>
            </w:r>
          </w:p>
        </w:tc>
        <w:tc>
          <w:tcPr>
            <w:tcW w:type="dxa" w:w="1003"/>
          </w:tcPr>
          <w:p>
            <w:pPr>
              <w:spacing w:after="0"/>
              <w:jc w:val="left"/>
            </w:pPr>
            <w:r/>
            <w:r>
              <w:rPr>
                <w:rFonts w:ascii="Times New Roman" w:hAnsi="Times New Roman"/>
                <w:sz w:val="21"/>
              </w:rPr>
              <w:t>0.764</w:t>
            </w:r>
          </w:p>
        </w:tc>
        <w:tc>
          <w:tcPr>
            <w:tcW w:type="dxa" w:w="1003"/>
          </w:tcPr>
          <w:p>
            <w:pPr>
              <w:spacing w:after="0"/>
              <w:jc w:val="left"/>
            </w:pPr>
            <w:r/>
            <w:r>
              <w:rPr>
                <w:rFonts w:ascii="Times New Roman" w:hAnsi="Times New Roman"/>
                <w:sz w:val="21"/>
              </w:rPr>
              <w:t>0.751</w:t>
            </w:r>
          </w:p>
        </w:tc>
        <w:tc>
          <w:tcPr>
            <w:tcW w:type="dxa" w:w="1003"/>
          </w:tcPr>
          <w:p>
            <w:pPr>
              <w:spacing w:after="0"/>
              <w:jc w:val="left"/>
            </w:pPr>
            <w:r/>
            <w:r>
              <w:rPr>
                <w:rFonts w:ascii="Times New Roman" w:hAnsi="Times New Roman"/>
                <w:sz w:val="21"/>
              </w:rPr>
              <w:t>0.841</w:t>
            </w:r>
          </w:p>
        </w:tc>
        <w:tc>
          <w:tcPr>
            <w:tcW w:type="dxa" w:w="1003"/>
          </w:tcPr>
          <w:p>
            <w:pPr>
              <w:spacing w:after="0"/>
              <w:jc w:val="left"/>
            </w:pPr>
            <w:r/>
            <w:r>
              <w:rPr>
                <w:rFonts w:ascii="Times New Roman" w:hAnsi="Times New Roman"/>
                <w:sz w:val="21"/>
              </w:rPr>
              <w:t>0.762</w:t>
            </w:r>
          </w:p>
        </w:tc>
      </w:tr>
      <w:tr>
        <w:tc>
          <w:tcPr>
            <w:tcW w:type="dxa" w:w="1003"/>
          </w:tcPr>
          <w:p>
            <w:pPr>
              <w:spacing w:after="0"/>
              <w:jc w:val="left"/>
            </w:pPr>
            <w:r/>
            <w:r>
              <w:rPr>
                <w:rFonts w:ascii="Times New Roman" w:hAnsi="Times New Roman"/>
                <w:sz w:val="21"/>
              </w:rPr>
              <w:t>MLP</w:t>
            </w:r>
          </w:p>
        </w:tc>
        <w:tc>
          <w:tcPr>
            <w:tcW w:type="dxa" w:w="1003"/>
          </w:tcPr>
          <w:p>
            <w:pPr>
              <w:spacing w:after="0"/>
              <w:jc w:val="left"/>
            </w:pPr>
            <w:r/>
            <w:r>
              <w:rPr>
                <w:rFonts w:ascii="Times New Roman" w:hAnsi="Times New Roman"/>
                <w:sz w:val="21"/>
              </w:rPr>
              <w:t>0.749</w:t>
            </w:r>
          </w:p>
        </w:tc>
        <w:tc>
          <w:tcPr>
            <w:tcW w:type="dxa" w:w="1003"/>
          </w:tcPr>
          <w:p>
            <w:pPr>
              <w:spacing w:after="0"/>
              <w:jc w:val="left"/>
            </w:pPr>
            <w:r/>
            <w:r>
              <w:rPr>
                <w:rFonts w:ascii="Times New Roman" w:hAnsi="Times New Roman"/>
                <w:sz w:val="21"/>
              </w:rPr>
              <w:t>0.769</w:t>
            </w:r>
          </w:p>
        </w:tc>
        <w:tc>
          <w:tcPr>
            <w:tcW w:type="dxa" w:w="1003"/>
          </w:tcPr>
          <w:p>
            <w:pPr>
              <w:spacing w:after="0"/>
              <w:jc w:val="left"/>
            </w:pPr>
            <w:r/>
            <w:r>
              <w:rPr>
                <w:rFonts w:ascii="Times New Roman" w:hAnsi="Times New Roman"/>
                <w:sz w:val="21"/>
              </w:rPr>
              <w:t>0.839</w:t>
            </w:r>
          </w:p>
        </w:tc>
        <w:tc>
          <w:tcPr>
            <w:tcW w:type="dxa" w:w="1003"/>
          </w:tcPr>
          <w:p>
            <w:pPr>
              <w:spacing w:after="0"/>
              <w:jc w:val="left"/>
            </w:pPr>
            <w:r/>
            <w:r>
              <w:rPr>
                <w:rFonts w:ascii="Times New Roman" w:hAnsi="Times New Roman"/>
                <w:sz w:val="21"/>
              </w:rPr>
              <w:t>0.749</w:t>
            </w:r>
          </w:p>
        </w:tc>
        <w:tc>
          <w:tcPr>
            <w:tcW w:type="dxa" w:w="1003"/>
          </w:tcPr>
          <w:p>
            <w:pPr>
              <w:spacing w:after="0"/>
              <w:jc w:val="left"/>
            </w:pPr>
            <w:r/>
            <w:r>
              <w:rPr>
                <w:rFonts w:ascii="Times New Roman" w:hAnsi="Times New Roman"/>
                <w:sz w:val="21"/>
              </w:rPr>
              <w:t>0.754</w:t>
            </w:r>
          </w:p>
        </w:tc>
        <w:tc>
          <w:tcPr>
            <w:tcW w:type="dxa" w:w="1003"/>
          </w:tcPr>
          <w:p>
            <w:pPr>
              <w:spacing w:after="0"/>
              <w:jc w:val="left"/>
            </w:pPr>
            <w:r/>
            <w:r>
              <w:rPr>
                <w:rFonts w:ascii="Times New Roman" w:hAnsi="Times New Roman"/>
                <w:sz w:val="21"/>
              </w:rPr>
              <w:t>0.752</w:t>
            </w:r>
          </w:p>
        </w:tc>
        <w:tc>
          <w:tcPr>
            <w:tcW w:type="dxa" w:w="1003"/>
          </w:tcPr>
          <w:p>
            <w:pPr>
              <w:spacing w:after="0"/>
              <w:jc w:val="left"/>
            </w:pPr>
            <w:r/>
            <w:r>
              <w:rPr>
                <w:rFonts w:ascii="Times New Roman" w:hAnsi="Times New Roman"/>
                <w:sz w:val="21"/>
              </w:rPr>
              <w:t>0.837</w:t>
            </w:r>
          </w:p>
        </w:tc>
        <w:tc>
          <w:tcPr>
            <w:tcW w:type="dxa" w:w="1003"/>
          </w:tcPr>
          <w:p>
            <w:pPr>
              <w:spacing w:after="0"/>
              <w:jc w:val="left"/>
            </w:pPr>
            <w:r/>
            <w:r>
              <w:rPr>
                <w:rFonts w:ascii="Times New Roman" w:hAnsi="Times New Roman"/>
                <w:sz w:val="21"/>
              </w:rPr>
              <w:t>0.759</w:t>
            </w:r>
          </w:p>
        </w:tc>
      </w:tr>
      <w:tr>
        <w:tc>
          <w:tcPr>
            <w:tcW w:type="dxa" w:w="1003"/>
          </w:tcPr>
          <w:p>
            <w:pPr>
              <w:spacing w:after="0"/>
              <w:jc w:val="left"/>
            </w:pPr>
            <w:r/>
            <w:r>
              <w:rPr>
                <w:rFonts w:ascii="Times New Roman" w:hAnsi="Times New Roman"/>
                <w:sz w:val="21"/>
              </w:rPr>
              <w:t>Random forest</w:t>
            </w:r>
          </w:p>
        </w:tc>
        <w:tc>
          <w:tcPr>
            <w:tcW w:type="dxa" w:w="1003"/>
          </w:tcPr>
          <w:p>
            <w:pPr>
              <w:spacing w:after="0"/>
              <w:jc w:val="left"/>
            </w:pPr>
            <w:r/>
            <w:r>
              <w:rPr>
                <w:rFonts w:ascii="Times New Roman" w:hAnsi="Times New Roman"/>
                <w:sz w:val="21"/>
              </w:rPr>
              <w:t>0.707</w:t>
            </w:r>
          </w:p>
        </w:tc>
        <w:tc>
          <w:tcPr>
            <w:tcW w:type="dxa" w:w="1003"/>
          </w:tcPr>
          <w:p>
            <w:pPr>
              <w:spacing w:after="0"/>
              <w:jc w:val="left"/>
            </w:pPr>
            <w:r/>
            <w:r>
              <w:rPr>
                <w:rFonts w:ascii="Times New Roman" w:hAnsi="Times New Roman"/>
                <w:sz w:val="21"/>
              </w:rPr>
              <w:t>0.799</w:t>
            </w:r>
          </w:p>
        </w:tc>
        <w:tc>
          <w:tcPr>
            <w:tcW w:type="dxa" w:w="1003"/>
          </w:tcPr>
          <w:p>
            <w:pPr>
              <w:spacing w:after="0"/>
              <w:jc w:val="left"/>
            </w:pPr>
            <w:r/>
            <w:r>
              <w:rPr>
                <w:rFonts w:ascii="Times New Roman" w:hAnsi="Times New Roman"/>
                <w:sz w:val="21"/>
              </w:rPr>
              <w:t>0.833</w:t>
            </w:r>
          </w:p>
        </w:tc>
        <w:tc>
          <w:tcPr>
            <w:tcW w:type="dxa" w:w="1003"/>
          </w:tcPr>
          <w:p>
            <w:pPr>
              <w:spacing w:after="0"/>
              <w:jc w:val="left"/>
            </w:pPr>
            <w:r/>
            <w:r>
              <w:rPr>
                <w:rFonts w:ascii="Times New Roman" w:hAnsi="Times New Roman"/>
                <w:sz w:val="21"/>
              </w:rPr>
              <w:t>0.707</w:t>
            </w:r>
          </w:p>
        </w:tc>
        <w:tc>
          <w:tcPr>
            <w:tcW w:type="dxa" w:w="1003"/>
          </w:tcPr>
          <w:p>
            <w:pPr>
              <w:spacing w:after="0"/>
              <w:jc w:val="left"/>
            </w:pPr>
            <w:r/>
            <w:r>
              <w:rPr>
                <w:rFonts w:ascii="Times New Roman" w:hAnsi="Times New Roman"/>
                <w:sz w:val="21"/>
              </w:rPr>
              <w:t>0.769</w:t>
            </w:r>
          </w:p>
        </w:tc>
        <w:tc>
          <w:tcPr>
            <w:tcW w:type="dxa" w:w="1003"/>
          </w:tcPr>
          <w:p>
            <w:pPr>
              <w:spacing w:after="0"/>
              <w:jc w:val="left"/>
            </w:pPr>
            <w:r/>
            <w:r>
              <w:rPr>
                <w:rFonts w:ascii="Times New Roman" w:hAnsi="Times New Roman"/>
                <w:sz w:val="21"/>
              </w:rPr>
              <w:t>0.737</w:t>
            </w:r>
          </w:p>
        </w:tc>
        <w:tc>
          <w:tcPr>
            <w:tcW w:type="dxa" w:w="1003"/>
          </w:tcPr>
          <w:p>
            <w:pPr>
              <w:spacing w:after="0"/>
              <w:jc w:val="left"/>
            </w:pPr>
            <w:r/>
            <w:r>
              <w:rPr>
                <w:rFonts w:ascii="Times New Roman" w:hAnsi="Times New Roman"/>
                <w:sz w:val="21"/>
              </w:rPr>
              <w:t>0.827</w:t>
            </w:r>
          </w:p>
        </w:tc>
        <w:tc>
          <w:tcPr>
            <w:tcW w:type="dxa" w:w="1003"/>
          </w:tcPr>
          <w:p>
            <w:pPr>
              <w:spacing w:after="0"/>
              <w:jc w:val="left"/>
            </w:pPr>
            <w:r/>
            <w:r>
              <w:rPr>
                <w:rFonts w:ascii="Times New Roman" w:hAnsi="Times New Roman"/>
                <w:sz w:val="21"/>
              </w:rPr>
              <w:t>0.755</w:t>
            </w:r>
          </w:p>
        </w:tc>
      </w:tr>
      <w:tr>
        <w:tc>
          <w:tcPr>
            <w:tcW w:type="dxa" w:w="1003"/>
          </w:tcPr>
          <w:p>
            <w:pPr>
              <w:spacing w:after="0"/>
              <w:jc w:val="left"/>
            </w:pPr>
            <w:r/>
            <w:r>
              <w:rPr>
                <w:rFonts w:ascii="Times New Roman" w:hAnsi="Times New Roman"/>
                <w:sz w:val="21"/>
              </w:rPr>
              <w:t>Logistic regression</w:t>
            </w:r>
          </w:p>
        </w:tc>
        <w:tc>
          <w:tcPr>
            <w:tcW w:type="dxa" w:w="1003"/>
          </w:tcPr>
          <w:p>
            <w:pPr>
              <w:spacing w:after="0"/>
              <w:jc w:val="left"/>
            </w:pPr>
            <w:r/>
            <w:r>
              <w:rPr>
                <w:rFonts w:ascii="Times New Roman" w:hAnsi="Times New Roman"/>
                <w:sz w:val="21"/>
              </w:rPr>
              <w:t>0.744</w:t>
            </w:r>
          </w:p>
        </w:tc>
        <w:tc>
          <w:tcPr>
            <w:tcW w:type="dxa" w:w="1003"/>
          </w:tcPr>
          <w:p>
            <w:pPr>
              <w:spacing w:after="0"/>
              <w:jc w:val="left"/>
            </w:pPr>
            <w:r/>
            <w:r>
              <w:rPr>
                <w:rFonts w:ascii="Times New Roman" w:hAnsi="Times New Roman"/>
                <w:sz w:val="21"/>
              </w:rPr>
              <w:t>0.758</w:t>
            </w:r>
          </w:p>
        </w:tc>
        <w:tc>
          <w:tcPr>
            <w:tcW w:type="dxa" w:w="1003"/>
          </w:tcPr>
          <w:p>
            <w:pPr>
              <w:spacing w:after="0"/>
              <w:jc w:val="left"/>
            </w:pPr>
            <w:r/>
            <w:r>
              <w:rPr>
                <w:rFonts w:ascii="Times New Roman" w:hAnsi="Times New Roman"/>
                <w:sz w:val="21"/>
              </w:rPr>
              <w:t>0.829</w:t>
            </w:r>
          </w:p>
        </w:tc>
        <w:tc>
          <w:tcPr>
            <w:tcW w:type="dxa" w:w="1003"/>
          </w:tcPr>
          <w:p>
            <w:pPr>
              <w:spacing w:after="0"/>
              <w:jc w:val="left"/>
            </w:pPr>
            <w:r/>
            <w:r>
              <w:rPr>
                <w:rFonts w:ascii="Times New Roman" w:hAnsi="Times New Roman"/>
                <w:sz w:val="21"/>
              </w:rPr>
              <w:t>0.744</w:t>
            </w:r>
          </w:p>
        </w:tc>
        <w:tc>
          <w:tcPr>
            <w:tcW w:type="dxa" w:w="1003"/>
          </w:tcPr>
          <w:p>
            <w:pPr>
              <w:spacing w:after="0"/>
              <w:jc w:val="left"/>
            </w:pPr>
            <w:r/>
            <w:r>
              <w:rPr>
                <w:rFonts w:ascii="Times New Roman" w:hAnsi="Times New Roman"/>
                <w:sz w:val="21"/>
              </w:rPr>
              <w:t>0.744</w:t>
            </w:r>
          </w:p>
        </w:tc>
        <w:tc>
          <w:tcPr>
            <w:tcW w:type="dxa" w:w="1003"/>
          </w:tcPr>
          <w:p>
            <w:pPr>
              <w:spacing w:after="0"/>
              <w:jc w:val="left"/>
            </w:pPr>
            <w:r/>
            <w:r>
              <w:rPr>
                <w:rFonts w:ascii="Times New Roman" w:hAnsi="Times New Roman"/>
                <w:sz w:val="21"/>
              </w:rPr>
              <w:t>0.744</w:t>
            </w:r>
          </w:p>
        </w:tc>
        <w:tc>
          <w:tcPr>
            <w:tcW w:type="dxa" w:w="1003"/>
          </w:tcPr>
          <w:p>
            <w:pPr>
              <w:spacing w:after="0"/>
              <w:jc w:val="left"/>
            </w:pPr>
            <w:r/>
            <w:r>
              <w:rPr>
                <w:rFonts w:ascii="Times New Roman" w:hAnsi="Times New Roman"/>
                <w:sz w:val="21"/>
              </w:rPr>
              <w:t>0.825</w:t>
            </w:r>
          </w:p>
        </w:tc>
        <w:tc>
          <w:tcPr>
            <w:tcW w:type="dxa" w:w="1003"/>
          </w:tcPr>
          <w:p>
            <w:pPr>
              <w:spacing w:after="0"/>
              <w:jc w:val="left"/>
            </w:pPr>
            <w:r/>
            <w:r>
              <w:rPr>
                <w:rFonts w:ascii="Times New Roman" w:hAnsi="Times New Roman"/>
                <w:sz w:val="21"/>
              </w:rPr>
              <w:t>0.751</w:t>
            </w:r>
          </w:p>
        </w:tc>
      </w:tr>
      <w:tr>
        <w:tc>
          <w:tcPr>
            <w:tcW w:type="dxa" w:w="1003"/>
          </w:tcPr>
          <w:p>
            <w:pPr>
              <w:spacing w:after="0"/>
              <w:jc w:val="left"/>
            </w:pPr>
            <w:r/>
            <w:r>
              <w:rPr>
                <w:rFonts w:ascii="Times New Roman" w:hAnsi="Times New Roman"/>
                <w:sz w:val="21"/>
              </w:rPr>
              <w:t>SVM, RBF kernel</w:t>
            </w:r>
          </w:p>
        </w:tc>
        <w:tc>
          <w:tcPr>
            <w:tcW w:type="dxa" w:w="1003"/>
          </w:tcPr>
          <w:p>
            <w:pPr>
              <w:spacing w:after="0"/>
              <w:jc w:val="left"/>
            </w:pPr>
            <w:r/>
            <w:r>
              <w:rPr>
                <w:rFonts w:ascii="Times New Roman" w:hAnsi="Times New Roman"/>
                <w:sz w:val="21"/>
              </w:rPr>
              <w:t>0.731</w:t>
            </w:r>
          </w:p>
        </w:tc>
        <w:tc>
          <w:tcPr>
            <w:tcW w:type="dxa" w:w="1003"/>
          </w:tcPr>
          <w:p>
            <w:pPr>
              <w:spacing w:after="0"/>
              <w:jc w:val="left"/>
            </w:pPr>
            <w:r/>
            <w:r>
              <w:rPr>
                <w:rFonts w:ascii="Times New Roman" w:hAnsi="Times New Roman"/>
                <w:sz w:val="21"/>
              </w:rPr>
              <w:t>0.763</w:t>
            </w:r>
          </w:p>
        </w:tc>
        <w:tc>
          <w:tcPr>
            <w:tcW w:type="dxa" w:w="1003"/>
          </w:tcPr>
          <w:p>
            <w:pPr>
              <w:spacing w:after="0"/>
              <w:jc w:val="left"/>
            </w:pPr>
            <w:r/>
            <w:r>
              <w:rPr>
                <w:rFonts w:ascii="Times New Roman" w:hAnsi="Times New Roman"/>
                <w:sz w:val="21"/>
              </w:rPr>
              <w:t>0.820</w:t>
            </w:r>
          </w:p>
        </w:tc>
        <w:tc>
          <w:tcPr>
            <w:tcW w:type="dxa" w:w="1003"/>
          </w:tcPr>
          <w:p>
            <w:pPr>
              <w:spacing w:after="0"/>
              <w:jc w:val="left"/>
            </w:pPr>
            <w:r/>
            <w:r>
              <w:rPr>
                <w:rFonts w:ascii="Times New Roman" w:hAnsi="Times New Roman"/>
                <w:sz w:val="21"/>
              </w:rPr>
              <w:t>0.731</w:t>
            </w:r>
          </w:p>
        </w:tc>
        <w:tc>
          <w:tcPr>
            <w:tcW w:type="dxa" w:w="1003"/>
          </w:tcPr>
          <w:p>
            <w:pPr>
              <w:spacing w:after="0"/>
              <w:jc w:val="left"/>
            </w:pPr>
            <w:r/>
            <w:r>
              <w:rPr>
                <w:rFonts w:ascii="Times New Roman" w:hAnsi="Times New Roman"/>
                <w:sz w:val="21"/>
              </w:rPr>
              <w:t>0.744</w:t>
            </w:r>
          </w:p>
        </w:tc>
        <w:tc>
          <w:tcPr>
            <w:tcW w:type="dxa" w:w="1003"/>
          </w:tcPr>
          <w:p>
            <w:pPr>
              <w:spacing w:after="0"/>
              <w:jc w:val="left"/>
            </w:pPr>
            <w:r/>
            <w:r>
              <w:rPr>
                <w:rFonts w:ascii="Times New Roman" w:hAnsi="Times New Roman"/>
                <w:sz w:val="21"/>
              </w:rPr>
              <w:t>0.737</w:t>
            </w:r>
          </w:p>
        </w:tc>
        <w:tc>
          <w:tcPr>
            <w:tcW w:type="dxa" w:w="1003"/>
          </w:tcPr>
          <w:p>
            <w:pPr>
              <w:spacing w:after="0"/>
              <w:jc w:val="left"/>
            </w:pPr>
            <w:r/>
            <w:r>
              <w:rPr>
                <w:rFonts w:ascii="Times New Roman" w:hAnsi="Times New Roman"/>
                <w:sz w:val="21"/>
              </w:rPr>
              <w:t>0.811</w:t>
            </w:r>
          </w:p>
        </w:tc>
        <w:tc>
          <w:tcPr>
            <w:tcW w:type="dxa" w:w="1003"/>
          </w:tcPr>
          <w:p>
            <w:pPr>
              <w:spacing w:after="0"/>
              <w:jc w:val="left"/>
            </w:pPr>
            <w:r/>
            <w:r>
              <w:rPr>
                <w:rFonts w:ascii="Times New Roman" w:hAnsi="Times New Roman"/>
                <w:sz w:val="21"/>
              </w:rPr>
              <w:t>0.747</w:t>
            </w:r>
          </w:p>
        </w:tc>
      </w:tr>
      <w:tr>
        <w:tc>
          <w:tcPr>
            <w:tcW w:type="dxa" w:w="1003"/>
          </w:tcPr>
          <w:p>
            <w:pPr>
              <w:spacing w:after="0"/>
              <w:jc w:val="left"/>
            </w:pPr>
            <w:r/>
            <w:r>
              <w:rPr>
                <w:rFonts w:ascii="Times New Roman" w:hAnsi="Times New Roman"/>
                <w:sz w:val="21"/>
              </w:rPr>
              <w:t>Decision tree</w:t>
            </w:r>
          </w:p>
        </w:tc>
        <w:tc>
          <w:tcPr>
            <w:tcW w:type="dxa" w:w="1003"/>
          </w:tcPr>
          <w:p>
            <w:pPr>
              <w:spacing w:after="0"/>
              <w:jc w:val="left"/>
            </w:pPr>
            <w:r/>
            <w:r>
              <w:rPr>
                <w:rFonts w:ascii="Times New Roman" w:hAnsi="Times New Roman"/>
                <w:sz w:val="21"/>
              </w:rPr>
              <w:t>0.676</w:t>
            </w:r>
          </w:p>
        </w:tc>
        <w:tc>
          <w:tcPr>
            <w:tcW w:type="dxa" w:w="1003"/>
          </w:tcPr>
          <w:p>
            <w:pPr>
              <w:spacing w:after="0"/>
              <w:jc w:val="left"/>
            </w:pPr>
            <w:r/>
            <w:r>
              <w:rPr>
                <w:rFonts w:ascii="Times New Roman" w:hAnsi="Times New Roman"/>
                <w:sz w:val="21"/>
              </w:rPr>
              <w:t>0.799</w:t>
            </w:r>
          </w:p>
        </w:tc>
        <w:tc>
          <w:tcPr>
            <w:tcW w:type="dxa" w:w="1003"/>
          </w:tcPr>
          <w:p>
            <w:pPr>
              <w:spacing w:after="0"/>
              <w:jc w:val="left"/>
            </w:pPr>
            <w:r/>
            <w:r>
              <w:rPr>
                <w:rFonts w:ascii="Times New Roman" w:hAnsi="Times New Roman"/>
                <w:sz w:val="21"/>
              </w:rPr>
              <w:t>0.817</w:t>
            </w:r>
          </w:p>
        </w:tc>
        <w:tc>
          <w:tcPr>
            <w:tcW w:type="dxa" w:w="1003"/>
          </w:tcPr>
          <w:p>
            <w:pPr>
              <w:spacing w:after="0"/>
              <w:jc w:val="left"/>
            </w:pPr>
            <w:r/>
            <w:r>
              <w:rPr>
                <w:rFonts w:ascii="Times New Roman" w:hAnsi="Times New Roman"/>
                <w:sz w:val="21"/>
              </w:rPr>
              <w:t>0.676</w:t>
            </w:r>
          </w:p>
        </w:tc>
        <w:tc>
          <w:tcPr>
            <w:tcW w:type="dxa" w:w="1003"/>
          </w:tcPr>
          <w:p>
            <w:pPr>
              <w:spacing w:after="0"/>
              <w:jc w:val="left"/>
            </w:pPr>
            <w:r/>
            <w:r>
              <w:rPr>
                <w:rFonts w:ascii="Times New Roman" w:hAnsi="Times New Roman"/>
                <w:sz w:val="21"/>
              </w:rPr>
              <w:t>0.761</w:t>
            </w:r>
          </w:p>
        </w:tc>
        <w:tc>
          <w:tcPr>
            <w:tcW w:type="dxa" w:w="1003"/>
          </w:tcPr>
          <w:p>
            <w:pPr>
              <w:spacing w:after="0"/>
              <w:jc w:val="left"/>
            </w:pPr>
            <w:r/>
            <w:r>
              <w:rPr>
                <w:rFonts w:ascii="Times New Roman" w:hAnsi="Times New Roman"/>
                <w:sz w:val="21"/>
              </w:rPr>
              <w:t>0.716</w:t>
            </w:r>
          </w:p>
        </w:tc>
        <w:tc>
          <w:tcPr>
            <w:tcW w:type="dxa" w:w="1003"/>
          </w:tcPr>
          <w:p>
            <w:pPr>
              <w:spacing w:after="0"/>
              <w:jc w:val="left"/>
            </w:pPr>
            <w:r/>
            <w:r>
              <w:rPr>
                <w:rFonts w:ascii="Times New Roman" w:hAnsi="Times New Roman"/>
                <w:sz w:val="21"/>
              </w:rPr>
              <w:t>0.805</w:t>
            </w:r>
          </w:p>
        </w:tc>
        <w:tc>
          <w:tcPr>
            <w:tcW w:type="dxa" w:w="1003"/>
          </w:tcPr>
          <w:p>
            <w:pPr>
              <w:spacing w:after="0"/>
              <w:jc w:val="left"/>
            </w:pPr>
            <w:r/>
            <w:r>
              <w:rPr>
                <w:rFonts w:ascii="Times New Roman" w:hAnsi="Times New Roman"/>
                <w:sz w:val="21"/>
              </w:rPr>
              <w:t>0.739</w:t>
            </w:r>
          </w:p>
        </w:tc>
      </w:tr>
      <w:tr>
        <w:tc>
          <w:tcPr>
            <w:tcW w:type="dxa" w:w="1003"/>
          </w:tcPr>
          <w:p>
            <w:pPr>
              <w:spacing w:after="0"/>
              <w:jc w:val="left"/>
            </w:pPr>
            <w:r/>
            <w:r>
              <w:rPr>
                <w:rFonts w:ascii="Times New Roman" w:hAnsi="Times New Roman"/>
                <w:sz w:val="21"/>
              </w:rPr>
              <w:t>Lookup baseline (nature x body part x sector)</w:t>
            </w:r>
          </w:p>
        </w:tc>
        <w:tc>
          <w:tcPr>
            <w:tcW w:type="dxa" w:w="1003"/>
          </w:tcPr>
          <w:p>
            <w:pPr>
              <w:spacing w:after="0"/>
              <w:jc w:val="left"/>
            </w:pPr>
            <w:r/>
            <w:r>
              <w:rPr>
                <w:rFonts w:ascii="Times New Roman" w:hAnsi="Times New Roman"/>
                <w:sz w:val="21"/>
              </w:rPr>
              <w:t>0.655</w:t>
            </w:r>
          </w:p>
        </w:tc>
        <w:tc>
          <w:tcPr>
            <w:tcW w:type="dxa" w:w="1003"/>
          </w:tcPr>
          <w:p>
            <w:pPr>
              <w:spacing w:after="0"/>
              <w:jc w:val="left"/>
            </w:pPr>
            <w:r/>
            <w:r>
              <w:rPr>
                <w:rFonts w:ascii="Times New Roman" w:hAnsi="Times New Roman"/>
                <w:sz w:val="21"/>
              </w:rPr>
              <w:t>0.801</w:t>
            </w:r>
          </w:p>
        </w:tc>
        <w:tc>
          <w:tcPr>
            <w:tcW w:type="dxa" w:w="1003"/>
          </w:tcPr>
          <w:p>
            <w:pPr>
              <w:spacing w:after="0"/>
              <w:jc w:val="left"/>
            </w:pPr>
            <w:r/>
            <w:r>
              <w:rPr>
                <w:rFonts w:ascii="Times New Roman" w:hAnsi="Times New Roman"/>
                <w:sz w:val="21"/>
              </w:rPr>
              <w:t>0.804</w:t>
            </w:r>
          </w:p>
        </w:tc>
        <w:tc>
          <w:tcPr>
            <w:tcW w:type="dxa" w:w="1003"/>
          </w:tcPr>
          <w:p>
            <w:pPr>
              <w:spacing w:after="0"/>
              <w:jc w:val="left"/>
            </w:pPr>
            <w:r/>
            <w:r>
              <w:rPr>
                <w:rFonts w:ascii="Times New Roman" w:hAnsi="Times New Roman"/>
                <w:sz w:val="21"/>
              </w:rPr>
              <w:t>0.655</w:t>
            </w:r>
          </w:p>
        </w:tc>
        <w:tc>
          <w:tcPr>
            <w:tcW w:type="dxa" w:w="1003"/>
          </w:tcPr>
          <w:p>
            <w:pPr>
              <w:spacing w:after="0"/>
              <w:jc w:val="left"/>
            </w:pPr>
            <w:r/>
            <w:r>
              <w:rPr>
                <w:rFonts w:ascii="Times New Roman" w:hAnsi="Times New Roman"/>
                <w:sz w:val="21"/>
              </w:rPr>
              <w:t>0.756</w:t>
            </w:r>
          </w:p>
        </w:tc>
        <w:tc>
          <w:tcPr>
            <w:tcW w:type="dxa" w:w="1003"/>
          </w:tcPr>
          <w:p>
            <w:pPr>
              <w:spacing w:after="0"/>
              <w:jc w:val="left"/>
            </w:pPr>
            <w:r/>
            <w:r>
              <w:rPr>
                <w:rFonts w:ascii="Times New Roman" w:hAnsi="Times New Roman"/>
                <w:sz w:val="21"/>
              </w:rPr>
              <w:t>0.702</w:t>
            </w:r>
          </w:p>
        </w:tc>
        <w:tc>
          <w:tcPr>
            <w:tcW w:type="dxa" w:w="1003"/>
          </w:tcPr>
          <w:p>
            <w:pPr>
              <w:spacing w:after="0"/>
              <w:jc w:val="left"/>
            </w:pPr>
            <w:r/>
            <w:r>
              <w:rPr>
                <w:rFonts w:ascii="Times New Roman" w:hAnsi="Times New Roman"/>
                <w:sz w:val="21"/>
              </w:rPr>
              <w:t>0.790</w:t>
            </w:r>
          </w:p>
        </w:tc>
        <w:tc>
          <w:tcPr>
            <w:tcW w:type="dxa" w:w="1003"/>
          </w:tcPr>
          <w:p>
            <w:pPr>
              <w:spacing w:after="0"/>
              <w:jc w:val="left"/>
            </w:pPr>
            <w:r/>
            <w:r>
              <w:rPr>
                <w:rFonts w:ascii="Times New Roman" w:hAnsi="Times New Roman"/>
                <w:sz w:val="21"/>
              </w:rPr>
              <w:t>0.730</w:t>
            </w:r>
          </w:p>
        </w:tc>
      </w:tr>
      <w:tr>
        <w:tc>
          <w:tcPr>
            <w:tcW w:type="dxa" w:w="1003"/>
          </w:tcPr>
          <w:p>
            <w:pPr>
              <w:spacing w:after="0"/>
              <w:jc w:val="left"/>
            </w:pPr>
            <w:r/>
            <w:r>
              <w:rPr>
                <w:rFonts w:ascii="Times New Roman" w:hAnsi="Times New Roman"/>
                <w:sz w:val="21"/>
              </w:rPr>
              <w:t>KNN</w:t>
            </w:r>
          </w:p>
        </w:tc>
        <w:tc>
          <w:tcPr>
            <w:tcW w:type="dxa" w:w="1003"/>
          </w:tcPr>
          <w:p>
            <w:pPr>
              <w:spacing w:after="0"/>
              <w:jc w:val="left"/>
            </w:pPr>
            <w:r/>
            <w:r>
              <w:rPr>
                <w:rFonts w:ascii="Times New Roman" w:hAnsi="Times New Roman"/>
                <w:sz w:val="21"/>
              </w:rPr>
              <w:t>0.589</w:t>
            </w:r>
          </w:p>
        </w:tc>
        <w:tc>
          <w:tcPr>
            <w:tcW w:type="dxa" w:w="1003"/>
          </w:tcPr>
          <w:p>
            <w:pPr>
              <w:spacing w:after="0"/>
              <w:jc w:val="left"/>
            </w:pPr>
            <w:r/>
            <w:r>
              <w:rPr>
                <w:rFonts w:ascii="Times New Roman" w:hAnsi="Times New Roman"/>
                <w:sz w:val="21"/>
              </w:rPr>
              <w:t>0.807</w:t>
            </w:r>
          </w:p>
        </w:tc>
        <w:tc>
          <w:tcPr>
            <w:tcW w:type="dxa" w:w="1003"/>
          </w:tcPr>
          <w:p>
            <w:pPr>
              <w:spacing w:after="0"/>
              <w:jc w:val="left"/>
            </w:pPr>
            <w:r/>
            <w:r>
              <w:rPr>
                <w:rFonts w:ascii="Times New Roman" w:hAnsi="Times New Roman"/>
                <w:sz w:val="21"/>
              </w:rPr>
              <w:t>0.773</w:t>
            </w:r>
          </w:p>
        </w:tc>
        <w:tc>
          <w:tcPr>
            <w:tcW w:type="dxa" w:w="1003"/>
          </w:tcPr>
          <w:p>
            <w:pPr>
              <w:spacing w:after="0"/>
              <w:jc w:val="left"/>
            </w:pPr>
            <w:r/>
            <w:r>
              <w:rPr>
                <w:rFonts w:ascii="Times New Roman" w:hAnsi="Times New Roman"/>
                <w:sz w:val="21"/>
              </w:rPr>
              <w:t>0.589</w:t>
            </w:r>
          </w:p>
        </w:tc>
        <w:tc>
          <w:tcPr>
            <w:tcW w:type="dxa" w:w="1003"/>
          </w:tcPr>
          <w:p>
            <w:pPr>
              <w:spacing w:after="0"/>
              <w:jc w:val="left"/>
            </w:pPr>
            <w:r/>
            <w:r>
              <w:rPr>
                <w:rFonts w:ascii="Times New Roman" w:hAnsi="Times New Roman"/>
                <w:sz w:val="21"/>
              </w:rPr>
              <w:t>0.743</w:t>
            </w:r>
          </w:p>
        </w:tc>
        <w:tc>
          <w:tcPr>
            <w:tcW w:type="dxa" w:w="1003"/>
          </w:tcPr>
          <w:p>
            <w:pPr>
              <w:spacing w:after="0"/>
              <w:jc w:val="left"/>
            </w:pPr>
            <w:r/>
            <w:r>
              <w:rPr>
                <w:rFonts w:ascii="Times New Roman" w:hAnsi="Times New Roman"/>
                <w:sz w:val="21"/>
              </w:rPr>
              <w:t>0.657</w:t>
            </w:r>
          </w:p>
        </w:tc>
        <w:tc>
          <w:tcPr>
            <w:tcW w:type="dxa" w:w="1003"/>
          </w:tcPr>
          <w:p>
            <w:pPr>
              <w:spacing w:after="0"/>
              <w:jc w:val="left"/>
            </w:pPr>
            <w:r/>
            <w:r>
              <w:rPr>
                <w:rFonts w:ascii="Times New Roman" w:hAnsi="Times New Roman"/>
                <w:sz w:val="21"/>
              </w:rPr>
              <w:t>0.770</w:t>
            </w:r>
          </w:p>
        </w:tc>
        <w:tc>
          <w:tcPr>
            <w:tcW w:type="dxa" w:w="1003"/>
          </w:tcPr>
          <w:p>
            <w:pPr>
              <w:spacing w:after="0"/>
              <w:jc w:val="left"/>
            </w:pPr>
            <w:r/>
            <w:r>
              <w:rPr>
                <w:rFonts w:ascii="Times New Roman" w:hAnsi="Times New Roman"/>
                <w:sz w:val="21"/>
              </w:rPr>
              <w:t>0.701</w:t>
            </w:r>
          </w:p>
        </w:tc>
      </w:tr>
      <w:tr>
        <w:tc>
          <w:tcPr>
            <w:tcW w:type="dxa" w:w="1003"/>
          </w:tcPr>
          <w:p>
            <w:pPr>
              <w:spacing w:after="0"/>
              <w:jc w:val="left"/>
            </w:pPr>
            <w:r/>
            <w:r>
              <w:rPr>
                <w:rFonts w:ascii="Times New Roman" w:hAnsi="Times New Roman"/>
                <w:sz w:val="21"/>
              </w:rPr>
              <w:t>Gaussian naive Bayes</w:t>
            </w:r>
          </w:p>
        </w:tc>
        <w:tc>
          <w:tcPr>
            <w:tcW w:type="dxa" w:w="1003"/>
          </w:tcPr>
          <w:p>
            <w:pPr>
              <w:spacing w:after="0"/>
              <w:jc w:val="left"/>
            </w:pPr>
            <w:r/>
            <w:r>
              <w:rPr>
                <w:rFonts w:ascii="Times New Roman" w:hAnsi="Times New Roman"/>
                <w:sz w:val="21"/>
              </w:rPr>
              <w:t>0.524</w:t>
            </w:r>
          </w:p>
        </w:tc>
        <w:tc>
          <w:tcPr>
            <w:tcW w:type="dxa" w:w="1003"/>
          </w:tcPr>
          <w:p>
            <w:pPr>
              <w:spacing w:after="0"/>
              <w:jc w:val="left"/>
            </w:pPr>
            <w:r/>
            <w:r>
              <w:rPr>
                <w:rFonts w:ascii="Times New Roman" w:hAnsi="Times New Roman"/>
                <w:sz w:val="21"/>
              </w:rPr>
              <w:t>0.802</w:t>
            </w:r>
          </w:p>
        </w:tc>
        <w:tc>
          <w:tcPr>
            <w:tcW w:type="dxa" w:w="1003"/>
          </w:tcPr>
          <w:p>
            <w:pPr>
              <w:spacing w:after="0"/>
              <w:jc w:val="left"/>
            </w:pPr>
            <w:r/>
            <w:r>
              <w:rPr>
                <w:rFonts w:ascii="Times New Roman" w:hAnsi="Times New Roman"/>
                <w:sz w:val="21"/>
              </w:rPr>
              <w:t>0.741</w:t>
            </w:r>
          </w:p>
        </w:tc>
        <w:tc>
          <w:tcPr>
            <w:tcW w:type="dxa" w:w="1003"/>
          </w:tcPr>
          <w:p>
            <w:pPr>
              <w:spacing w:after="0"/>
              <w:jc w:val="left"/>
            </w:pPr>
            <w:r/>
            <w:r>
              <w:rPr>
                <w:rFonts w:ascii="Times New Roman" w:hAnsi="Times New Roman"/>
                <w:sz w:val="21"/>
              </w:rPr>
              <w:t>0.524</w:t>
            </w:r>
          </w:p>
        </w:tc>
        <w:tc>
          <w:tcPr>
            <w:tcW w:type="dxa" w:w="1003"/>
          </w:tcPr>
          <w:p>
            <w:pPr>
              <w:spacing w:after="0"/>
              <w:jc w:val="left"/>
            </w:pPr>
            <w:r/>
            <w:r>
              <w:rPr>
                <w:rFonts w:ascii="Times New Roman" w:hAnsi="Times New Roman"/>
                <w:sz w:val="21"/>
              </w:rPr>
              <w:t>0.715</w:t>
            </w:r>
          </w:p>
        </w:tc>
        <w:tc>
          <w:tcPr>
            <w:tcW w:type="dxa" w:w="1003"/>
          </w:tcPr>
          <w:p>
            <w:pPr>
              <w:spacing w:after="0"/>
              <w:jc w:val="left"/>
            </w:pPr>
            <w:r/>
            <w:r>
              <w:rPr>
                <w:rFonts w:ascii="Times New Roman" w:hAnsi="Times New Roman"/>
                <w:sz w:val="21"/>
              </w:rPr>
              <w:t>0.605</w:t>
            </w:r>
          </w:p>
        </w:tc>
        <w:tc>
          <w:tcPr>
            <w:tcW w:type="dxa" w:w="1003"/>
          </w:tcPr>
          <w:p>
            <w:pPr>
              <w:spacing w:after="0"/>
              <w:jc w:val="left"/>
            </w:pPr>
            <w:r/>
            <w:r>
              <w:rPr>
                <w:rFonts w:ascii="Times New Roman" w:hAnsi="Times New Roman"/>
                <w:sz w:val="21"/>
              </w:rPr>
              <w:t>0.741</w:t>
            </w:r>
          </w:p>
        </w:tc>
        <w:tc>
          <w:tcPr>
            <w:tcW w:type="dxa" w:w="1003"/>
          </w:tcPr>
          <w:p>
            <w:pPr>
              <w:spacing w:after="0"/>
              <w:jc w:val="left"/>
            </w:pPr>
            <w:r/>
            <w:r>
              <w:rPr>
                <w:rFonts w:ascii="Times New Roman" w:hAnsi="Times New Roman"/>
                <w:sz w:val="21"/>
              </w:rPr>
              <w:t>0.667</w:t>
            </w:r>
          </w:p>
        </w:tc>
      </w:tr>
      <w:tr>
        <w:tc>
          <w:tcPr>
            <w:tcW w:type="dxa" w:w="1003"/>
          </w:tcPr>
          <w:p>
            <w:pPr>
              <w:spacing w:after="0"/>
              <w:jc w:val="left"/>
            </w:pPr>
            <w:r/>
            <w:r>
              <w:rPr>
                <w:rFonts w:ascii="Times New Roman" w:hAnsi="Times New Roman"/>
                <w:sz w:val="21"/>
              </w:rPr>
              <w:t>Baseline: hand rule (not a cut, dust in the eye or a scratch)</w:t>
            </w:r>
          </w:p>
        </w:tc>
        <w:tc>
          <w:tcPr>
            <w:tcW w:type="dxa" w:w="1003"/>
          </w:tcPr>
          <w:p>
            <w:pPr>
              <w:spacing w:after="0"/>
              <w:jc w:val="left"/>
            </w:pPr>
            <w:r/>
            <w:r>
              <w:rPr>
                <w:rFonts w:ascii="Times New Roman" w:hAnsi="Times New Roman"/>
                <w:sz w:val="21"/>
              </w:rPr>
              <w:t>0.898</w:t>
            </w:r>
          </w:p>
        </w:tc>
        <w:tc>
          <w:tcPr>
            <w:tcW w:type="dxa" w:w="1003"/>
          </w:tcPr>
          <w:p>
            <w:pPr>
              <w:spacing w:after="0"/>
              <w:jc w:val="left"/>
            </w:pPr>
            <w:r/>
            <w:r>
              <w:rPr>
                <w:rFonts w:ascii="Times New Roman" w:hAnsi="Times New Roman"/>
                <w:sz w:val="21"/>
              </w:rPr>
              <w:t>0.423</w:t>
            </w:r>
          </w:p>
        </w:tc>
        <w:tc>
          <w:tcPr>
            <w:tcW w:type="dxa" w:w="1003"/>
          </w:tcPr>
          <w:p>
            <w:pPr>
              <w:spacing w:after="0"/>
              <w:jc w:val="left"/>
            </w:pPr>
            <w:r/>
            <w:r>
              <w:rPr>
                <w:rFonts w:ascii="Times New Roman" w:hAnsi="Times New Roman"/>
                <w:sz w:val="21"/>
              </w:rPr>
              <w:t>0.660</w:t>
            </w:r>
          </w:p>
        </w:tc>
        <w:tc>
          <w:tcPr>
            <w:tcW w:type="dxa" w:w="1003"/>
          </w:tcPr>
          <w:p>
            <w:pPr>
              <w:spacing w:after="0"/>
              <w:jc w:val="left"/>
            </w:pPr>
            <w:r/>
            <w:r>
              <w:rPr>
                <w:rFonts w:ascii="Times New Roman" w:hAnsi="Times New Roman"/>
                <w:sz w:val="21"/>
              </w:rPr>
              <w:t>0.898</w:t>
            </w:r>
          </w:p>
        </w:tc>
        <w:tc>
          <w:tcPr>
            <w:tcW w:type="dxa" w:w="1003"/>
          </w:tcPr>
          <w:p>
            <w:pPr>
              <w:spacing w:after="0"/>
              <w:jc w:val="left"/>
            </w:pPr>
            <w:r/>
            <w:r>
              <w:rPr>
                <w:rFonts w:ascii="Times New Roman" w:hAnsi="Times New Roman"/>
                <w:sz w:val="21"/>
              </w:rPr>
              <w:t>0.595</w:t>
            </w:r>
          </w:p>
        </w:tc>
        <w:tc>
          <w:tcPr>
            <w:tcW w:type="dxa" w:w="1003"/>
          </w:tcPr>
          <w:p>
            <w:pPr>
              <w:spacing w:after="0"/>
              <w:jc w:val="left"/>
            </w:pPr>
            <w:r/>
            <w:r>
              <w:rPr>
                <w:rFonts w:ascii="Times New Roman" w:hAnsi="Times New Roman"/>
                <w:sz w:val="21"/>
              </w:rPr>
              <w:t>0.716</w:t>
            </w:r>
          </w:p>
        </w:tc>
        <w:tc>
          <w:tcPr>
            <w:tcW w:type="dxa" w:w="1003"/>
          </w:tcPr>
          <w:p>
            <w:pPr>
              <w:spacing w:after="0"/>
              <w:jc w:val="left"/>
            </w:pPr>
            <w:r/>
            <w:r>
              <w:rPr>
                <w:rFonts w:ascii="Times New Roman" w:hAnsi="Times New Roman"/>
                <w:sz w:val="21"/>
              </w:rPr>
              <w:t>0.584</w:t>
            </w:r>
          </w:p>
        </w:tc>
        <w:tc>
          <w:tcPr>
            <w:tcW w:type="dxa" w:w="1003"/>
          </w:tcPr>
          <w:p>
            <w:pPr>
              <w:spacing w:after="0"/>
              <w:jc w:val="left"/>
            </w:pPr>
            <w:r/>
            <w:r>
              <w:rPr>
                <w:rFonts w:ascii="Times New Roman" w:hAnsi="Times New Roman"/>
                <w:sz w:val="21"/>
              </w:rPr>
              <w:t>0.654</w:t>
            </w:r>
          </w:p>
        </w:tc>
      </w:tr>
      <w:tr>
        <w:tc>
          <w:tcPr>
            <w:tcW w:type="dxa" w:w="1003"/>
          </w:tcPr>
          <w:p>
            <w:pPr>
              <w:spacing w:after="0"/>
              <w:jc w:val="left"/>
            </w:pPr>
            <w:r/>
            <w:r>
              <w:rPr>
                <w:rFonts w:ascii="Times New Roman" w:hAnsi="Times New Roman"/>
                <w:sz w:val="21"/>
              </w:rPr>
              <w:t>Baseline: majority class</w:t>
            </w:r>
          </w:p>
        </w:tc>
        <w:tc>
          <w:tcPr>
            <w:tcW w:type="dxa" w:w="1003"/>
          </w:tcPr>
          <w:p>
            <w:pPr>
              <w:spacing w:after="0"/>
              <w:jc w:val="left"/>
            </w:pPr>
            <w:r/>
            <w:r>
              <w:rPr>
                <w:rFonts w:ascii="Times New Roman" w:hAnsi="Times New Roman"/>
                <w:sz w:val="21"/>
              </w:rPr>
              <w:t>0.000</w:t>
            </w:r>
          </w:p>
        </w:tc>
        <w:tc>
          <w:tcPr>
            <w:tcW w:type="dxa" w:w="1003"/>
          </w:tcPr>
          <w:p>
            <w:pPr>
              <w:spacing w:after="0"/>
              <w:jc w:val="left"/>
            </w:pPr>
            <w:r/>
            <w:r>
              <w:rPr>
                <w:rFonts w:ascii="Times New Roman" w:hAnsi="Times New Roman"/>
                <w:sz w:val="21"/>
              </w:rPr>
              <w:t>1.000</w:t>
            </w:r>
          </w:p>
        </w:tc>
        <w:tc>
          <w:tcPr>
            <w:tcW w:type="dxa" w:w="1003"/>
          </w:tcPr>
          <w:p>
            <w:pPr>
              <w:spacing w:after="0"/>
              <w:jc w:val="left"/>
            </w:pPr>
            <w:r/>
            <w:r>
              <w:rPr>
                <w:rFonts w:ascii="Times New Roman" w:hAnsi="Times New Roman"/>
                <w:sz w:val="21"/>
              </w:rPr>
              <w:t>0.500</w:t>
            </w:r>
          </w:p>
        </w:tc>
        <w:tc>
          <w:tcPr>
            <w:tcW w:type="dxa" w:w="1003"/>
          </w:tcPr>
          <w:p>
            <w:pPr>
              <w:spacing w:after="0"/>
              <w:jc w:val="left"/>
            </w:pPr>
            <w:r/>
            <w:r>
              <w:rPr>
                <w:rFonts w:ascii="Times New Roman" w:hAnsi="Times New Roman"/>
                <w:sz w:val="21"/>
              </w:rPr>
              <w:t>0.000</w:t>
            </w:r>
          </w:p>
        </w:tc>
        <w:tc>
          <w:tcPr>
            <w:tcW w:type="dxa" w:w="1003"/>
          </w:tcPr>
          <w:p>
            <w:pPr>
              <w:spacing w:after="0"/>
              <w:jc w:val="left"/>
            </w:pPr>
            <w:r/>
            <w:r>
              <w:rPr>
                <w:rFonts w:ascii="Times New Roman" w:hAnsi="Times New Roman"/>
                <w:sz w:val="21"/>
              </w:rPr>
              <w:t>0.000</w:t>
            </w:r>
          </w:p>
        </w:tc>
        <w:tc>
          <w:tcPr>
            <w:tcW w:type="dxa" w:w="1003"/>
          </w:tcPr>
          <w:p>
            <w:pPr>
              <w:spacing w:after="0"/>
              <w:jc w:val="left"/>
            </w:pPr>
            <w:r/>
            <w:r>
              <w:rPr>
                <w:rFonts w:ascii="Times New Roman" w:hAnsi="Times New Roman"/>
                <w:sz w:val="21"/>
              </w:rPr>
              <w:t>0.000</w:t>
            </w:r>
          </w:p>
        </w:tc>
        <w:tc>
          <w:tcPr>
            <w:tcW w:type="dxa" w:w="1003"/>
          </w:tcPr>
          <w:p>
            <w:pPr>
              <w:spacing w:after="0"/>
              <w:jc w:val="left"/>
            </w:pPr>
            <w:r/>
            <w:r>
              <w:rPr>
                <w:rFonts w:ascii="Times New Roman" w:hAnsi="Times New Roman"/>
                <w:sz w:val="21"/>
              </w:rPr>
              <w:t>0.486</w:t>
            </w:r>
          </w:p>
        </w:tc>
        <w:tc>
          <w:tcPr>
            <w:tcW w:type="dxa" w:w="1003"/>
          </w:tcPr>
          <w:p>
            <w:pPr>
              <w:spacing w:after="0"/>
              <w:jc w:val="left"/>
            </w:pPr>
            <w:r/>
            <w:r>
              <w:rPr>
                <w:rFonts w:ascii="Times New Roman" w:hAnsi="Times New Roman"/>
                <w:sz w:val="21"/>
              </w:rPr>
              <w:t>0.514</w:t>
            </w:r>
          </w:p>
        </w:tc>
      </w:tr>
      <w:tr>
        <w:tc>
          <w:tcPr>
            <w:tcW w:type="dxa" w:w="1003"/>
          </w:tcPr>
          <w:p>
            <w:pPr>
              <w:spacing w:after="0"/>
              <w:jc w:val="left"/>
            </w:pPr>
            <w:r/>
            <w:r>
              <w:rPr>
                <w:rFonts w:ascii="Times New Roman" w:hAnsi="Times New Roman"/>
                <w:sz w:val="21"/>
              </w:rPr>
              <w:t>Baseline: review everything</w:t>
            </w:r>
          </w:p>
        </w:tc>
        <w:tc>
          <w:tcPr>
            <w:tcW w:type="dxa" w:w="1003"/>
          </w:tcPr>
          <w:p>
            <w:pPr>
              <w:spacing w:after="0"/>
              <w:jc w:val="left"/>
            </w:pPr>
            <w:r/>
            <w:r>
              <w:rPr>
                <w:rFonts w:ascii="Times New Roman" w:hAnsi="Times New Roman"/>
                <w:sz w:val="21"/>
              </w:rPr>
              <w:t>1.000</w:t>
            </w:r>
          </w:p>
        </w:tc>
        <w:tc>
          <w:tcPr>
            <w:tcW w:type="dxa" w:w="1003"/>
          </w:tcPr>
          <w:p>
            <w:pPr>
              <w:spacing w:after="0"/>
              <w:jc w:val="left"/>
            </w:pPr>
            <w:r/>
            <w:r>
              <w:rPr>
                <w:rFonts w:ascii="Times New Roman" w:hAnsi="Times New Roman"/>
                <w:sz w:val="21"/>
              </w:rPr>
              <w:t>0.000</w:t>
            </w:r>
          </w:p>
        </w:tc>
        <w:tc>
          <w:tcPr>
            <w:tcW w:type="dxa" w:w="1003"/>
          </w:tcPr>
          <w:p>
            <w:pPr>
              <w:spacing w:after="0"/>
              <w:jc w:val="left"/>
            </w:pPr>
            <w:r/>
            <w:r>
              <w:rPr>
                <w:rFonts w:ascii="Times New Roman" w:hAnsi="Times New Roman"/>
                <w:sz w:val="21"/>
              </w:rPr>
              <w:t>0.500</w:t>
            </w:r>
          </w:p>
        </w:tc>
        <w:tc>
          <w:tcPr>
            <w:tcW w:type="dxa" w:w="1003"/>
          </w:tcPr>
          <w:p>
            <w:pPr>
              <w:spacing w:after="0"/>
              <w:jc w:val="left"/>
            </w:pPr>
            <w:r/>
            <w:r>
              <w:rPr>
                <w:rFonts w:ascii="Times New Roman" w:hAnsi="Times New Roman"/>
                <w:sz w:val="21"/>
              </w:rPr>
              <w:t>1.000</w:t>
            </w:r>
          </w:p>
        </w:tc>
        <w:tc>
          <w:tcPr>
            <w:tcW w:type="dxa" w:w="1003"/>
          </w:tcPr>
          <w:p>
            <w:pPr>
              <w:spacing w:after="0"/>
              <w:jc w:val="left"/>
            </w:pPr>
            <w:r/>
            <w:r>
              <w:rPr>
                <w:rFonts w:ascii="Times New Roman" w:hAnsi="Times New Roman"/>
                <w:sz w:val="21"/>
              </w:rPr>
              <w:t>0.486</w:t>
            </w:r>
          </w:p>
        </w:tc>
        <w:tc>
          <w:tcPr>
            <w:tcW w:type="dxa" w:w="1003"/>
          </w:tcPr>
          <w:p>
            <w:pPr>
              <w:spacing w:after="0"/>
              <w:jc w:val="left"/>
            </w:pPr>
            <w:r/>
            <w:r>
              <w:rPr>
                <w:rFonts w:ascii="Times New Roman" w:hAnsi="Times New Roman"/>
                <w:sz w:val="21"/>
              </w:rPr>
              <w:t>0.654</w:t>
            </w:r>
          </w:p>
        </w:tc>
        <w:tc>
          <w:tcPr>
            <w:tcW w:type="dxa" w:w="1003"/>
          </w:tcPr>
          <w:p>
            <w:pPr>
              <w:spacing w:after="0"/>
              <w:jc w:val="left"/>
            </w:pPr>
            <w:r/>
            <w:r>
              <w:rPr>
                <w:rFonts w:ascii="Times New Roman" w:hAnsi="Times New Roman"/>
                <w:sz w:val="21"/>
              </w:rPr>
              <w:t>0.486</w:t>
            </w:r>
          </w:p>
        </w:tc>
        <w:tc>
          <w:tcPr>
            <w:tcW w:type="dxa" w:w="1003"/>
          </w:tcPr>
          <w:p>
            <w:pPr>
              <w:spacing w:after="0"/>
              <w:jc w:val="left"/>
            </w:pPr>
            <w:r/>
            <w:r>
              <w:rPr>
                <w:rFonts w:ascii="Times New Roman" w:hAnsi="Times New Roman"/>
                <w:sz w:val="21"/>
              </w:rPr>
              <w:t>0.486</w:t>
            </w:r>
          </w:p>
        </w:tc>
      </w:tr>
    </w:tbl>
    <w:p>
      <w:pPr>
        <w:spacing w:after="80"/>
      </w:pPr>
    </w:p>
    <w:p>
      <w:pPr>
        <w:keepNext/>
        <w:jc w:val="center"/>
      </w:pPr>
      <w:r>
        <w:drawing>
          <wp:inline xmlns:a="http://schemas.openxmlformats.org/drawingml/2006/main" xmlns:pic="http://schemas.openxmlformats.org/drawingml/2006/picture">
            <wp:extent cx="4572000" cy="4466448"/>
            <wp:docPr id="16" name="Picture 16"/>
            <wp:cNvGraphicFramePr>
              <a:graphicFrameLocks noChangeAspect="1"/>
            </wp:cNvGraphicFramePr>
            <a:graphic>
              <a:graphicData uri="http://schemas.openxmlformats.org/drawingml/2006/picture">
                <pic:pic>
                  <pic:nvPicPr>
                    <pic:cNvPr id="0" name="F12_roc_curves.png"/>
                    <pic:cNvPicPr/>
                  </pic:nvPicPr>
                  <pic:blipFill>
                    <a:blip r:embed="rId26"/>
                    <a:stretch>
                      <a:fillRect/>
                    </a:stretch>
                  </pic:blipFill>
                  <pic:spPr>
                    <a:xfrm>
                      <a:off x="0" y="0"/>
                      <a:ext cx="4572000" cy="4466448"/>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ROC curves of the eight tuned models and the lookup baseline on the 20,320 test reports, with test ROC-AUC in the legend and the chance diagonal dotted; ROC space is shown because it does not depend on prevalence. Source: author's analysis of MSHA open data.</w:t>
      </w:r>
    </w:p>
    <w:p>
      <w:pPr>
        <w:keepNext/>
        <w:jc w:val="center"/>
      </w:pPr>
      <w:r>
        <w:drawing>
          <wp:inline xmlns:a="http://schemas.openxmlformats.org/drawingml/2006/main" xmlns:pic="http://schemas.openxmlformats.org/drawingml/2006/picture">
            <wp:extent cx="4572000" cy="4466448"/>
            <wp:docPr id="17" name="Picture 17"/>
            <wp:cNvGraphicFramePr>
              <a:graphicFrameLocks noChangeAspect="1"/>
            </wp:cNvGraphicFramePr>
            <a:graphic>
              <a:graphicData uri="http://schemas.openxmlformats.org/drawingml/2006/picture">
                <pic:pic>
                  <pic:nvPicPr>
                    <pic:cNvPr id="0" name="F13_pr_curves.png"/>
                    <pic:cNvPicPr/>
                  </pic:nvPicPr>
                  <pic:blipFill>
                    <a:blip r:embed="rId27"/>
                    <a:stretch>
                      <a:fillRect/>
                    </a:stretch>
                  </pic:blipFill>
                  <pic:spPr>
                    <a:xfrm>
                      <a:off x="0" y="0"/>
                      <a:ext cx="4572000" cy="4466448"/>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Precision-recall curves of the eight tuned models and the lookup baseline on the 20,320 test reports, with average precision (PR-AUC) in the legend and the prevalence of 0.486 dotted as the no-skill level; precision-recall space is shown because precision along the curve is the review cost of each lost-time case found. Source: author's analysis of MSHA open data.</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13</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Test-set scores on the 20,320 held-out reports at each model's capacity threshold, the lowest threshold whose out-of-fold specificity reached 0.40 on the training split, with the resulting flag rate, balanced accuracy, MCC and Brier score; the threshold-free AUC and PR-AUC are in Table 12, and the two constant baselines are omitted because no threshold changes a constant score. Source: author's analysis of MSHA open data.</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shd w:val="clear" w:color="auto" w:fill="E7E6E6"/>
          </w:tcPr>
          <w:p>
            <w:pPr>
              <w:jc w:val="left"/>
            </w:pPr>
            <w:r>
              <w:rPr>
                <w:b/>
              </w:rPr>
            </w:r>
            <w:r>
              <w:rPr>
                <w:rFonts w:ascii="Times New Roman" w:hAnsi="Times New Roman"/>
                <w:b/>
                <w:sz w:val="21"/>
              </w:rPr>
              <w:t>Model</w:t>
            </w:r>
          </w:p>
        </w:tc>
        <w:tc>
          <w:tcPr>
            <w:tcW w:type="dxa" w:w="903"/>
            <w:shd w:val="clear" w:color="auto" w:fill="E7E6E6"/>
          </w:tcPr>
          <w:p>
            <w:pPr>
              <w:jc w:val="left"/>
            </w:pPr>
            <w:r>
              <w:rPr>
                <w:b/>
              </w:rPr>
            </w:r>
            <w:r>
              <w:rPr>
                <w:rFonts w:ascii="Times New Roman" w:hAnsi="Times New Roman"/>
                <w:b/>
                <w:sz w:val="21"/>
              </w:rPr>
              <w:t>Threshold</w:t>
            </w:r>
          </w:p>
        </w:tc>
        <w:tc>
          <w:tcPr>
            <w:tcW w:type="dxa" w:w="903"/>
            <w:shd w:val="clear" w:color="auto" w:fill="E7E6E6"/>
          </w:tcPr>
          <w:p>
            <w:pPr>
              <w:jc w:val="left"/>
            </w:pPr>
            <w:r>
              <w:rPr>
                <w:b/>
              </w:rPr>
            </w:r>
            <w:r>
              <w:rPr>
                <w:rFonts w:ascii="Times New Roman" w:hAnsi="Times New Roman"/>
                <w:b/>
                <w:sz w:val="21"/>
              </w:rPr>
              <w:t>Flag rate</w:t>
            </w:r>
          </w:p>
        </w:tc>
        <w:tc>
          <w:tcPr>
            <w:tcW w:type="dxa" w:w="903"/>
            <w:shd w:val="clear" w:color="auto" w:fill="E7E6E6"/>
          </w:tcPr>
          <w:p>
            <w:pPr>
              <w:jc w:val="left"/>
            </w:pPr>
            <w:r>
              <w:rPr>
                <w:b/>
              </w:rPr>
            </w:r>
            <w:r>
              <w:rPr>
                <w:rFonts w:ascii="Times New Roman" w:hAnsi="Times New Roman"/>
                <w:b/>
                <w:sz w:val="21"/>
              </w:rPr>
              <w:t>TPR (recall)</w:t>
            </w:r>
          </w:p>
        </w:tc>
        <w:tc>
          <w:tcPr>
            <w:tcW w:type="dxa" w:w="903"/>
            <w:shd w:val="clear" w:color="auto" w:fill="E7E6E6"/>
          </w:tcPr>
          <w:p>
            <w:pPr>
              <w:jc w:val="left"/>
            </w:pPr>
            <w:r>
              <w:rPr>
                <w:b/>
              </w:rPr>
            </w:r>
            <w:r>
              <w:rPr>
                <w:rFonts w:ascii="Times New Roman" w:hAnsi="Times New Roman"/>
                <w:b/>
                <w:sz w:val="21"/>
              </w:rPr>
              <w:t>TNR</w:t>
            </w:r>
          </w:p>
        </w:tc>
        <w:tc>
          <w:tcPr>
            <w:tcW w:type="dxa" w:w="903"/>
            <w:shd w:val="clear" w:color="auto" w:fill="E7E6E6"/>
          </w:tcPr>
          <w:p>
            <w:pPr>
              <w:jc w:val="left"/>
            </w:pPr>
            <w:r>
              <w:rPr>
                <w:b/>
              </w:rPr>
            </w:r>
            <w:r>
              <w:rPr>
                <w:rFonts w:ascii="Times New Roman" w:hAnsi="Times New Roman"/>
                <w:b/>
                <w:sz w:val="21"/>
              </w:rPr>
              <w:t>Precision</w:t>
            </w:r>
          </w:p>
        </w:tc>
        <w:tc>
          <w:tcPr>
            <w:tcW w:type="dxa" w:w="903"/>
            <w:shd w:val="clear" w:color="auto" w:fill="E7E6E6"/>
          </w:tcPr>
          <w:p>
            <w:pPr>
              <w:jc w:val="left"/>
            </w:pPr>
            <w:r>
              <w:rPr>
                <w:b/>
              </w:rPr>
            </w:r>
            <w:r>
              <w:rPr>
                <w:rFonts w:ascii="Times New Roman" w:hAnsi="Times New Roman"/>
                <w:b/>
                <w:sz w:val="21"/>
              </w:rPr>
              <w:t>F1</w:t>
            </w:r>
          </w:p>
        </w:tc>
        <w:tc>
          <w:tcPr>
            <w:tcW w:type="dxa" w:w="903"/>
            <w:shd w:val="clear" w:color="auto" w:fill="E7E6E6"/>
          </w:tcPr>
          <w:p>
            <w:pPr>
              <w:jc w:val="left"/>
            </w:pPr>
            <w:r>
              <w:rPr>
                <w:b/>
              </w:rPr>
            </w:r>
            <w:r>
              <w:rPr>
                <w:rFonts w:ascii="Times New Roman" w:hAnsi="Times New Roman"/>
                <w:b/>
                <w:sz w:val="21"/>
              </w:rPr>
              <w:t>Balanced accuracy</w:t>
            </w:r>
          </w:p>
        </w:tc>
        <w:tc>
          <w:tcPr>
            <w:tcW w:type="dxa" w:w="903"/>
            <w:shd w:val="clear" w:color="auto" w:fill="E7E6E6"/>
          </w:tcPr>
          <w:p>
            <w:pPr>
              <w:jc w:val="left"/>
            </w:pPr>
            <w:r>
              <w:rPr>
                <w:b/>
              </w:rPr>
            </w:r>
            <w:r>
              <w:rPr>
                <w:rFonts w:ascii="Times New Roman" w:hAnsi="Times New Roman"/>
                <w:b/>
                <w:sz w:val="21"/>
              </w:rPr>
              <w:t>MCC</w:t>
            </w:r>
          </w:p>
        </w:tc>
        <w:tc>
          <w:tcPr>
            <w:tcW w:type="dxa" w:w="903"/>
            <w:shd w:val="clear" w:color="auto" w:fill="E7E6E6"/>
          </w:tcPr>
          <w:p>
            <w:pPr>
              <w:jc w:val="left"/>
            </w:pPr>
            <w:r>
              <w:rPr>
                <w:b/>
              </w:rPr>
            </w:r>
            <w:r>
              <w:rPr>
                <w:rFonts w:ascii="Times New Roman" w:hAnsi="Times New Roman"/>
                <w:b/>
                <w:sz w:val="21"/>
              </w:rPr>
              <w:t>Brier</w:t>
            </w:r>
          </w:p>
        </w:tc>
      </w:tr>
      <w:tr>
        <w:tc>
          <w:tcPr>
            <w:tcW w:type="dxa" w:w="903"/>
          </w:tcPr>
          <w:p>
            <w:pPr>
              <w:spacing w:after="0"/>
              <w:jc w:val="left"/>
            </w:pPr>
            <w:r/>
            <w:r>
              <w:rPr>
                <w:rFonts w:ascii="Times New Roman" w:hAnsi="Times New Roman"/>
                <w:sz w:val="21"/>
              </w:rPr>
              <w:t>HGB</w:t>
            </w:r>
          </w:p>
        </w:tc>
        <w:tc>
          <w:tcPr>
            <w:tcW w:type="dxa" w:w="903"/>
          </w:tcPr>
          <w:p>
            <w:pPr>
              <w:spacing w:after="0"/>
              <w:jc w:val="left"/>
            </w:pPr>
            <w:r/>
            <w:r>
              <w:rPr>
                <w:rFonts w:ascii="Times New Roman" w:hAnsi="Times New Roman"/>
                <w:sz w:val="21"/>
              </w:rPr>
              <w:t>0.210</w:t>
            </w:r>
          </w:p>
        </w:tc>
        <w:tc>
          <w:tcPr>
            <w:tcW w:type="dxa" w:w="903"/>
          </w:tcPr>
          <w:p>
            <w:pPr>
              <w:spacing w:after="0"/>
              <w:jc w:val="left"/>
            </w:pPr>
            <w:r/>
            <w:r>
              <w:rPr>
                <w:rFonts w:ascii="Times New Roman" w:hAnsi="Times New Roman"/>
                <w:sz w:val="21"/>
              </w:rPr>
              <w:t>0.765</w:t>
            </w:r>
          </w:p>
        </w:tc>
        <w:tc>
          <w:tcPr>
            <w:tcW w:type="dxa" w:w="903"/>
          </w:tcPr>
          <w:p>
            <w:pPr>
              <w:spacing w:after="0"/>
              <w:jc w:val="left"/>
            </w:pPr>
            <w:r/>
            <w:r>
              <w:rPr>
                <w:rFonts w:ascii="Times New Roman" w:hAnsi="Times New Roman"/>
                <w:sz w:val="21"/>
              </w:rPr>
              <w:t>0.943</w:t>
            </w:r>
          </w:p>
        </w:tc>
        <w:tc>
          <w:tcPr>
            <w:tcW w:type="dxa" w:w="903"/>
          </w:tcPr>
          <w:p>
            <w:pPr>
              <w:spacing w:after="0"/>
              <w:jc w:val="left"/>
            </w:pPr>
            <w:r/>
            <w:r>
              <w:rPr>
                <w:rFonts w:ascii="Times New Roman" w:hAnsi="Times New Roman"/>
                <w:sz w:val="21"/>
              </w:rPr>
              <w:t>0.403</w:t>
            </w:r>
          </w:p>
        </w:tc>
        <w:tc>
          <w:tcPr>
            <w:tcW w:type="dxa" w:w="903"/>
          </w:tcPr>
          <w:p>
            <w:pPr>
              <w:spacing w:after="0"/>
              <w:jc w:val="left"/>
            </w:pPr>
            <w:r/>
            <w:r>
              <w:rPr>
                <w:rFonts w:ascii="Times New Roman" w:hAnsi="Times New Roman"/>
                <w:sz w:val="21"/>
              </w:rPr>
              <w:t>0.599</w:t>
            </w:r>
          </w:p>
        </w:tc>
        <w:tc>
          <w:tcPr>
            <w:tcW w:type="dxa" w:w="903"/>
          </w:tcPr>
          <w:p>
            <w:pPr>
              <w:spacing w:after="0"/>
              <w:jc w:val="left"/>
            </w:pPr>
            <w:r/>
            <w:r>
              <w:rPr>
                <w:rFonts w:ascii="Times New Roman" w:hAnsi="Times New Roman"/>
                <w:sz w:val="21"/>
              </w:rPr>
              <w:t>0.733</w:t>
            </w:r>
          </w:p>
        </w:tc>
        <w:tc>
          <w:tcPr>
            <w:tcW w:type="dxa" w:w="903"/>
          </w:tcPr>
          <w:p>
            <w:pPr>
              <w:spacing w:after="0"/>
              <w:jc w:val="left"/>
            </w:pPr>
            <w:r/>
            <w:r>
              <w:rPr>
                <w:rFonts w:ascii="Times New Roman" w:hAnsi="Times New Roman"/>
                <w:sz w:val="21"/>
              </w:rPr>
              <w:t>0.673</w:t>
            </w:r>
          </w:p>
        </w:tc>
        <w:tc>
          <w:tcPr>
            <w:tcW w:type="dxa" w:w="903"/>
          </w:tcPr>
          <w:p>
            <w:pPr>
              <w:spacing w:after="0"/>
              <w:jc w:val="left"/>
            </w:pPr>
            <w:r/>
            <w:r>
              <w:rPr>
                <w:rFonts w:ascii="Times New Roman" w:hAnsi="Times New Roman"/>
                <w:sz w:val="21"/>
              </w:rPr>
              <w:t>0.409</w:t>
            </w:r>
          </w:p>
        </w:tc>
        <w:tc>
          <w:tcPr>
            <w:tcW w:type="dxa" w:w="903"/>
          </w:tcPr>
          <w:p>
            <w:pPr>
              <w:spacing w:after="0"/>
              <w:jc w:val="left"/>
            </w:pPr>
            <w:r/>
            <w:r>
              <w:rPr>
                <w:rFonts w:ascii="Times New Roman" w:hAnsi="Times New Roman"/>
                <w:sz w:val="21"/>
              </w:rPr>
              <w:t>0.161</w:t>
            </w:r>
          </w:p>
        </w:tc>
      </w:tr>
      <w:tr>
        <w:tc>
          <w:tcPr>
            <w:tcW w:type="dxa" w:w="903"/>
          </w:tcPr>
          <w:p>
            <w:pPr>
              <w:spacing w:after="0"/>
              <w:jc w:val="left"/>
            </w:pPr>
            <w:r/>
            <w:r>
              <w:rPr>
                <w:rFonts w:ascii="Times New Roman" w:hAnsi="Times New Roman"/>
                <w:sz w:val="21"/>
              </w:rPr>
              <w:t>MLP</w:t>
            </w:r>
          </w:p>
        </w:tc>
        <w:tc>
          <w:tcPr>
            <w:tcW w:type="dxa" w:w="903"/>
          </w:tcPr>
          <w:p>
            <w:pPr>
              <w:spacing w:after="0"/>
              <w:jc w:val="left"/>
            </w:pPr>
            <w:r/>
            <w:r>
              <w:rPr>
                <w:rFonts w:ascii="Times New Roman" w:hAnsi="Times New Roman"/>
                <w:sz w:val="21"/>
              </w:rPr>
              <w:t>0.187</w:t>
            </w:r>
          </w:p>
        </w:tc>
        <w:tc>
          <w:tcPr>
            <w:tcW w:type="dxa" w:w="903"/>
          </w:tcPr>
          <w:p>
            <w:pPr>
              <w:spacing w:after="0"/>
              <w:jc w:val="left"/>
            </w:pPr>
            <w:r/>
            <w:r>
              <w:rPr>
                <w:rFonts w:ascii="Times New Roman" w:hAnsi="Times New Roman"/>
                <w:sz w:val="21"/>
              </w:rPr>
              <w:t>0.783</w:t>
            </w:r>
          </w:p>
        </w:tc>
        <w:tc>
          <w:tcPr>
            <w:tcW w:type="dxa" w:w="903"/>
          </w:tcPr>
          <w:p>
            <w:pPr>
              <w:spacing w:after="0"/>
              <w:jc w:val="left"/>
            </w:pPr>
            <w:r/>
            <w:r>
              <w:rPr>
                <w:rFonts w:ascii="Times New Roman" w:hAnsi="Times New Roman"/>
                <w:sz w:val="21"/>
              </w:rPr>
              <w:t>0.948</w:t>
            </w:r>
          </w:p>
        </w:tc>
        <w:tc>
          <w:tcPr>
            <w:tcW w:type="dxa" w:w="903"/>
          </w:tcPr>
          <w:p>
            <w:pPr>
              <w:spacing w:after="0"/>
              <w:jc w:val="left"/>
            </w:pPr>
            <w:r/>
            <w:r>
              <w:rPr>
                <w:rFonts w:ascii="Times New Roman" w:hAnsi="Times New Roman"/>
                <w:sz w:val="21"/>
              </w:rPr>
              <w:t>0.373</w:t>
            </w:r>
          </w:p>
        </w:tc>
        <w:tc>
          <w:tcPr>
            <w:tcW w:type="dxa" w:w="903"/>
          </w:tcPr>
          <w:p>
            <w:pPr>
              <w:spacing w:after="0"/>
              <w:jc w:val="left"/>
            </w:pPr>
            <w:r/>
            <w:r>
              <w:rPr>
                <w:rFonts w:ascii="Times New Roman" w:hAnsi="Times New Roman"/>
                <w:sz w:val="21"/>
              </w:rPr>
              <w:t>0.588</w:t>
            </w:r>
          </w:p>
        </w:tc>
        <w:tc>
          <w:tcPr>
            <w:tcW w:type="dxa" w:w="903"/>
          </w:tcPr>
          <w:p>
            <w:pPr>
              <w:spacing w:after="0"/>
              <w:jc w:val="left"/>
            </w:pPr>
            <w:r/>
            <w:r>
              <w:rPr>
                <w:rFonts w:ascii="Times New Roman" w:hAnsi="Times New Roman"/>
                <w:sz w:val="21"/>
              </w:rPr>
              <w:t>0.726</w:t>
            </w:r>
          </w:p>
        </w:tc>
        <w:tc>
          <w:tcPr>
            <w:tcW w:type="dxa" w:w="903"/>
          </w:tcPr>
          <w:p>
            <w:pPr>
              <w:spacing w:after="0"/>
              <w:jc w:val="left"/>
            </w:pPr>
            <w:r/>
            <w:r>
              <w:rPr>
                <w:rFonts w:ascii="Times New Roman" w:hAnsi="Times New Roman"/>
                <w:sz w:val="21"/>
              </w:rPr>
              <w:t>0.660</w:t>
            </w:r>
          </w:p>
        </w:tc>
        <w:tc>
          <w:tcPr>
            <w:tcW w:type="dxa" w:w="903"/>
          </w:tcPr>
          <w:p>
            <w:pPr>
              <w:spacing w:after="0"/>
              <w:jc w:val="left"/>
            </w:pPr>
            <w:r/>
            <w:r>
              <w:rPr>
                <w:rFonts w:ascii="Times New Roman" w:hAnsi="Times New Roman"/>
                <w:sz w:val="21"/>
              </w:rPr>
              <w:t>0.389</w:t>
            </w:r>
          </w:p>
        </w:tc>
        <w:tc>
          <w:tcPr>
            <w:tcW w:type="dxa" w:w="903"/>
          </w:tcPr>
          <w:p>
            <w:pPr>
              <w:spacing w:after="0"/>
              <w:jc w:val="left"/>
            </w:pPr>
            <w:r/>
            <w:r>
              <w:rPr>
                <w:rFonts w:ascii="Times New Roman" w:hAnsi="Times New Roman"/>
                <w:sz w:val="21"/>
              </w:rPr>
              <w:t>0.163</w:t>
            </w:r>
          </w:p>
        </w:tc>
      </w:tr>
      <w:tr>
        <w:tc>
          <w:tcPr>
            <w:tcW w:type="dxa" w:w="903"/>
          </w:tcPr>
          <w:p>
            <w:pPr>
              <w:spacing w:after="0"/>
              <w:jc w:val="left"/>
            </w:pPr>
            <w:r/>
            <w:r>
              <w:rPr>
                <w:rFonts w:ascii="Times New Roman" w:hAnsi="Times New Roman"/>
                <w:sz w:val="21"/>
              </w:rPr>
              <w:t>Random forest</w:t>
            </w:r>
          </w:p>
        </w:tc>
        <w:tc>
          <w:tcPr>
            <w:tcW w:type="dxa" w:w="903"/>
          </w:tcPr>
          <w:p>
            <w:pPr>
              <w:spacing w:after="0"/>
              <w:jc w:val="left"/>
            </w:pPr>
            <w:r/>
            <w:r>
              <w:rPr>
                <w:rFonts w:ascii="Times New Roman" w:hAnsi="Times New Roman"/>
                <w:sz w:val="21"/>
              </w:rPr>
              <w:t>0.290</w:t>
            </w:r>
          </w:p>
        </w:tc>
        <w:tc>
          <w:tcPr>
            <w:tcW w:type="dxa" w:w="903"/>
          </w:tcPr>
          <w:p>
            <w:pPr>
              <w:spacing w:after="0"/>
              <w:jc w:val="left"/>
            </w:pPr>
            <w:r/>
            <w:r>
              <w:rPr>
                <w:rFonts w:ascii="Times New Roman" w:hAnsi="Times New Roman"/>
                <w:sz w:val="21"/>
              </w:rPr>
              <w:t>0.759</w:t>
            </w:r>
          </w:p>
        </w:tc>
        <w:tc>
          <w:tcPr>
            <w:tcW w:type="dxa" w:w="903"/>
          </w:tcPr>
          <w:p>
            <w:pPr>
              <w:spacing w:after="0"/>
              <w:jc w:val="left"/>
            </w:pPr>
            <w:r/>
            <w:r>
              <w:rPr>
                <w:rFonts w:ascii="Times New Roman" w:hAnsi="Times New Roman"/>
                <w:sz w:val="21"/>
              </w:rPr>
              <w:t>0.935</w:t>
            </w:r>
          </w:p>
        </w:tc>
        <w:tc>
          <w:tcPr>
            <w:tcW w:type="dxa" w:w="903"/>
          </w:tcPr>
          <w:p>
            <w:pPr>
              <w:spacing w:after="0"/>
              <w:jc w:val="left"/>
            </w:pPr>
            <w:r/>
            <w:r>
              <w:rPr>
                <w:rFonts w:ascii="Times New Roman" w:hAnsi="Times New Roman"/>
                <w:sz w:val="21"/>
              </w:rPr>
              <w:t>0.408</w:t>
            </w:r>
          </w:p>
        </w:tc>
        <w:tc>
          <w:tcPr>
            <w:tcW w:type="dxa" w:w="903"/>
          </w:tcPr>
          <w:p>
            <w:pPr>
              <w:spacing w:after="0"/>
              <w:jc w:val="left"/>
            </w:pPr>
            <w:r/>
            <w:r>
              <w:rPr>
                <w:rFonts w:ascii="Times New Roman" w:hAnsi="Times New Roman"/>
                <w:sz w:val="21"/>
              </w:rPr>
              <w:t>0.599</w:t>
            </w:r>
          </w:p>
        </w:tc>
        <w:tc>
          <w:tcPr>
            <w:tcW w:type="dxa" w:w="903"/>
          </w:tcPr>
          <w:p>
            <w:pPr>
              <w:spacing w:after="0"/>
              <w:jc w:val="left"/>
            </w:pPr>
            <w:r/>
            <w:r>
              <w:rPr>
                <w:rFonts w:ascii="Times New Roman" w:hAnsi="Times New Roman"/>
                <w:sz w:val="21"/>
              </w:rPr>
              <w:t>0.730</w:t>
            </w:r>
          </w:p>
        </w:tc>
        <w:tc>
          <w:tcPr>
            <w:tcW w:type="dxa" w:w="903"/>
          </w:tcPr>
          <w:p>
            <w:pPr>
              <w:spacing w:after="0"/>
              <w:jc w:val="left"/>
            </w:pPr>
            <w:r/>
            <w:r>
              <w:rPr>
                <w:rFonts w:ascii="Times New Roman" w:hAnsi="Times New Roman"/>
                <w:sz w:val="21"/>
              </w:rPr>
              <w:t>0.672</w:t>
            </w:r>
          </w:p>
        </w:tc>
        <w:tc>
          <w:tcPr>
            <w:tcW w:type="dxa" w:w="903"/>
          </w:tcPr>
          <w:p>
            <w:pPr>
              <w:spacing w:after="0"/>
              <w:jc w:val="left"/>
            </w:pPr>
            <w:r/>
            <w:r>
              <w:rPr>
                <w:rFonts w:ascii="Times New Roman" w:hAnsi="Times New Roman"/>
                <w:sz w:val="21"/>
              </w:rPr>
              <w:t>0.401</w:t>
            </w:r>
          </w:p>
        </w:tc>
        <w:tc>
          <w:tcPr>
            <w:tcW w:type="dxa" w:w="903"/>
          </w:tcPr>
          <w:p>
            <w:pPr>
              <w:spacing w:after="0"/>
              <w:jc w:val="left"/>
            </w:pPr>
            <w:r/>
            <w:r>
              <w:rPr>
                <w:rFonts w:ascii="Times New Roman" w:hAnsi="Times New Roman"/>
                <w:sz w:val="21"/>
              </w:rPr>
              <w:t>0.170</w:t>
            </w:r>
          </w:p>
        </w:tc>
      </w:tr>
      <w:tr>
        <w:tc>
          <w:tcPr>
            <w:tcW w:type="dxa" w:w="903"/>
          </w:tcPr>
          <w:p>
            <w:pPr>
              <w:spacing w:after="0"/>
              <w:jc w:val="left"/>
            </w:pPr>
            <w:r/>
            <w:r>
              <w:rPr>
                <w:rFonts w:ascii="Times New Roman" w:hAnsi="Times New Roman"/>
                <w:sz w:val="21"/>
              </w:rPr>
              <w:t>Logistic regression</w:t>
            </w:r>
          </w:p>
        </w:tc>
        <w:tc>
          <w:tcPr>
            <w:tcW w:type="dxa" w:w="903"/>
          </w:tcPr>
          <w:p>
            <w:pPr>
              <w:spacing w:after="0"/>
              <w:jc w:val="left"/>
            </w:pPr>
            <w:r/>
            <w:r>
              <w:rPr>
                <w:rFonts w:ascii="Times New Roman" w:hAnsi="Times New Roman"/>
                <w:sz w:val="21"/>
              </w:rPr>
              <w:t>0.222</w:t>
            </w:r>
          </w:p>
        </w:tc>
        <w:tc>
          <w:tcPr>
            <w:tcW w:type="dxa" w:w="903"/>
          </w:tcPr>
          <w:p>
            <w:pPr>
              <w:spacing w:after="0"/>
              <w:jc w:val="left"/>
            </w:pPr>
            <w:r/>
            <w:r>
              <w:rPr>
                <w:rFonts w:ascii="Times New Roman" w:hAnsi="Times New Roman"/>
                <w:sz w:val="21"/>
              </w:rPr>
              <w:t>0.760</w:t>
            </w:r>
          </w:p>
        </w:tc>
        <w:tc>
          <w:tcPr>
            <w:tcW w:type="dxa" w:w="903"/>
          </w:tcPr>
          <w:p>
            <w:pPr>
              <w:spacing w:after="0"/>
              <w:jc w:val="left"/>
            </w:pPr>
            <w:r/>
            <w:r>
              <w:rPr>
                <w:rFonts w:ascii="Times New Roman" w:hAnsi="Times New Roman"/>
                <w:sz w:val="21"/>
              </w:rPr>
              <w:t>0.934</w:t>
            </w:r>
          </w:p>
        </w:tc>
        <w:tc>
          <w:tcPr>
            <w:tcW w:type="dxa" w:w="903"/>
          </w:tcPr>
          <w:p>
            <w:pPr>
              <w:spacing w:after="0"/>
              <w:jc w:val="left"/>
            </w:pPr>
            <w:r/>
            <w:r>
              <w:rPr>
                <w:rFonts w:ascii="Times New Roman" w:hAnsi="Times New Roman"/>
                <w:sz w:val="21"/>
              </w:rPr>
              <w:t>0.405</w:t>
            </w:r>
          </w:p>
        </w:tc>
        <w:tc>
          <w:tcPr>
            <w:tcW w:type="dxa" w:w="903"/>
          </w:tcPr>
          <w:p>
            <w:pPr>
              <w:spacing w:after="0"/>
              <w:jc w:val="left"/>
            </w:pPr>
            <w:r/>
            <w:r>
              <w:rPr>
                <w:rFonts w:ascii="Times New Roman" w:hAnsi="Times New Roman"/>
                <w:sz w:val="21"/>
              </w:rPr>
              <w:t>0.597</w:t>
            </w:r>
          </w:p>
        </w:tc>
        <w:tc>
          <w:tcPr>
            <w:tcW w:type="dxa" w:w="903"/>
          </w:tcPr>
          <w:p>
            <w:pPr>
              <w:spacing w:after="0"/>
              <w:jc w:val="left"/>
            </w:pPr>
            <w:r/>
            <w:r>
              <w:rPr>
                <w:rFonts w:ascii="Times New Roman" w:hAnsi="Times New Roman"/>
                <w:sz w:val="21"/>
              </w:rPr>
              <w:t>0.728</w:t>
            </w:r>
          </w:p>
        </w:tc>
        <w:tc>
          <w:tcPr>
            <w:tcW w:type="dxa" w:w="903"/>
          </w:tcPr>
          <w:p>
            <w:pPr>
              <w:spacing w:after="0"/>
              <w:jc w:val="left"/>
            </w:pPr>
            <w:r/>
            <w:r>
              <w:rPr>
                <w:rFonts w:ascii="Times New Roman" w:hAnsi="Times New Roman"/>
                <w:sz w:val="21"/>
              </w:rPr>
              <w:t>0.669</w:t>
            </w:r>
          </w:p>
        </w:tc>
        <w:tc>
          <w:tcPr>
            <w:tcW w:type="dxa" w:w="903"/>
          </w:tcPr>
          <w:p>
            <w:pPr>
              <w:spacing w:after="0"/>
              <w:jc w:val="left"/>
            </w:pPr>
            <w:r/>
            <w:r>
              <w:rPr>
                <w:rFonts w:ascii="Times New Roman" w:hAnsi="Times New Roman"/>
                <w:sz w:val="21"/>
              </w:rPr>
              <w:t>0.396</w:t>
            </w:r>
          </w:p>
        </w:tc>
        <w:tc>
          <w:tcPr>
            <w:tcW w:type="dxa" w:w="903"/>
          </w:tcPr>
          <w:p>
            <w:pPr>
              <w:spacing w:after="0"/>
              <w:jc w:val="left"/>
            </w:pPr>
            <w:r/>
            <w:r>
              <w:rPr>
                <w:rFonts w:ascii="Times New Roman" w:hAnsi="Times New Roman"/>
                <w:sz w:val="21"/>
              </w:rPr>
              <w:t>0.169</w:t>
            </w:r>
          </w:p>
        </w:tc>
      </w:tr>
      <w:tr>
        <w:tc>
          <w:tcPr>
            <w:tcW w:type="dxa" w:w="903"/>
          </w:tcPr>
          <w:p>
            <w:pPr>
              <w:spacing w:after="0"/>
              <w:jc w:val="left"/>
            </w:pPr>
            <w:r/>
            <w:r>
              <w:rPr>
                <w:rFonts w:ascii="Times New Roman" w:hAnsi="Times New Roman"/>
                <w:sz w:val="21"/>
              </w:rPr>
              <w:t>SVM, RBF kernel</w:t>
            </w:r>
          </w:p>
        </w:tc>
        <w:tc>
          <w:tcPr>
            <w:tcW w:type="dxa" w:w="903"/>
          </w:tcPr>
          <w:p>
            <w:pPr>
              <w:spacing w:after="0"/>
              <w:jc w:val="left"/>
            </w:pPr>
            <w:r/>
            <w:r>
              <w:rPr>
                <w:rFonts w:ascii="Times New Roman" w:hAnsi="Times New Roman"/>
                <w:sz w:val="21"/>
              </w:rPr>
              <w:t>0.237</w:t>
            </w:r>
          </w:p>
        </w:tc>
        <w:tc>
          <w:tcPr>
            <w:tcW w:type="dxa" w:w="903"/>
          </w:tcPr>
          <w:p>
            <w:pPr>
              <w:spacing w:after="0"/>
              <w:jc w:val="left"/>
            </w:pPr>
            <w:r/>
            <w:r>
              <w:rPr>
                <w:rFonts w:ascii="Times New Roman" w:hAnsi="Times New Roman"/>
                <w:sz w:val="21"/>
              </w:rPr>
              <w:t>0.753</w:t>
            </w:r>
          </w:p>
        </w:tc>
        <w:tc>
          <w:tcPr>
            <w:tcW w:type="dxa" w:w="903"/>
          </w:tcPr>
          <w:p>
            <w:pPr>
              <w:spacing w:after="0"/>
              <w:jc w:val="left"/>
            </w:pPr>
            <w:r/>
            <w:r>
              <w:rPr>
                <w:rFonts w:ascii="Times New Roman" w:hAnsi="Times New Roman"/>
                <w:sz w:val="21"/>
              </w:rPr>
              <w:t>0.927</w:t>
            </w:r>
          </w:p>
        </w:tc>
        <w:tc>
          <w:tcPr>
            <w:tcW w:type="dxa" w:w="903"/>
          </w:tcPr>
          <w:p>
            <w:pPr>
              <w:spacing w:after="0"/>
              <w:jc w:val="left"/>
            </w:pPr>
            <w:r/>
            <w:r>
              <w:rPr>
                <w:rFonts w:ascii="Times New Roman" w:hAnsi="Times New Roman"/>
                <w:sz w:val="21"/>
              </w:rPr>
              <w:t>0.411</w:t>
            </w:r>
          </w:p>
        </w:tc>
        <w:tc>
          <w:tcPr>
            <w:tcW w:type="dxa" w:w="903"/>
          </w:tcPr>
          <w:p>
            <w:pPr>
              <w:spacing w:after="0"/>
              <w:jc w:val="left"/>
            </w:pPr>
            <w:r/>
            <w:r>
              <w:rPr>
                <w:rFonts w:ascii="Times New Roman" w:hAnsi="Times New Roman"/>
                <w:sz w:val="21"/>
              </w:rPr>
              <w:t>0.598</w:t>
            </w:r>
          </w:p>
        </w:tc>
        <w:tc>
          <w:tcPr>
            <w:tcW w:type="dxa" w:w="903"/>
          </w:tcPr>
          <w:p>
            <w:pPr>
              <w:spacing w:after="0"/>
              <w:jc w:val="left"/>
            </w:pPr>
            <w:r/>
            <w:r>
              <w:rPr>
                <w:rFonts w:ascii="Times New Roman" w:hAnsi="Times New Roman"/>
                <w:sz w:val="21"/>
              </w:rPr>
              <w:t>0.727</w:t>
            </w:r>
          </w:p>
        </w:tc>
        <w:tc>
          <w:tcPr>
            <w:tcW w:type="dxa" w:w="903"/>
          </w:tcPr>
          <w:p>
            <w:pPr>
              <w:spacing w:after="0"/>
              <w:jc w:val="left"/>
            </w:pPr>
            <w:r/>
            <w:r>
              <w:rPr>
                <w:rFonts w:ascii="Times New Roman" w:hAnsi="Times New Roman"/>
                <w:sz w:val="21"/>
              </w:rPr>
              <w:t>0.669</w:t>
            </w:r>
          </w:p>
        </w:tc>
        <w:tc>
          <w:tcPr>
            <w:tcW w:type="dxa" w:w="903"/>
          </w:tcPr>
          <w:p>
            <w:pPr>
              <w:spacing w:after="0"/>
              <w:jc w:val="left"/>
            </w:pPr>
            <w:r/>
            <w:r>
              <w:rPr>
                <w:rFonts w:ascii="Times New Roman" w:hAnsi="Times New Roman"/>
                <w:sz w:val="21"/>
              </w:rPr>
              <w:t>0.391</w:t>
            </w:r>
          </w:p>
        </w:tc>
        <w:tc>
          <w:tcPr>
            <w:tcW w:type="dxa" w:w="903"/>
          </w:tcPr>
          <w:p>
            <w:pPr>
              <w:spacing w:after="0"/>
              <w:jc w:val="left"/>
            </w:pPr>
            <w:r/>
            <w:r>
              <w:rPr>
                <w:rFonts w:ascii="Times New Roman" w:hAnsi="Times New Roman"/>
                <w:sz w:val="21"/>
              </w:rPr>
              <w:t>0.173</w:t>
            </w:r>
          </w:p>
        </w:tc>
      </w:tr>
      <w:tr>
        <w:tc>
          <w:tcPr>
            <w:tcW w:type="dxa" w:w="903"/>
          </w:tcPr>
          <w:p>
            <w:pPr>
              <w:spacing w:after="0"/>
              <w:jc w:val="left"/>
            </w:pPr>
            <w:r/>
            <w:r>
              <w:rPr>
                <w:rFonts w:ascii="Times New Roman" w:hAnsi="Times New Roman"/>
                <w:sz w:val="21"/>
              </w:rPr>
              <w:t>Decision tree</w:t>
            </w:r>
          </w:p>
        </w:tc>
        <w:tc>
          <w:tcPr>
            <w:tcW w:type="dxa" w:w="903"/>
          </w:tcPr>
          <w:p>
            <w:pPr>
              <w:spacing w:after="0"/>
              <w:jc w:val="left"/>
            </w:pPr>
            <w:r/>
            <w:r>
              <w:rPr>
                <w:rFonts w:ascii="Times New Roman" w:hAnsi="Times New Roman"/>
                <w:sz w:val="21"/>
              </w:rPr>
              <w:t>0.239</w:t>
            </w:r>
          </w:p>
        </w:tc>
        <w:tc>
          <w:tcPr>
            <w:tcW w:type="dxa" w:w="903"/>
          </w:tcPr>
          <w:p>
            <w:pPr>
              <w:spacing w:after="0"/>
              <w:jc w:val="left"/>
            </w:pPr>
            <w:r/>
            <w:r>
              <w:rPr>
                <w:rFonts w:ascii="Times New Roman" w:hAnsi="Times New Roman"/>
                <w:sz w:val="21"/>
              </w:rPr>
              <w:t>0.774</w:t>
            </w:r>
          </w:p>
        </w:tc>
        <w:tc>
          <w:tcPr>
            <w:tcW w:type="dxa" w:w="903"/>
          </w:tcPr>
          <w:p>
            <w:pPr>
              <w:spacing w:after="0"/>
              <w:jc w:val="left"/>
            </w:pPr>
            <w:r/>
            <w:r>
              <w:rPr>
                <w:rFonts w:ascii="Times New Roman" w:hAnsi="Times New Roman"/>
                <w:sz w:val="21"/>
              </w:rPr>
              <w:t>0.932</w:t>
            </w:r>
          </w:p>
        </w:tc>
        <w:tc>
          <w:tcPr>
            <w:tcW w:type="dxa" w:w="903"/>
          </w:tcPr>
          <w:p>
            <w:pPr>
              <w:spacing w:after="0"/>
              <w:jc w:val="left"/>
            </w:pPr>
            <w:r/>
            <w:r>
              <w:rPr>
                <w:rFonts w:ascii="Times New Roman" w:hAnsi="Times New Roman"/>
                <w:sz w:val="21"/>
              </w:rPr>
              <w:t>0.376</w:t>
            </w:r>
          </w:p>
        </w:tc>
        <w:tc>
          <w:tcPr>
            <w:tcW w:type="dxa" w:w="903"/>
          </w:tcPr>
          <w:p>
            <w:pPr>
              <w:spacing w:after="0"/>
              <w:jc w:val="left"/>
            </w:pPr>
            <w:r/>
            <w:r>
              <w:rPr>
                <w:rFonts w:ascii="Times New Roman" w:hAnsi="Times New Roman"/>
                <w:sz w:val="21"/>
              </w:rPr>
              <w:t>0.585</w:t>
            </w:r>
          </w:p>
        </w:tc>
        <w:tc>
          <w:tcPr>
            <w:tcW w:type="dxa" w:w="903"/>
          </w:tcPr>
          <w:p>
            <w:pPr>
              <w:spacing w:after="0"/>
              <w:jc w:val="left"/>
            </w:pPr>
            <w:r/>
            <w:r>
              <w:rPr>
                <w:rFonts w:ascii="Times New Roman" w:hAnsi="Times New Roman"/>
                <w:sz w:val="21"/>
              </w:rPr>
              <w:t>0.719</w:t>
            </w:r>
          </w:p>
        </w:tc>
        <w:tc>
          <w:tcPr>
            <w:tcW w:type="dxa" w:w="903"/>
          </w:tcPr>
          <w:p>
            <w:pPr>
              <w:spacing w:after="0"/>
              <w:jc w:val="left"/>
            </w:pPr>
            <w:r/>
            <w:r>
              <w:rPr>
                <w:rFonts w:ascii="Times New Roman" w:hAnsi="Times New Roman"/>
                <w:sz w:val="21"/>
              </w:rPr>
              <w:t>0.654</w:t>
            </w:r>
          </w:p>
        </w:tc>
        <w:tc>
          <w:tcPr>
            <w:tcW w:type="dxa" w:w="903"/>
          </w:tcPr>
          <w:p>
            <w:pPr>
              <w:spacing w:after="0"/>
              <w:jc w:val="left"/>
            </w:pPr>
            <w:r/>
            <w:r>
              <w:rPr>
                <w:rFonts w:ascii="Times New Roman" w:hAnsi="Times New Roman"/>
                <w:sz w:val="21"/>
              </w:rPr>
              <w:t>0.368</w:t>
            </w:r>
          </w:p>
        </w:tc>
        <w:tc>
          <w:tcPr>
            <w:tcW w:type="dxa" w:w="903"/>
          </w:tcPr>
          <w:p>
            <w:pPr>
              <w:spacing w:after="0"/>
              <w:jc w:val="left"/>
            </w:pPr>
            <w:r/>
            <w:r>
              <w:rPr>
                <w:rFonts w:ascii="Times New Roman" w:hAnsi="Times New Roman"/>
                <w:sz w:val="21"/>
              </w:rPr>
              <w:t>0.174</w:t>
            </w:r>
          </w:p>
        </w:tc>
      </w:tr>
      <w:tr>
        <w:tc>
          <w:tcPr>
            <w:tcW w:type="dxa" w:w="903"/>
          </w:tcPr>
          <w:p>
            <w:pPr>
              <w:spacing w:after="0"/>
              <w:jc w:val="left"/>
            </w:pPr>
            <w:r/>
            <w:r>
              <w:rPr>
                <w:rFonts w:ascii="Times New Roman" w:hAnsi="Times New Roman"/>
                <w:sz w:val="21"/>
              </w:rPr>
              <w:t>Lookup baseline (nature x body part x sector)</w:t>
            </w:r>
          </w:p>
        </w:tc>
        <w:tc>
          <w:tcPr>
            <w:tcW w:type="dxa" w:w="903"/>
          </w:tcPr>
          <w:p>
            <w:pPr>
              <w:spacing w:after="0"/>
              <w:jc w:val="left"/>
            </w:pPr>
            <w:r/>
            <w:r>
              <w:rPr>
                <w:rFonts w:ascii="Times New Roman" w:hAnsi="Times New Roman"/>
                <w:sz w:val="21"/>
              </w:rPr>
              <w:t>0.225</w:t>
            </w:r>
          </w:p>
        </w:tc>
        <w:tc>
          <w:tcPr>
            <w:tcW w:type="dxa" w:w="903"/>
          </w:tcPr>
          <w:p>
            <w:pPr>
              <w:spacing w:after="0"/>
              <w:jc w:val="left"/>
            </w:pPr>
            <w:r/>
            <w:r>
              <w:rPr>
                <w:rFonts w:ascii="Times New Roman" w:hAnsi="Times New Roman"/>
                <w:sz w:val="21"/>
              </w:rPr>
              <w:t>0.753</w:t>
            </w:r>
          </w:p>
        </w:tc>
        <w:tc>
          <w:tcPr>
            <w:tcW w:type="dxa" w:w="903"/>
          </w:tcPr>
          <w:p>
            <w:pPr>
              <w:spacing w:after="0"/>
              <w:jc w:val="left"/>
            </w:pPr>
            <w:r/>
            <w:r>
              <w:rPr>
                <w:rFonts w:ascii="Times New Roman" w:hAnsi="Times New Roman"/>
                <w:sz w:val="21"/>
              </w:rPr>
              <w:t>0.916</w:t>
            </w:r>
          </w:p>
        </w:tc>
        <w:tc>
          <w:tcPr>
            <w:tcW w:type="dxa" w:w="903"/>
          </w:tcPr>
          <w:p>
            <w:pPr>
              <w:spacing w:after="0"/>
              <w:jc w:val="left"/>
            </w:pPr>
            <w:r/>
            <w:r>
              <w:rPr>
                <w:rFonts w:ascii="Times New Roman" w:hAnsi="Times New Roman"/>
                <w:sz w:val="21"/>
              </w:rPr>
              <w:t>0.402</w:t>
            </w:r>
          </w:p>
        </w:tc>
        <w:tc>
          <w:tcPr>
            <w:tcW w:type="dxa" w:w="903"/>
          </w:tcPr>
          <w:p>
            <w:pPr>
              <w:spacing w:after="0"/>
              <w:jc w:val="left"/>
            </w:pPr>
            <w:r/>
            <w:r>
              <w:rPr>
                <w:rFonts w:ascii="Times New Roman" w:hAnsi="Times New Roman"/>
                <w:sz w:val="21"/>
              </w:rPr>
              <w:t>0.591</w:t>
            </w:r>
          </w:p>
        </w:tc>
        <w:tc>
          <w:tcPr>
            <w:tcW w:type="dxa" w:w="903"/>
          </w:tcPr>
          <w:p>
            <w:pPr>
              <w:spacing w:after="0"/>
              <w:jc w:val="left"/>
            </w:pPr>
            <w:r/>
            <w:r>
              <w:rPr>
                <w:rFonts w:ascii="Times New Roman" w:hAnsi="Times New Roman"/>
                <w:sz w:val="21"/>
              </w:rPr>
              <w:t>0.719</w:t>
            </w:r>
          </w:p>
        </w:tc>
        <w:tc>
          <w:tcPr>
            <w:tcW w:type="dxa" w:w="903"/>
          </w:tcPr>
          <w:p>
            <w:pPr>
              <w:spacing w:after="0"/>
              <w:jc w:val="left"/>
            </w:pPr>
            <w:r/>
            <w:r>
              <w:rPr>
                <w:rFonts w:ascii="Times New Roman" w:hAnsi="Times New Roman"/>
                <w:sz w:val="21"/>
              </w:rPr>
              <w:t>0.659</w:t>
            </w:r>
          </w:p>
        </w:tc>
        <w:tc>
          <w:tcPr>
            <w:tcW w:type="dxa" w:w="903"/>
          </w:tcPr>
          <w:p>
            <w:pPr>
              <w:spacing w:after="0"/>
              <w:jc w:val="left"/>
            </w:pPr>
            <w:r/>
            <w:r>
              <w:rPr>
                <w:rFonts w:ascii="Times New Roman" w:hAnsi="Times New Roman"/>
                <w:sz w:val="21"/>
              </w:rPr>
              <w:t>0.368</w:t>
            </w:r>
          </w:p>
        </w:tc>
        <w:tc>
          <w:tcPr>
            <w:tcW w:type="dxa" w:w="903"/>
          </w:tcPr>
          <w:p>
            <w:pPr>
              <w:spacing w:after="0"/>
              <w:jc w:val="left"/>
            </w:pPr>
            <w:r/>
            <w:r>
              <w:rPr>
                <w:rFonts w:ascii="Times New Roman" w:hAnsi="Times New Roman"/>
                <w:sz w:val="21"/>
              </w:rPr>
              <w:t>0.179</w:t>
            </w:r>
          </w:p>
        </w:tc>
      </w:tr>
      <w:tr>
        <w:tc>
          <w:tcPr>
            <w:tcW w:type="dxa" w:w="903"/>
          </w:tcPr>
          <w:p>
            <w:pPr>
              <w:spacing w:after="0"/>
              <w:jc w:val="left"/>
            </w:pPr>
            <w:r/>
            <w:r>
              <w:rPr>
                <w:rFonts w:ascii="Times New Roman" w:hAnsi="Times New Roman"/>
                <w:sz w:val="21"/>
              </w:rPr>
              <w:t>KNN</w:t>
            </w:r>
          </w:p>
        </w:tc>
        <w:tc>
          <w:tcPr>
            <w:tcW w:type="dxa" w:w="903"/>
          </w:tcPr>
          <w:p>
            <w:pPr>
              <w:spacing w:after="0"/>
              <w:jc w:val="left"/>
            </w:pPr>
            <w:r/>
            <w:r>
              <w:rPr>
                <w:rFonts w:ascii="Times New Roman" w:hAnsi="Times New Roman"/>
                <w:sz w:val="21"/>
              </w:rPr>
              <w:t>0.308</w:t>
            </w:r>
          </w:p>
        </w:tc>
        <w:tc>
          <w:tcPr>
            <w:tcW w:type="dxa" w:w="903"/>
          </w:tcPr>
          <w:p>
            <w:pPr>
              <w:spacing w:after="0"/>
              <w:jc w:val="left"/>
            </w:pPr>
            <w:r/>
            <w:r>
              <w:rPr>
                <w:rFonts w:ascii="Times New Roman" w:hAnsi="Times New Roman"/>
                <w:sz w:val="21"/>
              </w:rPr>
              <w:t>0.733</w:t>
            </w:r>
          </w:p>
        </w:tc>
        <w:tc>
          <w:tcPr>
            <w:tcW w:type="dxa" w:w="903"/>
          </w:tcPr>
          <w:p>
            <w:pPr>
              <w:spacing w:after="0"/>
              <w:jc w:val="left"/>
            </w:pPr>
            <w:r/>
            <w:r>
              <w:rPr>
                <w:rFonts w:ascii="Times New Roman" w:hAnsi="Times New Roman"/>
                <w:sz w:val="21"/>
              </w:rPr>
              <w:t>0.886</w:t>
            </w:r>
          </w:p>
        </w:tc>
        <w:tc>
          <w:tcPr>
            <w:tcW w:type="dxa" w:w="903"/>
          </w:tcPr>
          <w:p>
            <w:pPr>
              <w:spacing w:after="0"/>
              <w:jc w:val="left"/>
            </w:pPr>
            <w:r/>
            <w:r>
              <w:rPr>
                <w:rFonts w:ascii="Times New Roman" w:hAnsi="Times New Roman"/>
                <w:sz w:val="21"/>
              </w:rPr>
              <w:t>0.412</w:t>
            </w:r>
          </w:p>
        </w:tc>
        <w:tc>
          <w:tcPr>
            <w:tcW w:type="dxa" w:w="903"/>
          </w:tcPr>
          <w:p>
            <w:pPr>
              <w:spacing w:after="0"/>
              <w:jc w:val="left"/>
            </w:pPr>
            <w:r/>
            <w:r>
              <w:rPr>
                <w:rFonts w:ascii="Times New Roman" w:hAnsi="Times New Roman"/>
                <w:sz w:val="21"/>
              </w:rPr>
              <w:t>0.588</w:t>
            </w:r>
          </w:p>
        </w:tc>
        <w:tc>
          <w:tcPr>
            <w:tcW w:type="dxa" w:w="903"/>
          </w:tcPr>
          <w:p>
            <w:pPr>
              <w:spacing w:after="0"/>
              <w:jc w:val="left"/>
            </w:pPr>
            <w:r/>
            <w:r>
              <w:rPr>
                <w:rFonts w:ascii="Times New Roman" w:hAnsi="Times New Roman"/>
                <w:sz w:val="21"/>
              </w:rPr>
              <w:t>0.707</w:t>
            </w:r>
          </w:p>
        </w:tc>
        <w:tc>
          <w:tcPr>
            <w:tcW w:type="dxa" w:w="903"/>
          </w:tcPr>
          <w:p>
            <w:pPr>
              <w:spacing w:after="0"/>
              <w:jc w:val="left"/>
            </w:pPr>
            <w:r/>
            <w:r>
              <w:rPr>
                <w:rFonts w:ascii="Times New Roman" w:hAnsi="Times New Roman"/>
                <w:sz w:val="21"/>
              </w:rPr>
              <w:t>0.649</w:t>
            </w:r>
          </w:p>
        </w:tc>
        <w:tc>
          <w:tcPr>
            <w:tcW w:type="dxa" w:w="903"/>
          </w:tcPr>
          <w:p>
            <w:pPr>
              <w:spacing w:after="0"/>
              <w:jc w:val="left"/>
            </w:pPr>
            <w:r/>
            <w:r>
              <w:rPr>
                <w:rFonts w:ascii="Times New Roman" w:hAnsi="Times New Roman"/>
                <w:sz w:val="21"/>
              </w:rPr>
              <w:t>0.337</w:t>
            </w:r>
          </w:p>
        </w:tc>
        <w:tc>
          <w:tcPr>
            <w:tcW w:type="dxa" w:w="903"/>
          </w:tcPr>
          <w:p>
            <w:pPr>
              <w:spacing w:after="0"/>
              <w:jc w:val="left"/>
            </w:pPr>
            <w:r/>
            <w:r>
              <w:rPr>
                <w:rFonts w:ascii="Times New Roman" w:hAnsi="Times New Roman"/>
                <w:sz w:val="21"/>
              </w:rPr>
              <w:t>0.195</w:t>
            </w:r>
          </w:p>
        </w:tc>
      </w:tr>
      <w:tr>
        <w:tc>
          <w:tcPr>
            <w:tcW w:type="dxa" w:w="903"/>
          </w:tcPr>
          <w:p>
            <w:pPr>
              <w:spacing w:after="0"/>
              <w:jc w:val="left"/>
            </w:pPr>
            <w:r/>
            <w:r>
              <w:rPr>
                <w:rFonts w:ascii="Times New Roman" w:hAnsi="Times New Roman"/>
                <w:sz w:val="21"/>
              </w:rPr>
              <w:t>Gaussian naive Bayes</w:t>
            </w:r>
          </w:p>
        </w:tc>
        <w:tc>
          <w:tcPr>
            <w:tcW w:type="dxa" w:w="903"/>
          </w:tcPr>
          <w:p>
            <w:pPr>
              <w:spacing w:after="0"/>
              <w:jc w:val="left"/>
            </w:pPr>
            <w:r/>
            <w:r>
              <w:rPr>
                <w:rFonts w:ascii="Times New Roman" w:hAnsi="Times New Roman"/>
                <w:sz w:val="21"/>
              </w:rPr>
              <w:t>0.001</w:t>
            </w:r>
          </w:p>
        </w:tc>
        <w:tc>
          <w:tcPr>
            <w:tcW w:type="dxa" w:w="903"/>
          </w:tcPr>
          <w:p>
            <w:pPr>
              <w:spacing w:after="0"/>
              <w:jc w:val="left"/>
            </w:pPr>
            <w:r/>
            <w:r>
              <w:rPr>
                <w:rFonts w:ascii="Times New Roman" w:hAnsi="Times New Roman"/>
                <w:sz w:val="21"/>
              </w:rPr>
              <w:t>0.727</w:t>
            </w:r>
          </w:p>
        </w:tc>
        <w:tc>
          <w:tcPr>
            <w:tcW w:type="dxa" w:w="903"/>
          </w:tcPr>
          <w:p>
            <w:pPr>
              <w:spacing w:after="0"/>
              <w:jc w:val="left"/>
            </w:pPr>
            <w:r/>
            <w:r>
              <w:rPr>
                <w:rFonts w:ascii="Times New Roman" w:hAnsi="Times New Roman"/>
                <w:sz w:val="21"/>
              </w:rPr>
              <w:t>0.868</w:t>
            </w:r>
          </w:p>
        </w:tc>
        <w:tc>
          <w:tcPr>
            <w:tcW w:type="dxa" w:w="903"/>
          </w:tcPr>
          <w:p>
            <w:pPr>
              <w:spacing w:after="0"/>
              <w:jc w:val="left"/>
            </w:pPr>
            <w:r/>
            <w:r>
              <w:rPr>
                <w:rFonts w:ascii="Times New Roman" w:hAnsi="Times New Roman"/>
                <w:sz w:val="21"/>
              </w:rPr>
              <w:t>0.407</w:t>
            </w:r>
          </w:p>
        </w:tc>
        <w:tc>
          <w:tcPr>
            <w:tcW w:type="dxa" w:w="903"/>
          </w:tcPr>
          <w:p>
            <w:pPr>
              <w:spacing w:after="0"/>
              <w:jc w:val="left"/>
            </w:pPr>
            <w:r/>
            <w:r>
              <w:rPr>
                <w:rFonts w:ascii="Times New Roman" w:hAnsi="Times New Roman"/>
                <w:sz w:val="21"/>
              </w:rPr>
              <w:t>0.580</w:t>
            </w:r>
          </w:p>
        </w:tc>
        <w:tc>
          <w:tcPr>
            <w:tcW w:type="dxa" w:w="903"/>
          </w:tcPr>
          <w:p>
            <w:pPr>
              <w:spacing w:after="0"/>
              <w:jc w:val="left"/>
            </w:pPr>
            <w:r/>
            <w:r>
              <w:rPr>
                <w:rFonts w:ascii="Times New Roman" w:hAnsi="Times New Roman"/>
                <w:sz w:val="21"/>
              </w:rPr>
              <w:t>0.696</w:t>
            </w:r>
          </w:p>
        </w:tc>
        <w:tc>
          <w:tcPr>
            <w:tcW w:type="dxa" w:w="903"/>
          </w:tcPr>
          <w:p>
            <w:pPr>
              <w:spacing w:after="0"/>
              <w:jc w:val="left"/>
            </w:pPr>
            <w:r/>
            <w:r>
              <w:rPr>
                <w:rFonts w:ascii="Times New Roman" w:hAnsi="Times New Roman"/>
                <w:sz w:val="21"/>
              </w:rPr>
              <w:t>0.637</w:t>
            </w:r>
          </w:p>
        </w:tc>
        <w:tc>
          <w:tcPr>
            <w:tcW w:type="dxa" w:w="903"/>
          </w:tcPr>
          <w:p>
            <w:pPr>
              <w:spacing w:after="0"/>
              <w:jc w:val="left"/>
            </w:pPr>
            <w:r/>
            <w:r>
              <w:rPr>
                <w:rFonts w:ascii="Times New Roman" w:hAnsi="Times New Roman"/>
                <w:sz w:val="21"/>
              </w:rPr>
              <w:t>0.308</w:t>
            </w:r>
          </w:p>
        </w:tc>
        <w:tc>
          <w:tcPr>
            <w:tcW w:type="dxa" w:w="903"/>
          </w:tcPr>
          <w:p>
            <w:pPr>
              <w:spacing w:after="0"/>
              <w:jc w:val="left"/>
            </w:pPr>
            <w:r/>
            <w:r>
              <w:rPr>
                <w:rFonts w:ascii="Times New Roman" w:hAnsi="Times New Roman"/>
                <w:sz w:val="21"/>
              </w:rPr>
              <w:t>0.298</w:t>
            </w:r>
          </w:p>
        </w:tc>
      </w:tr>
      <w:tr>
        <w:tc>
          <w:tcPr>
            <w:tcW w:type="dxa" w:w="903"/>
          </w:tcPr>
          <w:p>
            <w:pPr>
              <w:spacing w:after="0"/>
              <w:jc w:val="left"/>
            </w:pPr>
            <w:r/>
            <w:r>
              <w:rPr>
                <w:rFonts w:ascii="Times New Roman" w:hAnsi="Times New Roman"/>
                <w:sz w:val="21"/>
              </w:rPr>
              <w:t>Baseline: hand rule (not a cut, dust in the eye or a scratch)</w:t>
            </w:r>
          </w:p>
        </w:tc>
        <w:tc>
          <w:tcPr>
            <w:tcW w:type="dxa" w:w="903"/>
          </w:tcPr>
          <w:p>
            <w:pPr>
              <w:spacing w:after="0"/>
              <w:jc w:val="left"/>
            </w:pPr>
            <w:r/>
            <w:r>
              <w:rPr>
                <w:rFonts w:ascii="Times New Roman" w:hAnsi="Times New Roman"/>
                <w:sz w:val="21"/>
              </w:rPr>
              <w:t>not applicable (fixed rule)</w:t>
            </w:r>
          </w:p>
        </w:tc>
        <w:tc>
          <w:tcPr>
            <w:tcW w:type="dxa" w:w="903"/>
          </w:tcPr>
          <w:p>
            <w:pPr>
              <w:spacing w:after="0"/>
              <w:jc w:val="left"/>
            </w:pPr>
            <w:r/>
            <w:r>
              <w:rPr>
                <w:rFonts w:ascii="Times New Roman" w:hAnsi="Times New Roman"/>
                <w:sz w:val="21"/>
              </w:rPr>
              <w:t>0.733</w:t>
            </w:r>
          </w:p>
        </w:tc>
        <w:tc>
          <w:tcPr>
            <w:tcW w:type="dxa" w:w="903"/>
          </w:tcPr>
          <w:p>
            <w:pPr>
              <w:spacing w:after="0"/>
              <w:jc w:val="left"/>
            </w:pPr>
            <w:r/>
            <w:r>
              <w:rPr>
                <w:rFonts w:ascii="Times New Roman" w:hAnsi="Times New Roman"/>
                <w:sz w:val="21"/>
              </w:rPr>
              <w:t>0.898</w:t>
            </w:r>
          </w:p>
        </w:tc>
        <w:tc>
          <w:tcPr>
            <w:tcW w:type="dxa" w:w="903"/>
          </w:tcPr>
          <w:p>
            <w:pPr>
              <w:spacing w:after="0"/>
              <w:jc w:val="left"/>
            </w:pPr>
            <w:r/>
            <w:r>
              <w:rPr>
                <w:rFonts w:ascii="Times New Roman" w:hAnsi="Times New Roman"/>
                <w:sz w:val="21"/>
              </w:rPr>
              <w:t>0.423</w:t>
            </w:r>
          </w:p>
        </w:tc>
        <w:tc>
          <w:tcPr>
            <w:tcW w:type="dxa" w:w="903"/>
          </w:tcPr>
          <w:p>
            <w:pPr>
              <w:spacing w:after="0"/>
              <w:jc w:val="left"/>
            </w:pPr>
            <w:r/>
            <w:r>
              <w:rPr>
                <w:rFonts w:ascii="Times New Roman" w:hAnsi="Times New Roman"/>
                <w:sz w:val="21"/>
              </w:rPr>
              <w:t>0.595</w:t>
            </w:r>
          </w:p>
        </w:tc>
        <w:tc>
          <w:tcPr>
            <w:tcW w:type="dxa" w:w="903"/>
          </w:tcPr>
          <w:p>
            <w:pPr>
              <w:spacing w:after="0"/>
              <w:jc w:val="left"/>
            </w:pPr>
            <w:r/>
            <w:r>
              <w:rPr>
                <w:rFonts w:ascii="Times New Roman" w:hAnsi="Times New Roman"/>
                <w:sz w:val="21"/>
              </w:rPr>
              <w:t>0.716</w:t>
            </w:r>
          </w:p>
        </w:tc>
        <w:tc>
          <w:tcPr>
            <w:tcW w:type="dxa" w:w="903"/>
          </w:tcPr>
          <w:p>
            <w:pPr>
              <w:spacing w:after="0"/>
              <w:jc w:val="left"/>
            </w:pPr>
            <w:r/>
            <w:r>
              <w:rPr>
                <w:rFonts w:ascii="Times New Roman" w:hAnsi="Times New Roman"/>
                <w:sz w:val="21"/>
              </w:rPr>
              <w:t>0.660</w:t>
            </w:r>
          </w:p>
        </w:tc>
        <w:tc>
          <w:tcPr>
            <w:tcW w:type="dxa" w:w="903"/>
          </w:tcPr>
          <w:p>
            <w:pPr>
              <w:spacing w:after="0"/>
              <w:jc w:val="left"/>
            </w:pPr>
            <w:r/>
            <w:r>
              <w:rPr>
                <w:rFonts w:ascii="Times New Roman" w:hAnsi="Times New Roman"/>
                <w:sz w:val="21"/>
              </w:rPr>
              <w:t>0.363</w:t>
            </w:r>
          </w:p>
        </w:tc>
        <w:tc>
          <w:tcPr>
            <w:tcW w:type="dxa" w:w="903"/>
          </w:tcPr>
          <w:p>
            <w:pPr>
              <w:spacing w:after="0"/>
              <w:jc w:val="left"/>
            </w:pPr>
            <w:r/>
            <w:r>
              <w:rPr>
                <w:rFonts w:ascii="Times New Roman" w:hAnsi="Times New Roman"/>
                <w:sz w:val="21"/>
              </w:rPr>
              <w:t>0.346</w:t>
            </w:r>
          </w:p>
        </w:tc>
      </w:tr>
    </w:tbl>
    <w:p>
      <w:pPr>
        <w:spacing w:after="80"/>
      </w:pPr>
    </w:p>
    <w:p>
      <w:r>
        <w:rPr>
          <w:rFonts w:ascii="Times New Roman" w:hAnsi="Times New Roman"/>
          <w:sz w:val="24"/>
        </w:rPr>
        <w:t>Table 14 tests whether these differences exceed noise (Dietterich, 1998; Demšar, 2006). McNemar's test rejects equal error rates between HGB and the lookup baseline at both thresholds, also when clustered by mine-year (Durkalski et al., 2003). Between the top two, the paired fold test gives p = 0.044 after the Nadeau and Bengio (2003) correction for overlapping training folds, while the Wilcoxon test cannot fall below 0.0625 with five folds. The MLP's test PR-AUC lies inside HGB's mine-year bootstrap interval, so the gap between the top two sits at the edge of noise and the gap to the lookup baseline does not.</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14</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Statistical comparisons of HGB, namely McNemar tests against the lookup baseline on the 20,320 test reports at the default and capacity thresholds, row-wise and clustered by the 6,724 test mine-years, paired tests against the MLP on the five cross-validation folds of PR-AUC, and 95% percentile bootstrap intervals (1,000 resamples) of test metrics by rows and by mine-years.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1"/>
              </w:rPr>
              <w:t>Comparison</w:t>
            </w:r>
          </w:p>
        </w:tc>
        <w:tc>
          <w:tcPr>
            <w:tcW w:type="dxa" w:w="2256"/>
            <w:shd w:val="clear" w:color="auto" w:fill="E7E6E6"/>
          </w:tcPr>
          <w:p>
            <w:pPr>
              <w:jc w:val="left"/>
            </w:pPr>
            <w:r>
              <w:rPr>
                <w:b/>
              </w:rPr>
            </w:r>
            <w:r>
              <w:rPr>
                <w:rFonts w:ascii="Times New Roman" w:hAnsi="Times New Roman"/>
                <w:b/>
                <w:sz w:val="21"/>
              </w:rPr>
              <w:t>Test</w:t>
            </w:r>
          </w:p>
        </w:tc>
        <w:tc>
          <w:tcPr>
            <w:tcW w:type="dxa" w:w="2256"/>
            <w:shd w:val="clear" w:color="auto" w:fill="E7E6E6"/>
          </w:tcPr>
          <w:p>
            <w:pPr>
              <w:jc w:val="left"/>
            </w:pPr>
            <w:r>
              <w:rPr>
                <w:b/>
              </w:rPr>
            </w:r>
            <w:r>
              <w:rPr>
                <w:rFonts w:ascii="Times New Roman" w:hAnsi="Times New Roman"/>
                <w:b/>
                <w:sz w:val="21"/>
              </w:rPr>
              <w:t>Result</w:t>
            </w:r>
          </w:p>
        </w:tc>
        <w:tc>
          <w:tcPr>
            <w:tcW w:type="dxa" w:w="2256"/>
            <w:shd w:val="clear" w:color="auto" w:fill="E7E6E6"/>
          </w:tcPr>
          <w:p>
            <w:pPr>
              <w:jc w:val="left"/>
            </w:pPr>
            <w:r>
              <w:rPr>
                <w:b/>
              </w:rPr>
            </w:r>
            <w:r>
              <w:rPr>
                <w:rFonts w:ascii="Times New Roman" w:hAnsi="Times New Roman"/>
                <w:b/>
                <w:sz w:val="21"/>
              </w:rPr>
              <w:t>p-value</w:t>
            </w:r>
          </w:p>
        </w:tc>
      </w:tr>
      <w:tr>
        <w:tc>
          <w:tcPr>
            <w:tcW w:type="dxa" w:w="2256"/>
          </w:tcPr>
          <w:p>
            <w:pPr>
              <w:spacing w:after="0"/>
              <w:jc w:val="left"/>
            </w:pPr>
            <w:r/>
            <w:r>
              <w:rPr>
                <w:rFonts w:ascii="Times New Roman" w:hAnsi="Times New Roman"/>
                <w:sz w:val="21"/>
              </w:rPr>
              <w:t>HGB against lookup baseline, threshold 0.5</w:t>
            </w:r>
          </w:p>
        </w:tc>
        <w:tc>
          <w:tcPr>
            <w:tcW w:type="dxa" w:w="2256"/>
          </w:tcPr>
          <w:p>
            <w:pPr>
              <w:spacing w:after="0"/>
              <w:jc w:val="left"/>
            </w:pPr>
            <w:r/>
            <w:r>
              <w:rPr>
                <w:rFonts w:ascii="Times New Roman" w:hAnsi="Times New Roman"/>
                <w:sz w:val="21"/>
              </w:rPr>
              <w:t>McNemar, rows treated as independent</w:t>
            </w:r>
          </w:p>
        </w:tc>
        <w:tc>
          <w:tcPr>
            <w:tcW w:type="dxa" w:w="2256"/>
          </w:tcPr>
          <w:p>
            <w:pPr>
              <w:spacing w:after="0"/>
              <w:jc w:val="left"/>
            </w:pPr>
            <w:r/>
            <w:r>
              <w:rPr>
                <w:rFonts w:ascii="Times New Roman" w:hAnsi="Times New Roman"/>
                <w:sz w:val="21"/>
              </w:rPr>
              <w:t>chi-square 131.7; HGB alone correct on 1,929 reports, lookup baseline alone on 1,278</w:t>
            </w:r>
          </w:p>
        </w:tc>
        <w:tc>
          <w:tcPr>
            <w:tcW w:type="dxa" w:w="2256"/>
          </w:tcPr>
          <w:p>
            <w:pPr>
              <w:spacing w:after="0"/>
              <w:jc w:val="left"/>
            </w:pPr>
            <w:r/>
            <w:r>
              <w:rPr>
                <w:rFonts w:ascii="Times New Roman" w:hAnsi="Times New Roman"/>
                <w:sz w:val="21"/>
              </w:rPr>
              <w:t>below 0.001</w:t>
            </w:r>
          </w:p>
        </w:tc>
      </w:tr>
      <w:tr>
        <w:tc>
          <w:tcPr>
            <w:tcW w:type="dxa" w:w="2256"/>
          </w:tcPr>
          <w:p>
            <w:pPr>
              <w:spacing w:after="0"/>
              <w:jc w:val="left"/>
            </w:pPr>
            <w:r/>
            <w:r>
              <w:rPr>
                <w:rFonts w:ascii="Times New Roman" w:hAnsi="Times New Roman"/>
                <w:sz w:val="21"/>
              </w:rPr>
              <w:t>HGB against lookup baseline, threshold 0.5</w:t>
            </w:r>
          </w:p>
        </w:tc>
        <w:tc>
          <w:tcPr>
            <w:tcW w:type="dxa" w:w="2256"/>
          </w:tcPr>
          <w:p>
            <w:pPr>
              <w:spacing w:after="0"/>
              <w:jc w:val="left"/>
            </w:pPr>
            <w:r/>
            <w:r>
              <w:rPr>
                <w:rFonts w:ascii="Times New Roman" w:hAnsi="Times New Roman"/>
                <w:sz w:val="21"/>
              </w:rPr>
              <w:t>McNemar clustered by mine-year (Durkalski et al., 2003)</w:t>
            </w:r>
          </w:p>
        </w:tc>
        <w:tc>
          <w:tcPr>
            <w:tcW w:type="dxa" w:w="2256"/>
          </w:tcPr>
          <w:p>
            <w:pPr>
              <w:spacing w:after="0"/>
              <w:jc w:val="left"/>
            </w:pPr>
            <w:r/>
            <w:r>
              <w:rPr>
                <w:rFonts w:ascii="Times New Roman" w:hAnsi="Times New Roman"/>
                <w:sz w:val="21"/>
              </w:rPr>
              <w:t>chi-square 78.5</w:t>
            </w:r>
          </w:p>
        </w:tc>
        <w:tc>
          <w:tcPr>
            <w:tcW w:type="dxa" w:w="2256"/>
          </w:tcPr>
          <w:p>
            <w:pPr>
              <w:spacing w:after="0"/>
              <w:jc w:val="left"/>
            </w:pPr>
            <w:r/>
            <w:r>
              <w:rPr>
                <w:rFonts w:ascii="Times New Roman" w:hAnsi="Times New Roman"/>
                <w:sz w:val="21"/>
              </w:rPr>
              <w:t>below 0.001</w:t>
            </w:r>
          </w:p>
        </w:tc>
      </w:tr>
      <w:tr>
        <w:tc>
          <w:tcPr>
            <w:tcW w:type="dxa" w:w="2256"/>
          </w:tcPr>
          <w:p>
            <w:pPr>
              <w:spacing w:after="0"/>
              <w:jc w:val="left"/>
            </w:pPr>
            <w:r/>
            <w:r>
              <w:rPr>
                <w:rFonts w:ascii="Times New Roman" w:hAnsi="Times New Roman"/>
                <w:sz w:val="21"/>
              </w:rPr>
              <w:t>HGB against lookup baseline, capacity thresholds (0.210 and 0.225)</w:t>
            </w:r>
          </w:p>
        </w:tc>
        <w:tc>
          <w:tcPr>
            <w:tcW w:type="dxa" w:w="2256"/>
          </w:tcPr>
          <w:p>
            <w:pPr>
              <w:spacing w:after="0"/>
              <w:jc w:val="left"/>
            </w:pPr>
            <w:r/>
            <w:r>
              <w:rPr>
                <w:rFonts w:ascii="Times New Roman" w:hAnsi="Times New Roman"/>
                <w:sz w:val="21"/>
              </w:rPr>
              <w:t>McNemar, rows treated as independent</w:t>
            </w:r>
          </w:p>
        </w:tc>
        <w:tc>
          <w:tcPr>
            <w:tcW w:type="dxa" w:w="2256"/>
          </w:tcPr>
          <w:p>
            <w:pPr>
              <w:spacing w:after="0"/>
              <w:jc w:val="left"/>
            </w:pPr>
            <w:r/>
            <w:r>
              <w:rPr>
                <w:rFonts w:ascii="Times New Roman" w:hAnsi="Times New Roman"/>
                <w:sz w:val="21"/>
              </w:rPr>
              <w:t>chi-square 35.2; 1,289 against 1,004 reports</w:t>
            </w:r>
          </w:p>
        </w:tc>
        <w:tc>
          <w:tcPr>
            <w:tcW w:type="dxa" w:w="2256"/>
          </w:tcPr>
          <w:p>
            <w:pPr>
              <w:spacing w:after="0"/>
              <w:jc w:val="left"/>
            </w:pPr>
            <w:r/>
            <w:r>
              <w:rPr>
                <w:rFonts w:ascii="Times New Roman" w:hAnsi="Times New Roman"/>
                <w:sz w:val="21"/>
              </w:rPr>
              <w:t>below 0.001</w:t>
            </w:r>
          </w:p>
        </w:tc>
      </w:tr>
      <w:tr>
        <w:tc>
          <w:tcPr>
            <w:tcW w:type="dxa" w:w="2256"/>
          </w:tcPr>
          <w:p>
            <w:pPr>
              <w:spacing w:after="0"/>
              <w:jc w:val="left"/>
            </w:pPr>
            <w:r/>
            <w:r>
              <w:rPr>
                <w:rFonts w:ascii="Times New Roman" w:hAnsi="Times New Roman"/>
                <w:sz w:val="21"/>
              </w:rPr>
              <w:t>HGB against lookup baseline, capacity thresholds</w:t>
            </w:r>
          </w:p>
        </w:tc>
        <w:tc>
          <w:tcPr>
            <w:tcW w:type="dxa" w:w="2256"/>
          </w:tcPr>
          <w:p>
            <w:pPr>
              <w:spacing w:after="0"/>
              <w:jc w:val="left"/>
            </w:pPr>
            <w:r/>
            <w:r>
              <w:rPr>
                <w:rFonts w:ascii="Times New Roman" w:hAnsi="Times New Roman"/>
                <w:sz w:val="21"/>
              </w:rPr>
              <w:t>McNemar clustered by mine-year (Durkalski et al., 2003)</w:t>
            </w:r>
          </w:p>
        </w:tc>
        <w:tc>
          <w:tcPr>
            <w:tcW w:type="dxa" w:w="2256"/>
          </w:tcPr>
          <w:p>
            <w:pPr>
              <w:spacing w:after="0"/>
              <w:jc w:val="left"/>
            </w:pPr>
            <w:r/>
            <w:r>
              <w:rPr>
                <w:rFonts w:ascii="Times New Roman" w:hAnsi="Times New Roman"/>
                <w:sz w:val="21"/>
              </w:rPr>
              <w:t>chi-square 24.4</w:t>
            </w:r>
          </w:p>
        </w:tc>
        <w:tc>
          <w:tcPr>
            <w:tcW w:type="dxa" w:w="2256"/>
          </w:tcPr>
          <w:p>
            <w:pPr>
              <w:spacing w:after="0"/>
              <w:jc w:val="left"/>
            </w:pPr>
            <w:r/>
            <w:r>
              <w:rPr>
                <w:rFonts w:ascii="Times New Roman" w:hAnsi="Times New Roman"/>
                <w:sz w:val="21"/>
              </w:rPr>
              <w:t>below 0.001</w:t>
            </w:r>
          </w:p>
        </w:tc>
      </w:tr>
      <w:tr>
        <w:tc>
          <w:tcPr>
            <w:tcW w:type="dxa" w:w="2256"/>
          </w:tcPr>
          <w:p>
            <w:pPr>
              <w:spacing w:after="0"/>
              <w:jc w:val="left"/>
            </w:pPr>
            <w:r/>
            <w:r>
              <w:rPr>
                <w:rFonts w:ascii="Times New Roman" w:hAnsi="Times New Roman"/>
                <w:sz w:val="21"/>
              </w:rPr>
              <w:t>HGB against MLP, cross-validated PR-AUC</w:t>
            </w:r>
          </w:p>
        </w:tc>
        <w:tc>
          <w:tcPr>
            <w:tcW w:type="dxa" w:w="2256"/>
          </w:tcPr>
          <w:p>
            <w:pPr>
              <w:spacing w:after="0"/>
              <w:jc w:val="left"/>
            </w:pPr>
            <w:r/>
            <w:r>
              <w:rPr>
                <w:rFonts w:ascii="Times New Roman" w:hAnsi="Times New Roman"/>
                <w:sz w:val="21"/>
              </w:rPr>
              <w:t>paired t-test</w:t>
            </w:r>
          </w:p>
        </w:tc>
        <w:tc>
          <w:tcPr>
            <w:tcW w:type="dxa" w:w="2256"/>
          </w:tcPr>
          <w:p>
            <w:pPr>
              <w:spacing w:after="0"/>
              <w:jc w:val="left"/>
            </w:pPr>
            <w:r/>
            <w:r>
              <w:rPr>
                <w:rFonts w:ascii="Times New Roman" w:hAnsi="Times New Roman"/>
                <w:sz w:val="21"/>
              </w:rPr>
              <w:t>mean difference 0.0054 (SD 0.0028); HGB higher in all five folds; t = 4.36</w:t>
            </w:r>
          </w:p>
        </w:tc>
        <w:tc>
          <w:tcPr>
            <w:tcW w:type="dxa" w:w="2256"/>
          </w:tcPr>
          <w:p>
            <w:pPr>
              <w:spacing w:after="0"/>
              <w:jc w:val="left"/>
            </w:pPr>
            <w:r/>
            <w:r>
              <w:rPr>
                <w:rFonts w:ascii="Times New Roman" w:hAnsi="Times New Roman"/>
                <w:sz w:val="21"/>
              </w:rPr>
              <w:t>0.012</w:t>
            </w:r>
          </w:p>
        </w:tc>
      </w:tr>
      <w:tr>
        <w:tc>
          <w:tcPr>
            <w:tcW w:type="dxa" w:w="2256"/>
          </w:tcPr>
          <w:p>
            <w:pPr>
              <w:spacing w:after="0"/>
              <w:jc w:val="left"/>
            </w:pPr>
            <w:r/>
            <w:r>
              <w:rPr>
                <w:rFonts w:ascii="Times New Roman" w:hAnsi="Times New Roman"/>
                <w:sz w:val="21"/>
              </w:rPr>
              <w:t>HGB against MLP, cross-validated PR-AUC</w:t>
            </w:r>
          </w:p>
        </w:tc>
        <w:tc>
          <w:tcPr>
            <w:tcW w:type="dxa" w:w="2256"/>
          </w:tcPr>
          <w:p>
            <w:pPr>
              <w:spacing w:after="0"/>
              <w:jc w:val="left"/>
            </w:pPr>
            <w:r/>
            <w:r>
              <w:rPr>
                <w:rFonts w:ascii="Times New Roman" w:hAnsi="Times New Roman"/>
                <w:sz w:val="21"/>
              </w:rPr>
              <w:t>corrected resampled t-test (Nadeau and Bengio, 2003)</w:t>
            </w:r>
          </w:p>
        </w:tc>
        <w:tc>
          <w:tcPr>
            <w:tcW w:type="dxa" w:w="2256"/>
          </w:tcPr>
          <w:p>
            <w:pPr>
              <w:spacing w:after="0"/>
              <w:jc w:val="left"/>
            </w:pPr>
            <w:r/>
            <w:r>
              <w:rPr>
                <w:rFonts w:ascii="Times New Roman" w:hAnsi="Times New Roman"/>
                <w:sz w:val="21"/>
              </w:rPr>
              <w:t>t = 2.90</w:t>
            </w:r>
          </w:p>
        </w:tc>
        <w:tc>
          <w:tcPr>
            <w:tcW w:type="dxa" w:w="2256"/>
          </w:tcPr>
          <w:p>
            <w:pPr>
              <w:spacing w:after="0"/>
              <w:jc w:val="left"/>
            </w:pPr>
            <w:r/>
            <w:r>
              <w:rPr>
                <w:rFonts w:ascii="Times New Roman" w:hAnsi="Times New Roman"/>
                <w:sz w:val="21"/>
              </w:rPr>
              <w:t>0.044</w:t>
            </w:r>
          </w:p>
        </w:tc>
      </w:tr>
      <w:tr>
        <w:tc>
          <w:tcPr>
            <w:tcW w:type="dxa" w:w="2256"/>
          </w:tcPr>
          <w:p>
            <w:pPr>
              <w:spacing w:after="0"/>
              <w:jc w:val="left"/>
            </w:pPr>
            <w:r/>
            <w:r>
              <w:rPr>
                <w:rFonts w:ascii="Times New Roman" w:hAnsi="Times New Roman"/>
                <w:sz w:val="21"/>
              </w:rPr>
              <w:t>HGB against MLP, cross-validated PR-AUC</w:t>
            </w:r>
          </w:p>
        </w:tc>
        <w:tc>
          <w:tcPr>
            <w:tcW w:type="dxa" w:w="2256"/>
          </w:tcPr>
          <w:p>
            <w:pPr>
              <w:spacing w:after="0"/>
              <w:jc w:val="left"/>
            </w:pPr>
            <w:r/>
            <w:r>
              <w:rPr>
                <w:rFonts w:ascii="Times New Roman" w:hAnsi="Times New Roman"/>
                <w:sz w:val="21"/>
              </w:rPr>
              <w:t>Wilcoxon signed-rank</w:t>
            </w:r>
          </w:p>
        </w:tc>
        <w:tc>
          <w:tcPr>
            <w:tcW w:type="dxa" w:w="2256"/>
          </w:tcPr>
          <w:p>
            <w:pPr>
              <w:spacing w:after="0"/>
              <w:jc w:val="left"/>
            </w:pPr>
            <w:r/>
            <w:r>
              <w:rPr>
                <w:rFonts w:ascii="Times New Roman" w:hAnsi="Times New Roman"/>
                <w:sz w:val="21"/>
              </w:rPr>
              <w:t>W = 0</w:t>
            </w:r>
          </w:p>
        </w:tc>
        <w:tc>
          <w:tcPr>
            <w:tcW w:type="dxa" w:w="2256"/>
          </w:tcPr>
          <w:p>
            <w:pPr>
              <w:spacing w:after="0"/>
              <w:jc w:val="left"/>
            </w:pPr>
            <w:r/>
            <w:r>
              <w:rPr>
                <w:rFonts w:ascii="Times New Roman" w:hAnsi="Times New Roman"/>
                <w:sz w:val="21"/>
              </w:rPr>
              <w:t>0.0625, the smallest value possible with five folds</w:t>
            </w:r>
          </w:p>
        </w:tc>
      </w:tr>
      <w:tr>
        <w:tc>
          <w:tcPr>
            <w:tcW w:type="dxa" w:w="2256"/>
          </w:tcPr>
          <w:p>
            <w:pPr>
              <w:spacing w:after="0"/>
              <w:jc w:val="left"/>
            </w:pPr>
            <w:r/>
            <w:r>
              <w:rPr>
                <w:rFonts w:ascii="Times New Roman" w:hAnsi="Times New Roman"/>
                <w:sz w:val="21"/>
              </w:rPr>
              <w:t>HGB, test PR-AUC 0.841</w:t>
            </w:r>
          </w:p>
        </w:tc>
        <w:tc>
          <w:tcPr>
            <w:tcW w:type="dxa" w:w="2256"/>
          </w:tcPr>
          <w:p>
            <w:pPr>
              <w:spacing w:after="0"/>
              <w:jc w:val="left"/>
            </w:pPr>
            <w:r/>
            <w:r>
              <w:rPr>
                <w:rFonts w:ascii="Times New Roman" w:hAnsi="Times New Roman"/>
                <w:sz w:val="21"/>
              </w:rPr>
              <w:t>bootstrap of rows; bootstrap of mine-years</w:t>
            </w:r>
          </w:p>
        </w:tc>
        <w:tc>
          <w:tcPr>
            <w:tcW w:type="dxa" w:w="2256"/>
          </w:tcPr>
          <w:p>
            <w:pPr>
              <w:spacing w:after="0"/>
              <w:jc w:val="left"/>
            </w:pPr>
            <w:r/>
            <w:r>
              <w:rPr>
                <w:rFonts w:ascii="Times New Roman" w:hAnsi="Times New Roman"/>
                <w:sz w:val="21"/>
              </w:rPr>
              <w:t>0.835 to 0.848; 0.825 to 0.856</w:t>
            </w:r>
          </w:p>
        </w:tc>
        <w:tc>
          <w:tcPr>
            <w:tcW w:type="dxa" w:w="2256"/>
          </w:tcPr>
          <w:p>
            <w:pPr>
              <w:spacing w:after="0"/>
              <w:jc w:val="left"/>
            </w:pPr>
            <w:r/>
          </w:p>
        </w:tc>
      </w:tr>
      <w:tr>
        <w:tc>
          <w:tcPr>
            <w:tcW w:type="dxa" w:w="2256"/>
          </w:tcPr>
          <w:p>
            <w:pPr>
              <w:spacing w:after="0"/>
              <w:jc w:val="left"/>
            </w:pPr>
            <w:r/>
            <w:r>
              <w:rPr>
                <w:rFonts w:ascii="Times New Roman" w:hAnsi="Times New Roman"/>
                <w:sz w:val="21"/>
              </w:rPr>
              <w:t>HGB, test ROC-AUC 0.843</w:t>
            </w:r>
          </w:p>
        </w:tc>
        <w:tc>
          <w:tcPr>
            <w:tcW w:type="dxa" w:w="2256"/>
          </w:tcPr>
          <w:p>
            <w:pPr>
              <w:spacing w:after="0"/>
              <w:jc w:val="left"/>
            </w:pPr>
            <w:r/>
            <w:r>
              <w:rPr>
                <w:rFonts w:ascii="Times New Roman" w:hAnsi="Times New Roman"/>
                <w:sz w:val="21"/>
              </w:rPr>
              <w:t>bootstrap of rows; bootstrap of mine-years</w:t>
            </w:r>
          </w:p>
        </w:tc>
        <w:tc>
          <w:tcPr>
            <w:tcW w:type="dxa" w:w="2256"/>
          </w:tcPr>
          <w:p>
            <w:pPr>
              <w:spacing w:after="0"/>
              <w:jc w:val="left"/>
            </w:pPr>
            <w:r/>
            <w:r>
              <w:rPr>
                <w:rFonts w:ascii="Times New Roman" w:hAnsi="Times New Roman"/>
                <w:sz w:val="21"/>
              </w:rPr>
              <w:t>0.838 to 0.848; 0.835 to 0.851</w:t>
            </w:r>
          </w:p>
        </w:tc>
        <w:tc>
          <w:tcPr>
            <w:tcW w:type="dxa" w:w="2256"/>
          </w:tcPr>
          <w:p>
            <w:pPr>
              <w:spacing w:after="0"/>
              <w:jc w:val="left"/>
            </w:pPr>
            <w:r/>
          </w:p>
        </w:tc>
      </w:tr>
      <w:tr>
        <w:tc>
          <w:tcPr>
            <w:tcW w:type="dxa" w:w="2256"/>
          </w:tcPr>
          <w:p>
            <w:pPr>
              <w:spacing w:after="0"/>
              <w:jc w:val="left"/>
            </w:pPr>
            <w:r/>
            <w:r>
              <w:rPr>
                <w:rFonts w:ascii="Times New Roman" w:hAnsi="Times New Roman"/>
                <w:sz w:val="21"/>
              </w:rPr>
              <w:t>HGB, recall 0.943 at the capacity threshold</w:t>
            </w:r>
          </w:p>
        </w:tc>
        <w:tc>
          <w:tcPr>
            <w:tcW w:type="dxa" w:w="2256"/>
          </w:tcPr>
          <w:p>
            <w:pPr>
              <w:spacing w:after="0"/>
              <w:jc w:val="left"/>
            </w:pPr>
            <w:r/>
            <w:r>
              <w:rPr>
                <w:rFonts w:ascii="Times New Roman" w:hAnsi="Times New Roman"/>
                <w:sz w:val="21"/>
              </w:rPr>
              <w:t>bootstrap of rows; bootstrap of mine-years</w:t>
            </w:r>
          </w:p>
        </w:tc>
        <w:tc>
          <w:tcPr>
            <w:tcW w:type="dxa" w:w="2256"/>
          </w:tcPr>
          <w:p>
            <w:pPr>
              <w:spacing w:after="0"/>
              <w:jc w:val="left"/>
            </w:pPr>
            <w:r/>
            <w:r>
              <w:rPr>
                <w:rFonts w:ascii="Times New Roman" w:hAnsi="Times New Roman"/>
                <w:sz w:val="21"/>
              </w:rPr>
              <w:t>0.939 to 0.947; 0.938 to 0.949</w:t>
            </w:r>
          </w:p>
        </w:tc>
        <w:tc>
          <w:tcPr>
            <w:tcW w:type="dxa" w:w="2256"/>
          </w:tcPr>
          <w:p>
            <w:pPr>
              <w:spacing w:after="0"/>
              <w:jc w:val="left"/>
            </w:pPr>
            <w:r/>
          </w:p>
        </w:tc>
      </w:tr>
    </w:tbl>
    <w:p>
      <w:pPr>
        <w:spacing w:after="80"/>
      </w:pPr>
    </w:p>
    <w:p>
      <w:r>
        <w:rPr>
          <w:rFonts w:ascii="Times New Roman" w:hAnsi="Times New Roman"/>
          <w:sz w:val="24"/>
        </w:rPr>
        <w:t>With the top two this close, I chose on the criteria of Table 15. HGB has the lowest expected cost at the three low cost ratios. Its thresholds also transferred more faithfully, landing near the specificity and flag-rate targets on the test set, where the MLP over-flagged. On the temporal split it kept the higher PR-AUC, and its realised specificity barely moved when the 103(i) status or the immediate-reporting flag was removed, unlike the MLP's. It needs no scaler and scores the test set in under a second. Its permutation importance puts nature of injury and body part first (Figure 18), as do most of the largest logistic coefficients, and two of its four largest mean SHAP values (Table 23; Lundberg and Lee, 2017), for cuts and finger injuries, match negative coefficients (Figure 19). I selected HGB with the settings of Table 10, refitted on all training rows and run at its out-of-fold capacity threshold (Table 16; Figure 20). At that threshold it flags about three test reports in four and misses 561 of 9,873 lost-time cases, against 830 misses for the lookup baseline at about the same specificity.</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15</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Multi-criteria comparison of the four strongest tuned models and the SVM beyond ranking quality alone, with expected cost from the 20,320 test reports at the out-of-fold cost-optimal thresholds, transfer of out-of-fold threshold targets to the test set, the temporal split (re-tuned on 2010-2019 and scored on 2020-2025 for the top two only), explanation methods, tuning time for the full search on eight workers, prediction time for the test reports and the size of the saved pipeline; the whole run took 5,675 s, of which the temporal re-tuning took 2,535 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1"/>
              </w:rPr>
              <w:t>Criterion</w:t>
            </w:r>
          </w:p>
        </w:tc>
        <w:tc>
          <w:tcPr>
            <w:tcW w:type="dxa" w:w="1504"/>
            <w:shd w:val="clear" w:color="auto" w:fill="E7E6E6"/>
          </w:tcPr>
          <w:p>
            <w:pPr>
              <w:jc w:val="left"/>
            </w:pPr>
            <w:r>
              <w:rPr>
                <w:b/>
              </w:rPr>
            </w:r>
            <w:r>
              <w:rPr>
                <w:rFonts w:ascii="Times New Roman" w:hAnsi="Times New Roman"/>
                <w:b/>
                <w:sz w:val="21"/>
              </w:rPr>
              <w:t>HGB</w:t>
            </w:r>
          </w:p>
        </w:tc>
        <w:tc>
          <w:tcPr>
            <w:tcW w:type="dxa" w:w="1504"/>
            <w:shd w:val="clear" w:color="auto" w:fill="E7E6E6"/>
          </w:tcPr>
          <w:p>
            <w:pPr>
              <w:jc w:val="left"/>
            </w:pPr>
            <w:r>
              <w:rPr>
                <w:b/>
              </w:rPr>
            </w:r>
            <w:r>
              <w:rPr>
                <w:rFonts w:ascii="Times New Roman" w:hAnsi="Times New Roman"/>
                <w:b/>
                <w:sz w:val="21"/>
              </w:rPr>
              <w:t>MLP</w:t>
            </w:r>
          </w:p>
        </w:tc>
        <w:tc>
          <w:tcPr>
            <w:tcW w:type="dxa" w:w="1504"/>
            <w:shd w:val="clear" w:color="auto" w:fill="E7E6E6"/>
          </w:tcPr>
          <w:p>
            <w:pPr>
              <w:jc w:val="left"/>
            </w:pPr>
            <w:r>
              <w:rPr>
                <w:b/>
              </w:rPr>
            </w:r>
            <w:r>
              <w:rPr>
                <w:rFonts w:ascii="Times New Roman" w:hAnsi="Times New Roman"/>
                <w:b/>
                <w:sz w:val="21"/>
              </w:rPr>
              <w:t>Random forest</w:t>
            </w:r>
          </w:p>
        </w:tc>
        <w:tc>
          <w:tcPr>
            <w:tcW w:type="dxa" w:w="1504"/>
            <w:shd w:val="clear" w:color="auto" w:fill="E7E6E6"/>
          </w:tcPr>
          <w:p>
            <w:pPr>
              <w:jc w:val="left"/>
            </w:pPr>
            <w:r>
              <w:rPr>
                <w:b/>
              </w:rPr>
            </w:r>
            <w:r>
              <w:rPr>
                <w:rFonts w:ascii="Times New Roman" w:hAnsi="Times New Roman"/>
                <w:b/>
                <w:sz w:val="21"/>
              </w:rPr>
              <w:t>Logistic regression</w:t>
            </w:r>
          </w:p>
        </w:tc>
        <w:tc>
          <w:tcPr>
            <w:tcW w:type="dxa" w:w="1504"/>
            <w:shd w:val="clear" w:color="auto" w:fill="E7E6E6"/>
          </w:tcPr>
          <w:p>
            <w:pPr>
              <w:jc w:val="left"/>
            </w:pPr>
            <w:r>
              <w:rPr>
                <w:b/>
              </w:rPr>
            </w:r>
            <w:r>
              <w:rPr>
                <w:rFonts w:ascii="Times New Roman" w:hAnsi="Times New Roman"/>
                <w:b/>
                <w:sz w:val="21"/>
              </w:rPr>
              <w:t>SVM, RBF kernel</w:t>
            </w:r>
          </w:p>
        </w:tc>
      </w:tr>
      <w:tr>
        <w:tc>
          <w:tcPr>
            <w:tcW w:type="dxa" w:w="1504"/>
          </w:tcPr>
          <w:p>
            <w:pPr>
              <w:spacing w:after="0"/>
              <w:jc w:val="left"/>
            </w:pPr>
            <w:r/>
            <w:r>
              <w:rPr>
                <w:rFonts w:ascii="Times New Roman" w:hAnsi="Times New Roman"/>
                <w:sz w:val="21"/>
              </w:rPr>
              <w:t>Cross-validated PR-AUC (rank of eight)</w:t>
            </w:r>
          </w:p>
        </w:tc>
        <w:tc>
          <w:tcPr>
            <w:tcW w:type="dxa" w:w="1504"/>
          </w:tcPr>
          <w:p>
            <w:pPr>
              <w:spacing w:after="0"/>
              <w:jc w:val="left"/>
            </w:pPr>
            <w:r/>
            <w:r>
              <w:rPr>
                <w:rFonts w:ascii="Times New Roman" w:hAnsi="Times New Roman"/>
                <w:sz w:val="21"/>
              </w:rPr>
              <w:t>0.838 (1)</w:t>
            </w:r>
          </w:p>
        </w:tc>
        <w:tc>
          <w:tcPr>
            <w:tcW w:type="dxa" w:w="1504"/>
          </w:tcPr>
          <w:p>
            <w:pPr>
              <w:spacing w:after="0"/>
              <w:jc w:val="left"/>
            </w:pPr>
            <w:r/>
            <w:r>
              <w:rPr>
                <w:rFonts w:ascii="Times New Roman" w:hAnsi="Times New Roman"/>
                <w:sz w:val="21"/>
              </w:rPr>
              <w:t>0.833 (2)</w:t>
            </w:r>
          </w:p>
        </w:tc>
        <w:tc>
          <w:tcPr>
            <w:tcW w:type="dxa" w:w="1504"/>
          </w:tcPr>
          <w:p>
            <w:pPr>
              <w:spacing w:after="0"/>
              <w:jc w:val="left"/>
            </w:pPr>
            <w:r/>
            <w:r>
              <w:rPr>
                <w:rFonts w:ascii="Times New Roman" w:hAnsi="Times New Roman"/>
                <w:sz w:val="21"/>
              </w:rPr>
              <w:t>0.821 (3)</w:t>
            </w:r>
          </w:p>
        </w:tc>
        <w:tc>
          <w:tcPr>
            <w:tcW w:type="dxa" w:w="1504"/>
          </w:tcPr>
          <w:p>
            <w:pPr>
              <w:spacing w:after="0"/>
              <w:jc w:val="left"/>
            </w:pPr>
            <w:r/>
            <w:r>
              <w:rPr>
                <w:rFonts w:ascii="Times New Roman" w:hAnsi="Times New Roman"/>
                <w:sz w:val="21"/>
              </w:rPr>
              <w:t>0.820 (4)</w:t>
            </w:r>
          </w:p>
        </w:tc>
        <w:tc>
          <w:tcPr>
            <w:tcW w:type="dxa" w:w="1504"/>
          </w:tcPr>
          <w:p>
            <w:pPr>
              <w:spacing w:after="0"/>
              <w:jc w:val="left"/>
            </w:pPr>
            <w:r/>
            <w:r>
              <w:rPr>
                <w:rFonts w:ascii="Times New Roman" w:hAnsi="Times New Roman"/>
                <w:sz w:val="21"/>
              </w:rPr>
              <w:t>0.795 (6)</w:t>
            </w:r>
          </w:p>
        </w:tc>
      </w:tr>
      <w:tr>
        <w:tc>
          <w:tcPr>
            <w:tcW w:type="dxa" w:w="1504"/>
          </w:tcPr>
          <w:p>
            <w:pPr>
              <w:spacing w:after="0"/>
              <w:jc w:val="left"/>
            </w:pPr>
            <w:r/>
            <w:r>
              <w:rPr>
                <w:rFonts w:ascii="Times New Roman" w:hAnsi="Times New Roman"/>
                <w:sz w:val="21"/>
              </w:rPr>
              <w:t>Test PR-AUC</w:t>
            </w:r>
          </w:p>
        </w:tc>
        <w:tc>
          <w:tcPr>
            <w:tcW w:type="dxa" w:w="1504"/>
          </w:tcPr>
          <w:p>
            <w:pPr>
              <w:spacing w:after="0"/>
              <w:jc w:val="left"/>
            </w:pPr>
            <w:r/>
            <w:r>
              <w:rPr>
                <w:rFonts w:ascii="Times New Roman" w:hAnsi="Times New Roman"/>
                <w:sz w:val="21"/>
              </w:rPr>
              <w:t>0.841</w:t>
            </w:r>
          </w:p>
        </w:tc>
        <w:tc>
          <w:tcPr>
            <w:tcW w:type="dxa" w:w="1504"/>
          </w:tcPr>
          <w:p>
            <w:pPr>
              <w:spacing w:after="0"/>
              <w:jc w:val="left"/>
            </w:pPr>
            <w:r/>
            <w:r>
              <w:rPr>
                <w:rFonts w:ascii="Times New Roman" w:hAnsi="Times New Roman"/>
                <w:sz w:val="21"/>
              </w:rPr>
              <w:t>0.837</w:t>
            </w:r>
          </w:p>
        </w:tc>
        <w:tc>
          <w:tcPr>
            <w:tcW w:type="dxa" w:w="1504"/>
          </w:tcPr>
          <w:p>
            <w:pPr>
              <w:spacing w:after="0"/>
              <w:jc w:val="left"/>
            </w:pPr>
            <w:r/>
            <w:r>
              <w:rPr>
                <w:rFonts w:ascii="Times New Roman" w:hAnsi="Times New Roman"/>
                <w:sz w:val="21"/>
              </w:rPr>
              <w:t>0.827</w:t>
            </w:r>
          </w:p>
        </w:tc>
        <w:tc>
          <w:tcPr>
            <w:tcW w:type="dxa" w:w="1504"/>
          </w:tcPr>
          <w:p>
            <w:pPr>
              <w:spacing w:after="0"/>
              <w:jc w:val="left"/>
            </w:pPr>
            <w:r/>
            <w:r>
              <w:rPr>
                <w:rFonts w:ascii="Times New Roman" w:hAnsi="Times New Roman"/>
                <w:sz w:val="21"/>
              </w:rPr>
              <w:t>0.825</w:t>
            </w:r>
          </w:p>
        </w:tc>
        <w:tc>
          <w:tcPr>
            <w:tcW w:type="dxa" w:w="1504"/>
          </w:tcPr>
          <w:p>
            <w:pPr>
              <w:spacing w:after="0"/>
              <w:jc w:val="left"/>
            </w:pPr>
            <w:r/>
            <w:r>
              <w:rPr>
                <w:rFonts w:ascii="Times New Roman" w:hAnsi="Times New Roman"/>
                <w:sz w:val="21"/>
              </w:rPr>
              <w:t>0.811</w:t>
            </w:r>
          </w:p>
        </w:tc>
      </w:tr>
      <w:tr>
        <w:tc>
          <w:tcPr>
            <w:tcW w:type="dxa" w:w="1504"/>
          </w:tcPr>
          <w:p>
            <w:pPr>
              <w:spacing w:after="0"/>
              <w:jc w:val="left"/>
            </w:pPr>
            <w:r/>
            <w:r>
              <w:rPr>
                <w:rFonts w:ascii="Times New Roman" w:hAnsi="Times New Roman"/>
                <w:sz w:val="21"/>
              </w:rPr>
              <w:t>Test cost per 1,000 cases at 2:1 / 3:1 / 5:1 (USD)</w:t>
            </w:r>
          </w:p>
        </w:tc>
        <w:tc>
          <w:tcPr>
            <w:tcW w:type="dxa" w:w="1504"/>
          </w:tcPr>
          <w:p>
            <w:pPr>
              <w:spacing w:after="0"/>
              <w:jc w:val="left"/>
            </w:pPr>
            <w:r/>
            <w:r>
              <w:rPr>
                <w:rFonts w:ascii="Times New Roman" w:hAnsi="Times New Roman"/>
                <w:sz w:val="21"/>
              </w:rPr>
              <w:t>65,896 / 77,697 / 87,638</w:t>
            </w:r>
          </w:p>
        </w:tc>
        <w:tc>
          <w:tcPr>
            <w:tcW w:type="dxa" w:w="1504"/>
          </w:tcPr>
          <w:p>
            <w:pPr>
              <w:spacing w:after="0"/>
              <w:jc w:val="left"/>
            </w:pPr>
            <w:r/>
            <w:r>
              <w:rPr>
                <w:rFonts w:ascii="Times New Roman" w:hAnsi="Times New Roman"/>
                <w:sz w:val="21"/>
              </w:rPr>
              <w:t>67,274 / 78,031 / 89,085</w:t>
            </w:r>
          </w:p>
        </w:tc>
        <w:tc>
          <w:tcPr>
            <w:tcW w:type="dxa" w:w="1504"/>
          </w:tcPr>
          <w:p>
            <w:pPr>
              <w:spacing w:after="0"/>
              <w:jc w:val="left"/>
            </w:pPr>
            <w:r/>
            <w:r>
              <w:rPr>
                <w:rFonts w:ascii="Times New Roman" w:hAnsi="Times New Roman"/>
                <w:sz w:val="21"/>
              </w:rPr>
              <w:t>67,648 / 78,839 / 90,463</w:t>
            </w:r>
          </w:p>
        </w:tc>
        <w:tc>
          <w:tcPr>
            <w:tcW w:type="dxa" w:w="1504"/>
          </w:tcPr>
          <w:p>
            <w:pPr>
              <w:spacing w:after="0"/>
              <w:jc w:val="left"/>
            </w:pPr>
            <w:r/>
            <w:r>
              <w:rPr>
                <w:rFonts w:ascii="Times New Roman" w:hAnsi="Times New Roman"/>
                <w:sz w:val="21"/>
              </w:rPr>
              <w:t>68,760 / 80,079 / 90,945</w:t>
            </w:r>
          </w:p>
        </w:tc>
        <w:tc>
          <w:tcPr>
            <w:tcW w:type="dxa" w:w="1504"/>
          </w:tcPr>
          <w:p>
            <w:pPr>
              <w:spacing w:after="0"/>
              <w:jc w:val="left"/>
            </w:pPr>
            <w:r/>
            <w:r>
              <w:rPr>
                <w:rFonts w:ascii="Times New Roman" w:hAnsi="Times New Roman"/>
                <w:sz w:val="21"/>
              </w:rPr>
              <w:t>70,955 / 82,234 / 93,317</w:t>
            </w:r>
          </w:p>
        </w:tc>
      </w:tr>
      <w:tr>
        <w:tc>
          <w:tcPr>
            <w:tcW w:type="dxa" w:w="1504"/>
          </w:tcPr>
          <w:p>
            <w:pPr>
              <w:spacing w:after="0"/>
              <w:jc w:val="left"/>
            </w:pPr>
            <w:r/>
            <w:r>
              <w:rPr>
                <w:rFonts w:ascii="Times New Roman" w:hAnsi="Times New Roman"/>
                <w:sz w:val="21"/>
              </w:rPr>
              <w:t>Test specificity at the out-of-fold threshold for specificity 0.40</w:t>
            </w:r>
          </w:p>
        </w:tc>
        <w:tc>
          <w:tcPr>
            <w:tcW w:type="dxa" w:w="1504"/>
          </w:tcPr>
          <w:p>
            <w:pPr>
              <w:spacing w:after="0"/>
              <w:jc w:val="left"/>
            </w:pPr>
            <w:r/>
            <w:r>
              <w:rPr>
                <w:rFonts w:ascii="Times New Roman" w:hAnsi="Times New Roman"/>
                <w:sz w:val="21"/>
              </w:rPr>
              <w:t>0.403</w:t>
            </w:r>
          </w:p>
        </w:tc>
        <w:tc>
          <w:tcPr>
            <w:tcW w:type="dxa" w:w="1504"/>
          </w:tcPr>
          <w:p>
            <w:pPr>
              <w:spacing w:after="0"/>
              <w:jc w:val="left"/>
            </w:pPr>
            <w:r/>
            <w:r>
              <w:rPr>
                <w:rFonts w:ascii="Times New Roman" w:hAnsi="Times New Roman"/>
                <w:sz w:val="21"/>
              </w:rPr>
              <w:t>0.373</w:t>
            </w:r>
          </w:p>
        </w:tc>
        <w:tc>
          <w:tcPr>
            <w:tcW w:type="dxa" w:w="1504"/>
          </w:tcPr>
          <w:p>
            <w:pPr>
              <w:spacing w:after="0"/>
              <w:jc w:val="left"/>
            </w:pPr>
            <w:r/>
            <w:r>
              <w:rPr>
                <w:rFonts w:ascii="Times New Roman" w:hAnsi="Times New Roman"/>
                <w:sz w:val="21"/>
              </w:rPr>
              <w:t>0.408</w:t>
            </w:r>
          </w:p>
        </w:tc>
        <w:tc>
          <w:tcPr>
            <w:tcW w:type="dxa" w:w="1504"/>
          </w:tcPr>
          <w:p>
            <w:pPr>
              <w:spacing w:after="0"/>
              <w:jc w:val="left"/>
            </w:pPr>
            <w:r/>
            <w:r>
              <w:rPr>
                <w:rFonts w:ascii="Times New Roman" w:hAnsi="Times New Roman"/>
                <w:sz w:val="21"/>
              </w:rPr>
              <w:t>0.405</w:t>
            </w:r>
          </w:p>
        </w:tc>
        <w:tc>
          <w:tcPr>
            <w:tcW w:type="dxa" w:w="1504"/>
          </w:tcPr>
          <w:p>
            <w:pPr>
              <w:spacing w:after="0"/>
              <w:jc w:val="left"/>
            </w:pPr>
            <w:r/>
            <w:r>
              <w:rPr>
                <w:rFonts w:ascii="Times New Roman" w:hAnsi="Times New Roman"/>
                <w:sz w:val="21"/>
              </w:rPr>
              <w:t>0.411</w:t>
            </w:r>
          </w:p>
        </w:tc>
      </w:tr>
      <w:tr>
        <w:tc>
          <w:tcPr>
            <w:tcW w:type="dxa" w:w="1504"/>
          </w:tcPr>
          <w:p>
            <w:pPr>
              <w:spacing w:after="0"/>
              <w:jc w:val="left"/>
            </w:pPr>
            <w:r/>
            <w:r>
              <w:rPr>
                <w:rFonts w:ascii="Times New Roman" w:hAnsi="Times New Roman"/>
                <w:sz w:val="21"/>
              </w:rPr>
              <w:t>Test flag rate at the out-of-fold threshold for a 50% flag rate</w:t>
            </w:r>
          </w:p>
        </w:tc>
        <w:tc>
          <w:tcPr>
            <w:tcW w:type="dxa" w:w="1504"/>
          </w:tcPr>
          <w:p>
            <w:pPr>
              <w:spacing w:after="0"/>
              <w:jc w:val="left"/>
            </w:pPr>
            <w:r/>
            <w:r>
              <w:rPr>
                <w:rFonts w:ascii="Times New Roman" w:hAnsi="Times New Roman"/>
                <w:sz w:val="21"/>
              </w:rPr>
              <w:t>0.506</w:t>
            </w:r>
          </w:p>
        </w:tc>
        <w:tc>
          <w:tcPr>
            <w:tcW w:type="dxa" w:w="1504"/>
          </w:tcPr>
          <w:p>
            <w:pPr>
              <w:spacing w:after="0"/>
              <w:jc w:val="left"/>
            </w:pPr>
            <w:r/>
            <w:r>
              <w:rPr>
                <w:rFonts w:ascii="Times New Roman" w:hAnsi="Times New Roman"/>
                <w:sz w:val="21"/>
              </w:rPr>
              <w:t>0.525</w:t>
            </w:r>
          </w:p>
        </w:tc>
        <w:tc>
          <w:tcPr>
            <w:tcW w:type="dxa" w:w="1504"/>
          </w:tcPr>
          <w:p>
            <w:pPr>
              <w:spacing w:after="0"/>
              <w:jc w:val="left"/>
            </w:pPr>
            <w:r/>
            <w:r>
              <w:rPr>
                <w:rFonts w:ascii="Times New Roman" w:hAnsi="Times New Roman"/>
                <w:sz w:val="21"/>
              </w:rPr>
              <w:t>0.497</w:t>
            </w:r>
          </w:p>
        </w:tc>
        <w:tc>
          <w:tcPr>
            <w:tcW w:type="dxa" w:w="1504"/>
          </w:tcPr>
          <w:p>
            <w:pPr>
              <w:spacing w:after="0"/>
              <w:jc w:val="left"/>
            </w:pPr>
            <w:r/>
            <w:r>
              <w:rPr>
                <w:rFonts w:ascii="Times New Roman" w:hAnsi="Times New Roman"/>
                <w:sz w:val="21"/>
              </w:rPr>
              <w:t>0.498</w:t>
            </w:r>
          </w:p>
        </w:tc>
        <w:tc>
          <w:tcPr>
            <w:tcW w:type="dxa" w:w="1504"/>
          </w:tcPr>
          <w:p>
            <w:pPr>
              <w:spacing w:after="0"/>
              <w:jc w:val="left"/>
            </w:pPr>
            <w:r/>
            <w:r>
              <w:rPr>
                <w:rFonts w:ascii="Times New Roman" w:hAnsi="Times New Roman"/>
                <w:sz w:val="21"/>
              </w:rPr>
              <w:t>0.498</w:t>
            </w:r>
          </w:p>
        </w:tc>
      </w:tr>
      <w:tr>
        <w:tc>
          <w:tcPr>
            <w:tcW w:type="dxa" w:w="1504"/>
          </w:tcPr>
          <w:p>
            <w:pPr>
              <w:spacing w:after="0"/>
              <w:jc w:val="left"/>
            </w:pPr>
            <w:r/>
            <w:r>
              <w:rPr>
                <w:rFonts w:ascii="Times New Roman" w:hAnsi="Times New Roman"/>
                <w:sz w:val="21"/>
              </w:rPr>
              <w:t>Temporal split: PR-AUC on 2020-2025</w:t>
            </w:r>
          </w:p>
        </w:tc>
        <w:tc>
          <w:tcPr>
            <w:tcW w:type="dxa" w:w="1504"/>
          </w:tcPr>
          <w:p>
            <w:pPr>
              <w:spacing w:after="0"/>
              <w:jc w:val="left"/>
            </w:pPr>
            <w:r/>
            <w:r>
              <w:rPr>
                <w:rFonts w:ascii="Times New Roman" w:hAnsi="Times New Roman"/>
                <w:sz w:val="21"/>
              </w:rPr>
              <w:t>0.843</w:t>
            </w:r>
          </w:p>
        </w:tc>
        <w:tc>
          <w:tcPr>
            <w:tcW w:type="dxa" w:w="1504"/>
          </w:tcPr>
          <w:p>
            <w:pPr>
              <w:spacing w:after="0"/>
              <w:jc w:val="left"/>
            </w:pPr>
            <w:r/>
            <w:r>
              <w:rPr>
                <w:rFonts w:ascii="Times New Roman" w:hAnsi="Times New Roman"/>
                <w:sz w:val="21"/>
              </w:rPr>
              <w:t>0.834</w:t>
            </w:r>
          </w:p>
        </w:tc>
        <w:tc>
          <w:tcPr>
            <w:tcW w:type="dxa" w:w="1504"/>
          </w:tcPr>
          <w:p>
            <w:pPr>
              <w:spacing w:after="0"/>
              <w:jc w:val="left"/>
            </w:pPr>
            <w:r/>
            <w:r>
              <w:rPr>
                <w:rFonts w:ascii="Times New Roman" w:hAnsi="Times New Roman"/>
                <w:sz w:val="21"/>
              </w:rPr>
              <w:t>not run</w:t>
            </w:r>
          </w:p>
        </w:tc>
        <w:tc>
          <w:tcPr>
            <w:tcW w:type="dxa" w:w="1504"/>
          </w:tcPr>
          <w:p>
            <w:pPr>
              <w:spacing w:after="0"/>
              <w:jc w:val="left"/>
            </w:pPr>
            <w:r/>
            <w:r>
              <w:rPr>
                <w:rFonts w:ascii="Times New Roman" w:hAnsi="Times New Roman"/>
                <w:sz w:val="21"/>
              </w:rPr>
              <w:t>not run</w:t>
            </w:r>
          </w:p>
        </w:tc>
        <w:tc>
          <w:tcPr>
            <w:tcW w:type="dxa" w:w="1504"/>
          </w:tcPr>
          <w:p>
            <w:pPr>
              <w:spacing w:after="0"/>
              <w:jc w:val="left"/>
            </w:pPr>
            <w:r/>
            <w:r>
              <w:rPr>
                <w:rFonts w:ascii="Times New Roman" w:hAnsi="Times New Roman"/>
                <w:sz w:val="21"/>
              </w:rPr>
              <w:t>not run</w:t>
            </w:r>
          </w:p>
        </w:tc>
      </w:tr>
      <w:tr>
        <w:tc>
          <w:tcPr>
            <w:tcW w:type="dxa" w:w="1504"/>
          </w:tcPr>
          <w:p>
            <w:pPr>
              <w:spacing w:after="0"/>
              <w:jc w:val="left"/>
            </w:pPr>
            <w:r/>
            <w:r>
              <w:rPr>
                <w:rFonts w:ascii="Times New Roman" w:hAnsi="Times New Roman"/>
                <w:sz w:val="21"/>
              </w:rPr>
              <w:t>Temporal split: specificity at the capacity threshold across three feature variants</w:t>
            </w:r>
          </w:p>
        </w:tc>
        <w:tc>
          <w:tcPr>
            <w:tcW w:type="dxa" w:w="1504"/>
          </w:tcPr>
          <w:p>
            <w:pPr>
              <w:spacing w:after="0"/>
              <w:jc w:val="left"/>
            </w:pPr>
            <w:r/>
            <w:r>
              <w:rPr>
                <w:rFonts w:ascii="Times New Roman" w:hAnsi="Times New Roman"/>
                <w:sz w:val="21"/>
              </w:rPr>
              <w:t>0.376 to 0.378</w:t>
            </w:r>
          </w:p>
        </w:tc>
        <w:tc>
          <w:tcPr>
            <w:tcW w:type="dxa" w:w="1504"/>
          </w:tcPr>
          <w:p>
            <w:pPr>
              <w:spacing w:after="0"/>
              <w:jc w:val="left"/>
            </w:pPr>
            <w:r/>
            <w:r>
              <w:rPr>
                <w:rFonts w:ascii="Times New Roman" w:hAnsi="Times New Roman"/>
                <w:sz w:val="21"/>
              </w:rPr>
              <w:t>0.313 to 0.425</w:t>
            </w:r>
          </w:p>
        </w:tc>
        <w:tc>
          <w:tcPr>
            <w:tcW w:type="dxa" w:w="1504"/>
          </w:tcPr>
          <w:p>
            <w:pPr>
              <w:spacing w:after="0"/>
              <w:jc w:val="left"/>
            </w:pPr>
            <w:r/>
            <w:r>
              <w:rPr>
                <w:rFonts w:ascii="Times New Roman" w:hAnsi="Times New Roman"/>
                <w:sz w:val="21"/>
              </w:rPr>
              <w:t>not run</w:t>
            </w:r>
          </w:p>
        </w:tc>
        <w:tc>
          <w:tcPr>
            <w:tcW w:type="dxa" w:w="1504"/>
          </w:tcPr>
          <w:p>
            <w:pPr>
              <w:spacing w:after="0"/>
              <w:jc w:val="left"/>
            </w:pPr>
            <w:r/>
            <w:r>
              <w:rPr>
                <w:rFonts w:ascii="Times New Roman" w:hAnsi="Times New Roman"/>
                <w:sz w:val="21"/>
              </w:rPr>
              <w:t>not run</w:t>
            </w:r>
          </w:p>
        </w:tc>
        <w:tc>
          <w:tcPr>
            <w:tcW w:type="dxa" w:w="1504"/>
          </w:tcPr>
          <w:p>
            <w:pPr>
              <w:spacing w:after="0"/>
              <w:jc w:val="left"/>
            </w:pPr>
            <w:r/>
            <w:r>
              <w:rPr>
                <w:rFonts w:ascii="Times New Roman" w:hAnsi="Times New Roman"/>
                <w:sz w:val="21"/>
              </w:rPr>
              <w:t>not run</w:t>
            </w:r>
          </w:p>
        </w:tc>
      </w:tr>
      <w:tr>
        <w:tc>
          <w:tcPr>
            <w:tcW w:type="dxa" w:w="1504"/>
          </w:tcPr>
          <w:p>
            <w:pPr>
              <w:spacing w:after="0"/>
              <w:jc w:val="left"/>
            </w:pPr>
            <w:r/>
            <w:r>
              <w:rPr>
                <w:rFonts w:ascii="Times New Roman" w:hAnsi="Times New Roman"/>
                <w:sz w:val="21"/>
              </w:rPr>
              <w:t>Explanation available</w:t>
            </w:r>
          </w:p>
        </w:tc>
        <w:tc>
          <w:tcPr>
            <w:tcW w:type="dxa" w:w="1504"/>
          </w:tcPr>
          <w:p>
            <w:pPr>
              <w:spacing w:after="0"/>
              <w:jc w:val="left"/>
            </w:pPr>
            <w:r/>
            <w:r>
              <w:rPr>
                <w:rFonts w:ascii="Times New Roman" w:hAnsi="Times New Roman"/>
                <w:sz w:val="21"/>
              </w:rPr>
              <w:t>permutation importance; SHAP values</w:t>
            </w:r>
          </w:p>
        </w:tc>
        <w:tc>
          <w:tcPr>
            <w:tcW w:type="dxa" w:w="1504"/>
          </w:tcPr>
          <w:p>
            <w:pPr>
              <w:spacing w:after="0"/>
              <w:jc w:val="left"/>
            </w:pPr>
            <w:r/>
            <w:r>
              <w:rPr>
                <w:rFonts w:ascii="Times New Roman" w:hAnsi="Times New Roman"/>
                <w:sz w:val="21"/>
              </w:rPr>
              <w:t>permutation importance</w:t>
            </w:r>
          </w:p>
        </w:tc>
        <w:tc>
          <w:tcPr>
            <w:tcW w:type="dxa" w:w="1504"/>
          </w:tcPr>
          <w:p>
            <w:pPr>
              <w:spacing w:after="0"/>
              <w:jc w:val="left"/>
            </w:pPr>
            <w:r/>
            <w:r>
              <w:rPr>
                <w:rFonts w:ascii="Times New Roman" w:hAnsi="Times New Roman"/>
                <w:sz w:val="21"/>
              </w:rPr>
              <w:t>permutation importance</w:t>
            </w:r>
          </w:p>
        </w:tc>
        <w:tc>
          <w:tcPr>
            <w:tcW w:type="dxa" w:w="1504"/>
          </w:tcPr>
          <w:p>
            <w:pPr>
              <w:spacing w:after="0"/>
              <w:jc w:val="left"/>
            </w:pPr>
            <w:r/>
            <w:r>
              <w:rPr>
                <w:rFonts w:ascii="Times New Roman" w:hAnsi="Times New Roman"/>
                <w:sz w:val="21"/>
              </w:rPr>
              <w:t>coefficients as odds ratios</w:t>
            </w:r>
          </w:p>
        </w:tc>
        <w:tc>
          <w:tcPr>
            <w:tcW w:type="dxa" w:w="1504"/>
          </w:tcPr>
          <w:p>
            <w:pPr>
              <w:spacing w:after="0"/>
              <w:jc w:val="left"/>
            </w:pPr>
            <w:r/>
            <w:r>
              <w:rPr>
                <w:rFonts w:ascii="Times New Roman" w:hAnsi="Times New Roman"/>
                <w:sz w:val="21"/>
              </w:rPr>
              <w:t>permutation importance</w:t>
            </w:r>
          </w:p>
        </w:tc>
      </w:tr>
      <w:tr>
        <w:tc>
          <w:tcPr>
            <w:tcW w:type="dxa" w:w="1504"/>
          </w:tcPr>
          <w:p>
            <w:pPr>
              <w:spacing w:after="0"/>
              <w:jc w:val="left"/>
            </w:pPr>
            <w:r/>
            <w:r>
              <w:rPr>
                <w:rFonts w:ascii="Times New Roman" w:hAnsi="Times New Roman"/>
                <w:sz w:val="21"/>
              </w:rPr>
              <w:t>Scaler needed</w:t>
            </w:r>
          </w:p>
        </w:tc>
        <w:tc>
          <w:tcPr>
            <w:tcW w:type="dxa" w:w="1504"/>
          </w:tcPr>
          <w:p>
            <w:pPr>
              <w:spacing w:after="0"/>
              <w:jc w:val="left"/>
            </w:pPr>
            <w:r/>
            <w:r>
              <w:rPr>
                <w:rFonts w:ascii="Times New Roman" w:hAnsi="Times New Roman"/>
                <w:sz w:val="21"/>
              </w:rPr>
              <w:t>no</w:t>
            </w:r>
          </w:p>
        </w:tc>
        <w:tc>
          <w:tcPr>
            <w:tcW w:type="dxa" w:w="1504"/>
          </w:tcPr>
          <w:p>
            <w:pPr>
              <w:spacing w:after="0"/>
              <w:jc w:val="left"/>
            </w:pPr>
            <w:r/>
            <w:r>
              <w:rPr>
                <w:rFonts w:ascii="Times New Roman" w:hAnsi="Times New Roman"/>
                <w:sz w:val="21"/>
              </w:rPr>
              <w:t>yes</w:t>
            </w:r>
          </w:p>
        </w:tc>
        <w:tc>
          <w:tcPr>
            <w:tcW w:type="dxa" w:w="1504"/>
          </w:tcPr>
          <w:p>
            <w:pPr>
              <w:spacing w:after="0"/>
              <w:jc w:val="left"/>
            </w:pPr>
            <w:r/>
            <w:r>
              <w:rPr>
                <w:rFonts w:ascii="Times New Roman" w:hAnsi="Times New Roman"/>
                <w:sz w:val="21"/>
              </w:rPr>
              <w:t>no</w:t>
            </w:r>
          </w:p>
        </w:tc>
        <w:tc>
          <w:tcPr>
            <w:tcW w:type="dxa" w:w="1504"/>
          </w:tcPr>
          <w:p>
            <w:pPr>
              <w:spacing w:after="0"/>
              <w:jc w:val="left"/>
            </w:pPr>
            <w:r/>
            <w:r>
              <w:rPr>
                <w:rFonts w:ascii="Times New Roman" w:hAnsi="Times New Roman"/>
                <w:sz w:val="21"/>
              </w:rPr>
              <w:t>yes</w:t>
            </w:r>
          </w:p>
        </w:tc>
        <w:tc>
          <w:tcPr>
            <w:tcW w:type="dxa" w:w="1504"/>
          </w:tcPr>
          <w:p>
            <w:pPr>
              <w:spacing w:after="0"/>
              <w:jc w:val="left"/>
            </w:pPr>
            <w:r/>
            <w:r>
              <w:rPr>
                <w:rFonts w:ascii="Times New Roman" w:hAnsi="Times New Roman"/>
                <w:sz w:val="21"/>
              </w:rPr>
              <w:t>yes</w:t>
            </w:r>
          </w:p>
        </w:tc>
      </w:tr>
      <w:tr>
        <w:tc>
          <w:tcPr>
            <w:tcW w:type="dxa" w:w="1504"/>
          </w:tcPr>
          <w:p>
            <w:pPr>
              <w:spacing w:after="0"/>
              <w:jc w:val="left"/>
            </w:pPr>
            <w:r/>
            <w:r>
              <w:rPr>
                <w:rFonts w:ascii="Times New Roman" w:hAnsi="Times New Roman"/>
                <w:sz w:val="21"/>
              </w:rPr>
              <w:t>Tuning time (s)</w:t>
            </w:r>
          </w:p>
        </w:tc>
        <w:tc>
          <w:tcPr>
            <w:tcW w:type="dxa" w:w="1504"/>
          </w:tcPr>
          <w:p>
            <w:pPr>
              <w:spacing w:after="0"/>
              <w:jc w:val="left"/>
            </w:pPr>
            <w:r/>
            <w:r>
              <w:rPr>
                <w:rFonts w:ascii="Times New Roman" w:hAnsi="Times New Roman"/>
                <w:sz w:val="21"/>
              </w:rPr>
              <w:t>580</w:t>
            </w:r>
          </w:p>
        </w:tc>
        <w:tc>
          <w:tcPr>
            <w:tcW w:type="dxa" w:w="1504"/>
          </w:tcPr>
          <w:p>
            <w:pPr>
              <w:spacing w:after="0"/>
              <w:jc w:val="left"/>
            </w:pPr>
            <w:r/>
            <w:r>
              <w:rPr>
                <w:rFonts w:ascii="Times New Roman" w:hAnsi="Times New Roman"/>
                <w:sz w:val="21"/>
              </w:rPr>
              <w:t>188</w:t>
            </w:r>
          </w:p>
        </w:tc>
        <w:tc>
          <w:tcPr>
            <w:tcW w:type="dxa" w:w="1504"/>
          </w:tcPr>
          <w:p>
            <w:pPr>
              <w:spacing w:after="0"/>
              <w:jc w:val="left"/>
            </w:pPr>
            <w:r/>
            <w:r>
              <w:rPr>
                <w:rFonts w:ascii="Times New Roman" w:hAnsi="Times New Roman"/>
                <w:sz w:val="21"/>
              </w:rPr>
              <w:t>140</w:t>
            </w:r>
          </w:p>
        </w:tc>
        <w:tc>
          <w:tcPr>
            <w:tcW w:type="dxa" w:w="1504"/>
          </w:tcPr>
          <w:p>
            <w:pPr>
              <w:spacing w:after="0"/>
              <w:jc w:val="left"/>
            </w:pPr>
            <w:r/>
            <w:r>
              <w:rPr>
                <w:rFonts w:ascii="Times New Roman" w:hAnsi="Times New Roman"/>
                <w:sz w:val="21"/>
              </w:rPr>
              <w:t>71</w:t>
            </w:r>
          </w:p>
        </w:tc>
        <w:tc>
          <w:tcPr>
            <w:tcW w:type="dxa" w:w="1504"/>
          </w:tcPr>
          <w:p>
            <w:pPr>
              <w:spacing w:after="0"/>
              <w:jc w:val="left"/>
            </w:pPr>
            <w:r/>
            <w:r>
              <w:rPr>
                <w:rFonts w:ascii="Times New Roman" w:hAnsi="Times New Roman"/>
                <w:sz w:val="21"/>
              </w:rPr>
              <w:t>1,193</w:t>
            </w:r>
          </w:p>
        </w:tc>
      </w:tr>
      <w:tr>
        <w:tc>
          <w:tcPr>
            <w:tcW w:type="dxa" w:w="1504"/>
          </w:tcPr>
          <w:p>
            <w:pPr>
              <w:spacing w:after="0"/>
              <w:jc w:val="left"/>
            </w:pPr>
            <w:r/>
            <w:r>
              <w:rPr>
                <w:rFonts w:ascii="Times New Roman" w:hAnsi="Times New Roman"/>
                <w:sz w:val="21"/>
              </w:rPr>
              <w:t>Prediction time for 20,320 reports (s)</w:t>
            </w:r>
          </w:p>
        </w:tc>
        <w:tc>
          <w:tcPr>
            <w:tcW w:type="dxa" w:w="1504"/>
          </w:tcPr>
          <w:p>
            <w:pPr>
              <w:spacing w:after="0"/>
              <w:jc w:val="left"/>
            </w:pPr>
            <w:r/>
            <w:r>
              <w:rPr>
                <w:rFonts w:ascii="Times New Roman" w:hAnsi="Times New Roman"/>
                <w:sz w:val="21"/>
              </w:rPr>
              <w:t>0.27</w:t>
            </w:r>
          </w:p>
        </w:tc>
        <w:tc>
          <w:tcPr>
            <w:tcW w:type="dxa" w:w="1504"/>
          </w:tcPr>
          <w:p>
            <w:pPr>
              <w:spacing w:after="0"/>
              <w:jc w:val="left"/>
            </w:pPr>
            <w:r/>
            <w:r>
              <w:rPr>
                <w:rFonts w:ascii="Times New Roman" w:hAnsi="Times New Roman"/>
                <w:sz w:val="21"/>
              </w:rPr>
              <w:t>0.12</w:t>
            </w:r>
          </w:p>
        </w:tc>
        <w:tc>
          <w:tcPr>
            <w:tcW w:type="dxa" w:w="1504"/>
          </w:tcPr>
          <w:p>
            <w:pPr>
              <w:spacing w:after="0"/>
              <w:jc w:val="left"/>
            </w:pPr>
            <w:r/>
            <w:r>
              <w:rPr>
                <w:rFonts w:ascii="Times New Roman" w:hAnsi="Times New Roman"/>
                <w:sz w:val="21"/>
              </w:rPr>
              <w:t>0.64</w:t>
            </w:r>
          </w:p>
        </w:tc>
        <w:tc>
          <w:tcPr>
            <w:tcW w:type="dxa" w:w="1504"/>
          </w:tcPr>
          <w:p>
            <w:pPr>
              <w:spacing w:after="0"/>
              <w:jc w:val="left"/>
            </w:pPr>
            <w:r/>
            <w:r>
              <w:rPr>
                <w:rFonts w:ascii="Times New Roman" w:hAnsi="Times New Roman"/>
                <w:sz w:val="21"/>
              </w:rPr>
              <w:t>0.09</w:t>
            </w:r>
          </w:p>
        </w:tc>
        <w:tc>
          <w:tcPr>
            <w:tcW w:type="dxa" w:w="1504"/>
          </w:tcPr>
          <w:p>
            <w:pPr>
              <w:spacing w:after="0"/>
              <w:jc w:val="left"/>
            </w:pPr>
            <w:r/>
            <w:r>
              <w:rPr>
                <w:rFonts w:ascii="Times New Roman" w:hAnsi="Times New Roman"/>
                <w:sz w:val="21"/>
              </w:rPr>
              <w:t>45.36</w:t>
            </w:r>
          </w:p>
        </w:tc>
      </w:tr>
      <w:tr>
        <w:tc>
          <w:tcPr>
            <w:tcW w:type="dxa" w:w="1504"/>
          </w:tcPr>
          <w:p>
            <w:pPr>
              <w:spacing w:after="0"/>
              <w:jc w:val="left"/>
            </w:pPr>
            <w:r/>
            <w:r>
              <w:rPr>
                <w:rFonts w:ascii="Times New Roman" w:hAnsi="Times New Roman"/>
                <w:sz w:val="21"/>
              </w:rPr>
              <w:t>Saved pipeline (MB)</w:t>
            </w:r>
          </w:p>
        </w:tc>
        <w:tc>
          <w:tcPr>
            <w:tcW w:type="dxa" w:w="1504"/>
          </w:tcPr>
          <w:p>
            <w:pPr>
              <w:spacing w:after="0"/>
              <w:jc w:val="left"/>
            </w:pPr>
            <w:r/>
            <w:r>
              <w:rPr>
                <w:rFonts w:ascii="Times New Roman" w:hAnsi="Times New Roman"/>
                <w:sz w:val="21"/>
              </w:rPr>
              <w:t>0.45</w:t>
            </w:r>
          </w:p>
        </w:tc>
        <w:tc>
          <w:tcPr>
            <w:tcW w:type="dxa" w:w="1504"/>
          </w:tcPr>
          <w:p>
            <w:pPr>
              <w:spacing w:after="0"/>
              <w:jc w:val="left"/>
            </w:pPr>
            <w:r/>
            <w:r>
              <w:rPr>
                <w:rFonts w:ascii="Times New Roman" w:hAnsi="Times New Roman"/>
                <w:sz w:val="21"/>
              </w:rPr>
              <w:t>0.81</w:t>
            </w:r>
          </w:p>
        </w:tc>
        <w:tc>
          <w:tcPr>
            <w:tcW w:type="dxa" w:w="1504"/>
          </w:tcPr>
          <w:p>
            <w:pPr>
              <w:spacing w:after="0"/>
              <w:jc w:val="left"/>
            </w:pPr>
            <w:r/>
            <w:r>
              <w:rPr>
                <w:rFonts w:ascii="Times New Roman" w:hAnsi="Times New Roman"/>
                <w:sz w:val="21"/>
              </w:rPr>
              <w:t>20.37</w:t>
            </w:r>
          </w:p>
        </w:tc>
        <w:tc>
          <w:tcPr>
            <w:tcW w:type="dxa" w:w="1504"/>
          </w:tcPr>
          <w:p>
            <w:pPr>
              <w:spacing w:after="0"/>
              <w:jc w:val="left"/>
            </w:pPr>
            <w:r/>
            <w:r>
              <w:rPr>
                <w:rFonts w:ascii="Times New Roman" w:hAnsi="Times New Roman"/>
                <w:sz w:val="21"/>
              </w:rPr>
              <w:t>0.01</w:t>
            </w:r>
          </w:p>
        </w:tc>
        <w:tc>
          <w:tcPr>
            <w:tcW w:type="dxa" w:w="1504"/>
          </w:tcPr>
          <w:p>
            <w:pPr>
              <w:spacing w:after="0"/>
              <w:jc w:val="left"/>
            </w:pPr>
            <w:r/>
            <w:r>
              <w:rPr>
                <w:rFonts w:ascii="Times New Roman" w:hAnsi="Times New Roman"/>
                <w:sz w:val="21"/>
              </w:rPr>
              <w:t>1.25</w:t>
            </w:r>
          </w:p>
        </w:tc>
      </w:tr>
    </w:tbl>
    <w:p>
      <w:pPr>
        <w:spacing w:after="80"/>
      </w:pPr>
    </w:p>
    <w:p>
      <w:pPr>
        <w:keepNext/>
        <w:jc w:val="center"/>
      </w:pPr>
      <w:r>
        <w:drawing>
          <wp:inline xmlns:a="http://schemas.openxmlformats.org/drawingml/2006/main" xmlns:pic="http://schemas.openxmlformats.org/drawingml/2006/picture">
            <wp:extent cx="5029200" cy="4827255"/>
            <wp:docPr id="18" name="Picture 18"/>
            <wp:cNvGraphicFramePr>
              <a:graphicFrameLocks noChangeAspect="1"/>
            </wp:cNvGraphicFramePr>
            <a:graphic>
              <a:graphicData uri="http://schemas.openxmlformats.org/drawingml/2006/picture">
                <pic:pic>
                  <pic:nvPicPr>
                    <pic:cNvPr id="0" name="F17_feature_importance_hist_gb.png"/>
                    <pic:cNvPicPr/>
                  </pic:nvPicPr>
                  <pic:blipFill>
                    <a:blip r:embed="rId28"/>
                    <a:stretch>
                      <a:fillRect/>
                    </a:stretch>
                  </pic:blipFill>
                  <pic:spPr>
                    <a:xfrm>
                      <a:off x="0" y="0"/>
                      <a:ext cx="5029200" cy="4827255"/>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Permutation importance of the 20 most important input features of HGB, measured as the mean drop in test PR-AUC (average precision) over five shuffles on 5,000 test reports with one standard deviation whiskers; importance is computed on input features rather than one-hot columns so that each nominal code counts once. Source: author's analysis of MSHA open data.</w:t>
      </w:r>
    </w:p>
    <w:p>
      <w:pPr>
        <w:keepNext/>
        <w:jc w:val="center"/>
      </w:pPr>
      <w:r>
        <w:drawing>
          <wp:inline xmlns:a="http://schemas.openxmlformats.org/drawingml/2006/main" xmlns:pic="http://schemas.openxmlformats.org/drawingml/2006/picture">
            <wp:extent cx="5029200" cy="4872405"/>
            <wp:docPr id="19" name="Picture 19"/>
            <wp:cNvGraphicFramePr>
              <a:graphicFrameLocks noChangeAspect="1"/>
            </wp:cNvGraphicFramePr>
            <a:graphic>
              <a:graphicData uri="http://schemas.openxmlformats.org/drawingml/2006/picture">
                <pic:pic>
                  <pic:nvPicPr>
                    <pic:cNvPr id="0" name="F17b_coefficients_logreg.png"/>
                    <pic:cNvPicPr/>
                  </pic:nvPicPr>
                  <pic:blipFill>
                    <a:blip r:embed="rId29"/>
                    <a:stretch>
                      <a:fillRect/>
                    </a:stretch>
                  </pic:blipFill>
                  <pic:spPr>
                    <a:xfrm>
                      <a:off x="0" y="0"/>
                      <a:ext cx="5029200" cy="4872405"/>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The 20 largest coefficients of the tuned logistic regression fitted on the training split, with numeric inputs standardised and one-hot columns coded 0 or 1 and labelled by their codebook meaning, where positive values (blue) raise and negative values (orange) lower the odds of a lost-time case; signed bars are used because each coefficient converts to an odds ratio. Source: author's analysis of MSHA open data.</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16</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Confusion counts on the 20,320 test reports for HGB at its capacity threshold and at 0.5, and for the lookup baseline at its capacity threshold, where a true positive is a lost-time case flagged for early review and a false negative a lost-time case left in routine handling.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1"/>
              </w:rPr>
              <w:t>Model and threshold</w:t>
            </w:r>
          </w:p>
        </w:tc>
        <w:tc>
          <w:tcPr>
            <w:tcW w:type="dxa" w:w="1128"/>
            <w:shd w:val="clear" w:color="auto" w:fill="E7E6E6"/>
          </w:tcPr>
          <w:p>
            <w:pPr>
              <w:jc w:val="left"/>
            </w:pPr>
            <w:r>
              <w:rPr>
                <w:b/>
              </w:rPr>
            </w:r>
            <w:r>
              <w:rPr>
                <w:rFonts w:ascii="Times New Roman" w:hAnsi="Times New Roman"/>
                <w:b/>
                <w:sz w:val="21"/>
              </w:rPr>
              <w:t>TP: lost-time, flagged</w:t>
            </w:r>
          </w:p>
        </w:tc>
        <w:tc>
          <w:tcPr>
            <w:tcW w:type="dxa" w:w="1128"/>
            <w:shd w:val="clear" w:color="auto" w:fill="E7E6E6"/>
          </w:tcPr>
          <w:p>
            <w:pPr>
              <w:jc w:val="left"/>
            </w:pPr>
            <w:r>
              <w:rPr>
                <w:b/>
              </w:rPr>
            </w:r>
            <w:r>
              <w:rPr>
                <w:rFonts w:ascii="Times New Roman" w:hAnsi="Times New Roman"/>
                <w:b/>
                <w:sz w:val="21"/>
              </w:rPr>
              <w:t>FN: lost-time, not flagged</w:t>
            </w:r>
          </w:p>
        </w:tc>
        <w:tc>
          <w:tcPr>
            <w:tcW w:type="dxa" w:w="1128"/>
            <w:shd w:val="clear" w:color="auto" w:fill="E7E6E6"/>
          </w:tcPr>
          <w:p>
            <w:pPr>
              <w:jc w:val="left"/>
            </w:pPr>
            <w:r>
              <w:rPr>
                <w:b/>
              </w:rPr>
            </w:r>
            <w:r>
              <w:rPr>
                <w:rFonts w:ascii="Times New Roman" w:hAnsi="Times New Roman"/>
                <w:b/>
                <w:sz w:val="21"/>
              </w:rPr>
              <w:t>FP: other, flagged</w:t>
            </w:r>
          </w:p>
        </w:tc>
        <w:tc>
          <w:tcPr>
            <w:tcW w:type="dxa" w:w="1128"/>
            <w:shd w:val="clear" w:color="auto" w:fill="E7E6E6"/>
          </w:tcPr>
          <w:p>
            <w:pPr>
              <w:jc w:val="left"/>
            </w:pPr>
            <w:r>
              <w:rPr>
                <w:b/>
              </w:rPr>
            </w:r>
            <w:r>
              <w:rPr>
                <w:rFonts w:ascii="Times New Roman" w:hAnsi="Times New Roman"/>
                <w:b/>
                <w:sz w:val="21"/>
              </w:rPr>
              <w:t>TN: other, not flagged</w:t>
            </w:r>
          </w:p>
        </w:tc>
        <w:tc>
          <w:tcPr>
            <w:tcW w:type="dxa" w:w="1128"/>
            <w:shd w:val="clear" w:color="auto" w:fill="E7E6E6"/>
          </w:tcPr>
          <w:p>
            <w:pPr>
              <w:jc w:val="left"/>
            </w:pPr>
            <w:r>
              <w:rPr>
                <w:b/>
              </w:rPr>
            </w:r>
            <w:r>
              <w:rPr>
                <w:rFonts w:ascii="Times New Roman" w:hAnsi="Times New Roman"/>
                <w:b/>
                <w:sz w:val="21"/>
              </w:rPr>
              <w:t>Recall</w:t>
            </w:r>
          </w:p>
        </w:tc>
        <w:tc>
          <w:tcPr>
            <w:tcW w:type="dxa" w:w="1128"/>
            <w:shd w:val="clear" w:color="auto" w:fill="E7E6E6"/>
          </w:tcPr>
          <w:p>
            <w:pPr>
              <w:jc w:val="left"/>
            </w:pPr>
            <w:r>
              <w:rPr>
                <w:b/>
              </w:rPr>
            </w:r>
            <w:r>
              <w:rPr>
                <w:rFonts w:ascii="Times New Roman" w:hAnsi="Times New Roman"/>
                <w:b/>
                <w:sz w:val="21"/>
              </w:rPr>
              <w:t>Precision</w:t>
            </w:r>
          </w:p>
        </w:tc>
        <w:tc>
          <w:tcPr>
            <w:tcW w:type="dxa" w:w="1128"/>
            <w:shd w:val="clear" w:color="auto" w:fill="E7E6E6"/>
          </w:tcPr>
          <w:p>
            <w:pPr>
              <w:jc w:val="left"/>
            </w:pPr>
            <w:r>
              <w:rPr>
                <w:b/>
              </w:rPr>
            </w:r>
            <w:r>
              <w:rPr>
                <w:rFonts w:ascii="Times New Roman" w:hAnsi="Times New Roman"/>
                <w:b/>
                <w:sz w:val="21"/>
              </w:rPr>
              <w:t>Flag rate</w:t>
            </w:r>
          </w:p>
        </w:tc>
      </w:tr>
      <w:tr>
        <w:tc>
          <w:tcPr>
            <w:tcW w:type="dxa" w:w="1128"/>
          </w:tcPr>
          <w:p>
            <w:pPr>
              <w:spacing w:after="0"/>
              <w:jc w:val="left"/>
            </w:pPr>
            <w:r/>
            <w:r>
              <w:rPr>
                <w:rFonts w:ascii="Times New Roman" w:hAnsi="Times New Roman"/>
                <w:sz w:val="21"/>
              </w:rPr>
              <w:t>HGB, capacity threshold 0.210</w:t>
            </w:r>
          </w:p>
        </w:tc>
        <w:tc>
          <w:tcPr>
            <w:tcW w:type="dxa" w:w="1128"/>
          </w:tcPr>
          <w:p>
            <w:pPr>
              <w:spacing w:after="0"/>
              <w:jc w:val="left"/>
            </w:pPr>
            <w:r/>
            <w:r>
              <w:rPr>
                <w:rFonts w:ascii="Times New Roman" w:hAnsi="Times New Roman"/>
                <w:sz w:val="21"/>
              </w:rPr>
              <w:t>9,312</w:t>
            </w:r>
          </w:p>
        </w:tc>
        <w:tc>
          <w:tcPr>
            <w:tcW w:type="dxa" w:w="1128"/>
          </w:tcPr>
          <w:p>
            <w:pPr>
              <w:spacing w:after="0"/>
              <w:jc w:val="left"/>
            </w:pPr>
            <w:r/>
            <w:r>
              <w:rPr>
                <w:rFonts w:ascii="Times New Roman" w:hAnsi="Times New Roman"/>
                <w:sz w:val="21"/>
              </w:rPr>
              <w:t>561</w:t>
            </w:r>
          </w:p>
        </w:tc>
        <w:tc>
          <w:tcPr>
            <w:tcW w:type="dxa" w:w="1128"/>
          </w:tcPr>
          <w:p>
            <w:pPr>
              <w:spacing w:after="0"/>
              <w:jc w:val="left"/>
            </w:pPr>
            <w:r/>
            <w:r>
              <w:rPr>
                <w:rFonts w:ascii="Times New Roman" w:hAnsi="Times New Roman"/>
                <w:sz w:val="21"/>
              </w:rPr>
              <w:t>6,232</w:t>
            </w:r>
          </w:p>
        </w:tc>
        <w:tc>
          <w:tcPr>
            <w:tcW w:type="dxa" w:w="1128"/>
          </w:tcPr>
          <w:p>
            <w:pPr>
              <w:spacing w:after="0"/>
              <w:jc w:val="left"/>
            </w:pPr>
            <w:r/>
            <w:r>
              <w:rPr>
                <w:rFonts w:ascii="Times New Roman" w:hAnsi="Times New Roman"/>
                <w:sz w:val="21"/>
              </w:rPr>
              <w:t>4,215</w:t>
            </w:r>
          </w:p>
        </w:tc>
        <w:tc>
          <w:tcPr>
            <w:tcW w:type="dxa" w:w="1128"/>
          </w:tcPr>
          <w:p>
            <w:pPr>
              <w:spacing w:after="0"/>
              <w:jc w:val="left"/>
            </w:pPr>
            <w:r/>
            <w:r>
              <w:rPr>
                <w:rFonts w:ascii="Times New Roman" w:hAnsi="Times New Roman"/>
                <w:sz w:val="21"/>
              </w:rPr>
              <w:t>0.943</w:t>
            </w:r>
          </w:p>
        </w:tc>
        <w:tc>
          <w:tcPr>
            <w:tcW w:type="dxa" w:w="1128"/>
          </w:tcPr>
          <w:p>
            <w:pPr>
              <w:spacing w:after="0"/>
              <w:jc w:val="left"/>
            </w:pPr>
            <w:r/>
            <w:r>
              <w:rPr>
                <w:rFonts w:ascii="Times New Roman" w:hAnsi="Times New Roman"/>
                <w:sz w:val="21"/>
              </w:rPr>
              <w:t>0.599</w:t>
            </w:r>
          </w:p>
        </w:tc>
        <w:tc>
          <w:tcPr>
            <w:tcW w:type="dxa" w:w="1128"/>
          </w:tcPr>
          <w:p>
            <w:pPr>
              <w:spacing w:after="0"/>
              <w:jc w:val="left"/>
            </w:pPr>
            <w:r/>
            <w:r>
              <w:rPr>
                <w:rFonts w:ascii="Times New Roman" w:hAnsi="Times New Roman"/>
                <w:sz w:val="21"/>
              </w:rPr>
              <w:t>0.765</w:t>
            </w:r>
          </w:p>
        </w:tc>
      </w:tr>
      <w:tr>
        <w:tc>
          <w:tcPr>
            <w:tcW w:type="dxa" w:w="1128"/>
          </w:tcPr>
          <w:p>
            <w:pPr>
              <w:spacing w:after="0"/>
              <w:jc w:val="left"/>
            </w:pPr>
            <w:r/>
            <w:r>
              <w:rPr>
                <w:rFonts w:ascii="Times New Roman" w:hAnsi="Times New Roman"/>
                <w:sz w:val="21"/>
              </w:rPr>
              <w:t>HGB, threshold 0.5</w:t>
            </w:r>
          </w:p>
        </w:tc>
        <w:tc>
          <w:tcPr>
            <w:tcW w:type="dxa" w:w="1128"/>
          </w:tcPr>
          <w:p>
            <w:pPr>
              <w:spacing w:after="0"/>
              <w:jc w:val="left"/>
            </w:pPr>
            <w:r/>
            <w:r>
              <w:rPr>
                <w:rFonts w:ascii="Times New Roman" w:hAnsi="Times New Roman"/>
                <w:sz w:val="21"/>
              </w:rPr>
              <w:t>7,284</w:t>
            </w:r>
          </w:p>
        </w:tc>
        <w:tc>
          <w:tcPr>
            <w:tcW w:type="dxa" w:w="1128"/>
          </w:tcPr>
          <w:p>
            <w:pPr>
              <w:spacing w:after="0"/>
              <w:jc w:val="left"/>
            </w:pPr>
            <w:r/>
            <w:r>
              <w:rPr>
                <w:rFonts w:ascii="Times New Roman" w:hAnsi="Times New Roman"/>
                <w:sz w:val="21"/>
              </w:rPr>
              <w:t>2,589</w:t>
            </w:r>
          </w:p>
        </w:tc>
        <w:tc>
          <w:tcPr>
            <w:tcW w:type="dxa" w:w="1128"/>
          </w:tcPr>
          <w:p>
            <w:pPr>
              <w:spacing w:after="0"/>
              <w:jc w:val="left"/>
            </w:pPr>
            <w:r/>
            <w:r>
              <w:rPr>
                <w:rFonts w:ascii="Times New Roman" w:hAnsi="Times New Roman"/>
                <w:sz w:val="21"/>
              </w:rPr>
              <w:t>2,249</w:t>
            </w:r>
          </w:p>
        </w:tc>
        <w:tc>
          <w:tcPr>
            <w:tcW w:type="dxa" w:w="1128"/>
          </w:tcPr>
          <w:p>
            <w:pPr>
              <w:spacing w:after="0"/>
              <w:jc w:val="left"/>
            </w:pPr>
            <w:r/>
            <w:r>
              <w:rPr>
                <w:rFonts w:ascii="Times New Roman" w:hAnsi="Times New Roman"/>
                <w:sz w:val="21"/>
              </w:rPr>
              <w:t>8,198</w:t>
            </w:r>
          </w:p>
        </w:tc>
        <w:tc>
          <w:tcPr>
            <w:tcW w:type="dxa" w:w="1128"/>
          </w:tcPr>
          <w:p>
            <w:pPr>
              <w:spacing w:after="0"/>
              <w:jc w:val="left"/>
            </w:pPr>
            <w:r/>
            <w:r>
              <w:rPr>
                <w:rFonts w:ascii="Times New Roman" w:hAnsi="Times New Roman"/>
                <w:sz w:val="21"/>
              </w:rPr>
              <w:t>0.738</w:t>
            </w:r>
          </w:p>
        </w:tc>
        <w:tc>
          <w:tcPr>
            <w:tcW w:type="dxa" w:w="1128"/>
          </w:tcPr>
          <w:p>
            <w:pPr>
              <w:spacing w:after="0"/>
              <w:jc w:val="left"/>
            </w:pPr>
            <w:r/>
            <w:r>
              <w:rPr>
                <w:rFonts w:ascii="Times New Roman" w:hAnsi="Times New Roman"/>
                <w:sz w:val="21"/>
              </w:rPr>
              <w:t>0.764</w:t>
            </w:r>
          </w:p>
        </w:tc>
        <w:tc>
          <w:tcPr>
            <w:tcW w:type="dxa" w:w="1128"/>
          </w:tcPr>
          <w:p>
            <w:pPr>
              <w:spacing w:after="0"/>
              <w:jc w:val="left"/>
            </w:pPr>
            <w:r/>
            <w:r>
              <w:rPr>
                <w:rFonts w:ascii="Times New Roman" w:hAnsi="Times New Roman"/>
                <w:sz w:val="21"/>
              </w:rPr>
              <w:t>0.469</w:t>
            </w:r>
          </w:p>
        </w:tc>
      </w:tr>
      <w:tr>
        <w:tc>
          <w:tcPr>
            <w:tcW w:type="dxa" w:w="1128"/>
          </w:tcPr>
          <w:p>
            <w:pPr>
              <w:spacing w:after="0"/>
              <w:jc w:val="left"/>
            </w:pPr>
            <w:r/>
            <w:r>
              <w:rPr>
                <w:rFonts w:ascii="Times New Roman" w:hAnsi="Times New Roman"/>
                <w:sz w:val="21"/>
              </w:rPr>
              <w:t>Lookup baseline, capacity threshold 0.225</w:t>
            </w:r>
          </w:p>
        </w:tc>
        <w:tc>
          <w:tcPr>
            <w:tcW w:type="dxa" w:w="1128"/>
          </w:tcPr>
          <w:p>
            <w:pPr>
              <w:spacing w:after="0"/>
              <w:jc w:val="left"/>
            </w:pPr>
            <w:r/>
            <w:r>
              <w:rPr>
                <w:rFonts w:ascii="Times New Roman" w:hAnsi="Times New Roman"/>
                <w:sz w:val="21"/>
              </w:rPr>
              <w:t>9,043</w:t>
            </w:r>
          </w:p>
        </w:tc>
        <w:tc>
          <w:tcPr>
            <w:tcW w:type="dxa" w:w="1128"/>
          </w:tcPr>
          <w:p>
            <w:pPr>
              <w:spacing w:after="0"/>
              <w:jc w:val="left"/>
            </w:pPr>
            <w:r/>
            <w:r>
              <w:rPr>
                <w:rFonts w:ascii="Times New Roman" w:hAnsi="Times New Roman"/>
                <w:sz w:val="21"/>
              </w:rPr>
              <w:t>830</w:t>
            </w:r>
          </w:p>
        </w:tc>
        <w:tc>
          <w:tcPr>
            <w:tcW w:type="dxa" w:w="1128"/>
          </w:tcPr>
          <w:p>
            <w:pPr>
              <w:spacing w:after="0"/>
              <w:jc w:val="left"/>
            </w:pPr>
            <w:r/>
            <w:r>
              <w:rPr>
                <w:rFonts w:ascii="Times New Roman" w:hAnsi="Times New Roman"/>
                <w:sz w:val="21"/>
              </w:rPr>
              <w:t>6,248</w:t>
            </w:r>
          </w:p>
        </w:tc>
        <w:tc>
          <w:tcPr>
            <w:tcW w:type="dxa" w:w="1128"/>
          </w:tcPr>
          <w:p>
            <w:pPr>
              <w:spacing w:after="0"/>
              <w:jc w:val="left"/>
            </w:pPr>
            <w:r/>
            <w:r>
              <w:rPr>
                <w:rFonts w:ascii="Times New Roman" w:hAnsi="Times New Roman"/>
                <w:sz w:val="21"/>
              </w:rPr>
              <w:t>4,199</w:t>
            </w:r>
          </w:p>
        </w:tc>
        <w:tc>
          <w:tcPr>
            <w:tcW w:type="dxa" w:w="1128"/>
          </w:tcPr>
          <w:p>
            <w:pPr>
              <w:spacing w:after="0"/>
              <w:jc w:val="left"/>
            </w:pPr>
            <w:r/>
            <w:r>
              <w:rPr>
                <w:rFonts w:ascii="Times New Roman" w:hAnsi="Times New Roman"/>
                <w:sz w:val="21"/>
              </w:rPr>
              <w:t>0.916</w:t>
            </w:r>
          </w:p>
        </w:tc>
        <w:tc>
          <w:tcPr>
            <w:tcW w:type="dxa" w:w="1128"/>
          </w:tcPr>
          <w:p>
            <w:pPr>
              <w:spacing w:after="0"/>
              <w:jc w:val="left"/>
            </w:pPr>
            <w:r/>
            <w:r>
              <w:rPr>
                <w:rFonts w:ascii="Times New Roman" w:hAnsi="Times New Roman"/>
                <w:sz w:val="21"/>
              </w:rPr>
              <w:t>0.591</w:t>
            </w:r>
          </w:p>
        </w:tc>
        <w:tc>
          <w:tcPr>
            <w:tcW w:type="dxa" w:w="1128"/>
          </w:tcPr>
          <w:p>
            <w:pPr>
              <w:spacing w:after="0"/>
              <w:jc w:val="left"/>
            </w:pPr>
            <w:r/>
            <w:r>
              <w:rPr>
                <w:rFonts w:ascii="Times New Roman" w:hAnsi="Times New Roman"/>
                <w:sz w:val="21"/>
              </w:rPr>
              <w:t>0.753</w:t>
            </w:r>
          </w:p>
        </w:tc>
      </w:tr>
    </w:tbl>
    <w:p>
      <w:pPr>
        <w:spacing w:after="80"/>
      </w:pPr>
    </w:p>
    <w:p>
      <w:pPr>
        <w:keepNext/>
        <w:jc w:val="center"/>
      </w:pPr>
      <w:r>
        <w:drawing>
          <wp:inline xmlns:a="http://schemas.openxmlformats.org/drawingml/2006/main" xmlns:pic="http://schemas.openxmlformats.org/drawingml/2006/picture">
            <wp:extent cx="5486400" cy="5081024"/>
            <wp:docPr id="20" name="Picture 20"/>
            <wp:cNvGraphicFramePr>
              <a:graphicFrameLocks noChangeAspect="1"/>
            </wp:cNvGraphicFramePr>
            <a:graphic>
              <a:graphicData uri="http://schemas.openxmlformats.org/drawingml/2006/picture">
                <pic:pic>
                  <pic:nvPicPr>
                    <pic:cNvPr id="0" name="F16_confusion_matrices.png"/>
                    <pic:cNvPicPr/>
                  </pic:nvPicPr>
                  <pic:blipFill>
                    <a:blip r:embed="rId30"/>
                    <a:stretch>
                      <a:fillRect/>
                    </a:stretch>
                  </pic:blipFill>
                  <pic:spPr>
                    <a:xfrm>
                      <a:off x="0" y="0"/>
                      <a:ext cx="5486400" cy="5081024"/>
                    </a:xfrm>
                    <a:prstGeom prst="rect"/>
                  </pic:spPr>
                </pic:pic>
              </a:graphicData>
            </a:graphic>
          </wp:inline>
        </w:drawing>
      </w:r>
    </w:p>
    <w:p>
      <w:pPr>
        <w:pStyle w:val="Caption"/>
      </w:pPr>
      <w:r>
        <w:rPr>
          <w:rFonts w:ascii="Times New Roman" w:hAnsi="Times New Roman"/>
          <w:sz w:val="22"/>
        </w:rPr>
        <w:t xml:space="preserve">Figure </w:t>
      </w:r>
      <w:r>
        <w:rPr>
          <w:rFonts w:ascii="Times New Roman" w:hAnsi="Times New Roman"/>
          <w:sz w:val="24"/>
        </w:rPr>
        <w:fldChar w:fldCharType="begin" w:dirty="true"/>
        <w:instrText xml:space="preserve"> SEQ Figure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Confusion matrices on the 20,320 test reports for HGB (top) and the lookup baseline (bottom) at the default threshold of 0.5 (left) and at each one's out-of-fold capacity threshold (right), with counts and row percentages; matrices are shown because each cell is a distinct outcome for the adjuster. Source: author's analysis of MSHA open data.</w:t>
      </w:r>
    </w:p>
    <w:p>
      <w:r>
        <w:rPr>
          <w:rFonts w:ascii="Times New Roman" w:hAnsi="Times New Roman"/>
          <w:sz w:val="24"/>
        </w:rPr>
        <w:t>Table 17 sets the result against the success criteria. HGB passes S1 to S4 and S6, and Table 14 holds the comparisons that S7 requires. It misses S5, finding 0.775 of lost-time cases among the half of test reports with the highest scores against a target of 0.78. The shortfall is about two cases per 1,000 reports, and the miss recurs on the temporal and mine-grouped splits. Only the MLP passes S1 to S6, and it meets S5 only by flagging more than half the reports, the over-flagging seen in Table 15, so I kept HGB. If capacity fell to half the filings, more lost-time cases would go unflagged than planned, so I recommend the capacity threshold, where S3 passes.</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17</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Success criteria S1 to S7, fixed before modelling, with S7 a reporting criterion, evaluated on the 20,320 test reports for HGB, the MLP and the lookup baseline with thresholds fixed on out-of-fold probabilities, with S5 repeated on the temporal and mine-grouped splits. Source: author's analysis of MSHA open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E7E6E6"/>
          </w:tcPr>
          <w:p>
            <w:pPr>
              <w:jc w:val="left"/>
            </w:pPr>
            <w:r>
              <w:rPr>
                <w:b/>
              </w:rPr>
            </w:r>
            <w:r>
              <w:rPr>
                <w:rFonts w:ascii="Times New Roman" w:hAnsi="Times New Roman"/>
                <w:b/>
                <w:sz w:val="21"/>
              </w:rPr>
              <w:t>Criterion</w:t>
            </w:r>
          </w:p>
        </w:tc>
        <w:tc>
          <w:tcPr>
            <w:tcW w:type="dxa" w:w="1504"/>
            <w:shd w:val="clear" w:color="auto" w:fill="E7E6E6"/>
          </w:tcPr>
          <w:p>
            <w:pPr>
              <w:jc w:val="left"/>
            </w:pPr>
            <w:r>
              <w:rPr>
                <w:b/>
              </w:rPr>
            </w:r>
            <w:r>
              <w:rPr>
                <w:rFonts w:ascii="Times New Roman" w:hAnsi="Times New Roman"/>
                <w:b/>
                <w:sz w:val="21"/>
              </w:rPr>
              <w:t>Target</w:t>
            </w:r>
          </w:p>
        </w:tc>
        <w:tc>
          <w:tcPr>
            <w:tcW w:type="dxa" w:w="1504"/>
            <w:shd w:val="clear" w:color="auto" w:fill="E7E6E6"/>
          </w:tcPr>
          <w:p>
            <w:pPr>
              <w:jc w:val="left"/>
            </w:pPr>
            <w:r>
              <w:rPr>
                <w:b/>
              </w:rPr>
            </w:r>
            <w:r>
              <w:rPr>
                <w:rFonts w:ascii="Times New Roman" w:hAnsi="Times New Roman"/>
                <w:b/>
                <w:sz w:val="21"/>
              </w:rPr>
              <w:t>HGB</w:t>
            </w:r>
          </w:p>
        </w:tc>
        <w:tc>
          <w:tcPr>
            <w:tcW w:type="dxa" w:w="1504"/>
            <w:shd w:val="clear" w:color="auto" w:fill="E7E6E6"/>
          </w:tcPr>
          <w:p>
            <w:pPr>
              <w:jc w:val="left"/>
            </w:pPr>
            <w:r>
              <w:rPr>
                <w:b/>
              </w:rPr>
            </w:r>
            <w:r>
              <w:rPr>
                <w:rFonts w:ascii="Times New Roman" w:hAnsi="Times New Roman"/>
                <w:b/>
                <w:sz w:val="21"/>
              </w:rPr>
              <w:t>Result</w:t>
            </w:r>
          </w:p>
        </w:tc>
        <w:tc>
          <w:tcPr>
            <w:tcW w:type="dxa" w:w="1504"/>
            <w:shd w:val="clear" w:color="auto" w:fill="E7E6E6"/>
          </w:tcPr>
          <w:p>
            <w:pPr>
              <w:jc w:val="left"/>
            </w:pPr>
            <w:r>
              <w:rPr>
                <w:b/>
              </w:rPr>
            </w:r>
            <w:r>
              <w:rPr>
                <w:rFonts w:ascii="Times New Roman" w:hAnsi="Times New Roman"/>
                <w:b/>
                <w:sz w:val="21"/>
              </w:rPr>
              <w:t>MLP</w:t>
            </w:r>
          </w:p>
        </w:tc>
        <w:tc>
          <w:tcPr>
            <w:tcW w:type="dxa" w:w="1504"/>
            <w:shd w:val="clear" w:color="auto" w:fill="E7E6E6"/>
          </w:tcPr>
          <w:p>
            <w:pPr>
              <w:jc w:val="left"/>
            </w:pPr>
            <w:r>
              <w:rPr>
                <w:b/>
              </w:rPr>
            </w:r>
            <w:r>
              <w:rPr>
                <w:rFonts w:ascii="Times New Roman" w:hAnsi="Times New Roman"/>
                <w:b/>
                <w:sz w:val="21"/>
              </w:rPr>
              <w:t>Lookup baseline</w:t>
            </w:r>
          </w:p>
        </w:tc>
      </w:tr>
      <w:tr>
        <w:tc>
          <w:tcPr>
            <w:tcW w:type="dxa" w:w="1504"/>
          </w:tcPr>
          <w:p>
            <w:pPr>
              <w:spacing w:after="0"/>
              <w:jc w:val="left"/>
            </w:pPr>
            <w:r/>
            <w:r>
              <w:rPr>
                <w:rFonts w:ascii="Times New Roman" w:hAnsi="Times New Roman"/>
                <w:sz w:val="21"/>
              </w:rPr>
              <w:t>S1 ROC-AUC</w:t>
            </w:r>
          </w:p>
        </w:tc>
        <w:tc>
          <w:tcPr>
            <w:tcW w:type="dxa" w:w="1504"/>
          </w:tcPr>
          <w:p>
            <w:pPr>
              <w:spacing w:after="0"/>
              <w:jc w:val="left"/>
            </w:pPr>
            <w:r/>
            <w:r>
              <w:rPr>
                <w:rFonts w:ascii="Times New Roman" w:hAnsi="Times New Roman"/>
                <w:sz w:val="21"/>
              </w:rPr>
              <w:t>0.80 or more</w:t>
            </w:r>
          </w:p>
        </w:tc>
        <w:tc>
          <w:tcPr>
            <w:tcW w:type="dxa" w:w="1504"/>
          </w:tcPr>
          <w:p>
            <w:pPr>
              <w:spacing w:after="0"/>
              <w:jc w:val="left"/>
            </w:pPr>
            <w:r/>
            <w:r>
              <w:rPr>
                <w:rFonts w:ascii="Times New Roman" w:hAnsi="Times New Roman"/>
                <w:sz w:val="21"/>
              </w:rPr>
              <w:t>0.843</w:t>
            </w:r>
          </w:p>
        </w:tc>
        <w:tc>
          <w:tcPr>
            <w:tcW w:type="dxa" w:w="1504"/>
          </w:tcPr>
          <w:p>
            <w:pPr>
              <w:spacing w:after="0"/>
              <w:jc w:val="left"/>
            </w:pPr>
            <w:r/>
            <w:r>
              <w:rPr>
                <w:rFonts w:ascii="Times New Roman" w:hAnsi="Times New Roman"/>
                <w:sz w:val="21"/>
              </w:rPr>
              <w:t>pass</w:t>
            </w:r>
          </w:p>
        </w:tc>
        <w:tc>
          <w:tcPr>
            <w:tcW w:type="dxa" w:w="1504"/>
          </w:tcPr>
          <w:p>
            <w:pPr>
              <w:spacing w:after="0"/>
              <w:jc w:val="left"/>
            </w:pPr>
            <w:r/>
            <w:r>
              <w:rPr>
                <w:rFonts w:ascii="Times New Roman" w:hAnsi="Times New Roman"/>
                <w:sz w:val="21"/>
              </w:rPr>
              <w:t>0.839</w:t>
            </w:r>
          </w:p>
        </w:tc>
        <w:tc>
          <w:tcPr>
            <w:tcW w:type="dxa" w:w="1504"/>
          </w:tcPr>
          <w:p>
            <w:pPr>
              <w:spacing w:after="0"/>
              <w:jc w:val="left"/>
            </w:pPr>
            <w:r/>
            <w:r>
              <w:rPr>
                <w:rFonts w:ascii="Times New Roman" w:hAnsi="Times New Roman"/>
                <w:sz w:val="21"/>
              </w:rPr>
              <w:t>0.804</w:t>
            </w:r>
          </w:p>
        </w:tc>
      </w:tr>
      <w:tr>
        <w:tc>
          <w:tcPr>
            <w:tcW w:type="dxa" w:w="1504"/>
          </w:tcPr>
          <w:p>
            <w:pPr>
              <w:spacing w:after="0"/>
              <w:jc w:val="left"/>
            </w:pPr>
            <w:r/>
            <w:r>
              <w:rPr>
                <w:rFonts w:ascii="Times New Roman" w:hAnsi="Times New Roman"/>
                <w:sz w:val="21"/>
              </w:rPr>
              <w:t>S2 PR-AUC</w:t>
            </w:r>
          </w:p>
        </w:tc>
        <w:tc>
          <w:tcPr>
            <w:tcW w:type="dxa" w:w="1504"/>
          </w:tcPr>
          <w:p>
            <w:pPr>
              <w:spacing w:after="0"/>
              <w:jc w:val="left"/>
            </w:pPr>
            <w:r/>
            <w:r>
              <w:rPr>
                <w:rFonts w:ascii="Times New Roman" w:hAnsi="Times New Roman"/>
                <w:sz w:val="21"/>
              </w:rPr>
              <w:t>0.75 or more</w:t>
            </w:r>
          </w:p>
        </w:tc>
        <w:tc>
          <w:tcPr>
            <w:tcW w:type="dxa" w:w="1504"/>
          </w:tcPr>
          <w:p>
            <w:pPr>
              <w:spacing w:after="0"/>
              <w:jc w:val="left"/>
            </w:pPr>
            <w:r/>
            <w:r>
              <w:rPr>
                <w:rFonts w:ascii="Times New Roman" w:hAnsi="Times New Roman"/>
                <w:sz w:val="21"/>
              </w:rPr>
              <w:t>0.841</w:t>
            </w:r>
          </w:p>
        </w:tc>
        <w:tc>
          <w:tcPr>
            <w:tcW w:type="dxa" w:w="1504"/>
          </w:tcPr>
          <w:p>
            <w:pPr>
              <w:spacing w:after="0"/>
              <w:jc w:val="left"/>
            </w:pPr>
            <w:r/>
            <w:r>
              <w:rPr>
                <w:rFonts w:ascii="Times New Roman" w:hAnsi="Times New Roman"/>
                <w:sz w:val="21"/>
              </w:rPr>
              <w:t>pass</w:t>
            </w:r>
          </w:p>
        </w:tc>
        <w:tc>
          <w:tcPr>
            <w:tcW w:type="dxa" w:w="1504"/>
          </w:tcPr>
          <w:p>
            <w:pPr>
              <w:spacing w:after="0"/>
              <w:jc w:val="left"/>
            </w:pPr>
            <w:r/>
            <w:r>
              <w:rPr>
                <w:rFonts w:ascii="Times New Roman" w:hAnsi="Times New Roman"/>
                <w:sz w:val="21"/>
              </w:rPr>
              <w:t>0.837</w:t>
            </w:r>
          </w:p>
        </w:tc>
        <w:tc>
          <w:tcPr>
            <w:tcW w:type="dxa" w:w="1504"/>
          </w:tcPr>
          <w:p>
            <w:pPr>
              <w:spacing w:after="0"/>
              <w:jc w:val="left"/>
            </w:pPr>
            <w:r/>
            <w:r>
              <w:rPr>
                <w:rFonts w:ascii="Times New Roman" w:hAnsi="Times New Roman"/>
                <w:sz w:val="21"/>
              </w:rPr>
              <w:t>0.790</w:t>
            </w:r>
          </w:p>
        </w:tc>
      </w:tr>
      <w:tr>
        <w:tc>
          <w:tcPr>
            <w:tcW w:type="dxa" w:w="1504"/>
          </w:tcPr>
          <w:p>
            <w:pPr>
              <w:spacing w:after="0"/>
              <w:jc w:val="left"/>
            </w:pPr>
            <w:r/>
            <w:r>
              <w:rPr>
                <w:rFonts w:ascii="Times New Roman" w:hAnsi="Times New Roman"/>
                <w:sz w:val="21"/>
              </w:rPr>
              <w:t>S3 recall at the out-of-fold threshold for specificity 0.40</w:t>
            </w:r>
          </w:p>
        </w:tc>
        <w:tc>
          <w:tcPr>
            <w:tcW w:type="dxa" w:w="1504"/>
          </w:tcPr>
          <w:p>
            <w:pPr>
              <w:spacing w:after="0"/>
              <w:jc w:val="left"/>
            </w:pPr>
            <w:r/>
            <w:r>
              <w:rPr>
                <w:rFonts w:ascii="Times New Roman" w:hAnsi="Times New Roman"/>
                <w:sz w:val="21"/>
              </w:rPr>
              <w:t>0.92 or more</w:t>
            </w:r>
          </w:p>
        </w:tc>
        <w:tc>
          <w:tcPr>
            <w:tcW w:type="dxa" w:w="1504"/>
          </w:tcPr>
          <w:p>
            <w:pPr>
              <w:spacing w:after="0"/>
              <w:jc w:val="left"/>
            </w:pPr>
            <w:r/>
            <w:r>
              <w:rPr>
                <w:rFonts w:ascii="Times New Roman" w:hAnsi="Times New Roman"/>
                <w:sz w:val="21"/>
              </w:rPr>
              <w:t>0.943 (specificity 0.403)</w:t>
            </w:r>
          </w:p>
        </w:tc>
        <w:tc>
          <w:tcPr>
            <w:tcW w:type="dxa" w:w="1504"/>
          </w:tcPr>
          <w:p>
            <w:pPr>
              <w:spacing w:after="0"/>
              <w:jc w:val="left"/>
            </w:pPr>
            <w:r/>
            <w:r>
              <w:rPr>
                <w:rFonts w:ascii="Times New Roman" w:hAnsi="Times New Roman"/>
                <w:sz w:val="21"/>
              </w:rPr>
              <w:t>pass</w:t>
            </w:r>
          </w:p>
        </w:tc>
        <w:tc>
          <w:tcPr>
            <w:tcW w:type="dxa" w:w="1504"/>
          </w:tcPr>
          <w:p>
            <w:pPr>
              <w:spacing w:after="0"/>
              <w:jc w:val="left"/>
            </w:pPr>
            <w:r/>
            <w:r>
              <w:rPr>
                <w:rFonts w:ascii="Times New Roman" w:hAnsi="Times New Roman"/>
                <w:sz w:val="21"/>
              </w:rPr>
              <w:t>0.948 (0.373)</w:t>
            </w:r>
          </w:p>
        </w:tc>
        <w:tc>
          <w:tcPr>
            <w:tcW w:type="dxa" w:w="1504"/>
          </w:tcPr>
          <w:p>
            <w:pPr>
              <w:spacing w:after="0"/>
              <w:jc w:val="left"/>
            </w:pPr>
            <w:r/>
            <w:r>
              <w:rPr>
                <w:rFonts w:ascii="Times New Roman" w:hAnsi="Times New Roman"/>
                <w:sz w:val="21"/>
              </w:rPr>
              <w:t>0.916 (0.402)</w:t>
            </w:r>
          </w:p>
        </w:tc>
      </w:tr>
      <w:tr>
        <w:tc>
          <w:tcPr>
            <w:tcW w:type="dxa" w:w="1504"/>
          </w:tcPr>
          <w:p>
            <w:pPr>
              <w:spacing w:after="0"/>
              <w:jc w:val="left"/>
            </w:pPr>
            <w:r/>
            <w:r>
              <w:rPr>
                <w:rFonts w:ascii="Times New Roman" w:hAnsi="Times New Roman"/>
                <w:sz w:val="21"/>
              </w:rPr>
              <w:t>S4 cost per 1,000 cases at the out-of-fold cost-optimal threshold, 2:1 / 3:1 / 5:1 (USD)</w:t>
            </w:r>
          </w:p>
        </w:tc>
        <w:tc>
          <w:tcPr>
            <w:tcW w:type="dxa" w:w="1504"/>
          </w:tcPr>
          <w:p>
            <w:pPr>
              <w:spacing w:after="0"/>
              <w:jc w:val="left"/>
            </w:pPr>
            <w:r/>
            <w:r>
              <w:rPr>
                <w:rFonts w:ascii="Times New Roman" w:hAnsi="Times New Roman"/>
                <w:sz w:val="21"/>
              </w:rPr>
              <w:t>below the review-everything floor (102,825 on the test set) and below the lookup baseline</w:t>
            </w:r>
          </w:p>
        </w:tc>
        <w:tc>
          <w:tcPr>
            <w:tcW w:type="dxa" w:w="1504"/>
          </w:tcPr>
          <w:p>
            <w:pPr>
              <w:spacing w:after="0"/>
              <w:jc w:val="left"/>
            </w:pPr>
            <w:r/>
            <w:r>
              <w:rPr>
                <w:rFonts w:ascii="Times New Roman" w:hAnsi="Times New Roman"/>
                <w:sz w:val="21"/>
              </w:rPr>
              <w:t>65,896 / 77,697 / 87,638</w:t>
            </w:r>
          </w:p>
        </w:tc>
        <w:tc>
          <w:tcPr>
            <w:tcW w:type="dxa" w:w="1504"/>
          </w:tcPr>
          <w:p>
            <w:pPr>
              <w:spacing w:after="0"/>
              <w:jc w:val="left"/>
            </w:pPr>
            <w:r/>
            <w:r>
              <w:rPr>
                <w:rFonts w:ascii="Times New Roman" w:hAnsi="Times New Roman"/>
                <w:sz w:val="21"/>
              </w:rPr>
              <w:t>pass</w:t>
            </w:r>
          </w:p>
        </w:tc>
        <w:tc>
          <w:tcPr>
            <w:tcW w:type="dxa" w:w="1504"/>
          </w:tcPr>
          <w:p>
            <w:pPr>
              <w:spacing w:after="0"/>
              <w:jc w:val="left"/>
            </w:pPr>
            <w:r/>
            <w:r>
              <w:rPr>
                <w:rFonts w:ascii="Times New Roman" w:hAnsi="Times New Roman"/>
                <w:sz w:val="21"/>
              </w:rPr>
              <w:t>67,274 / 78,031 / 89,085</w:t>
            </w:r>
          </w:p>
        </w:tc>
        <w:tc>
          <w:tcPr>
            <w:tcW w:type="dxa" w:w="1504"/>
          </w:tcPr>
          <w:p>
            <w:pPr>
              <w:spacing w:after="0"/>
              <w:jc w:val="left"/>
            </w:pPr>
            <w:r/>
            <w:r>
              <w:rPr>
                <w:rFonts w:ascii="Times New Roman" w:hAnsi="Times New Roman"/>
                <w:sz w:val="21"/>
              </w:rPr>
              <w:t>73,553 / 85,472 / 98,061</w:t>
            </w:r>
          </w:p>
        </w:tc>
      </w:tr>
      <w:tr>
        <w:tc>
          <w:tcPr>
            <w:tcW w:type="dxa" w:w="1504"/>
          </w:tcPr>
          <w:p>
            <w:pPr>
              <w:spacing w:after="0"/>
              <w:jc w:val="left"/>
            </w:pPr>
            <w:r/>
            <w:r>
              <w:rPr>
                <w:rFonts w:ascii="Times New Roman" w:hAnsi="Times New Roman"/>
                <w:sz w:val="21"/>
              </w:rPr>
              <w:t>S5 recall at the out-of-fold threshold for a 50% flag rate</w:t>
            </w:r>
          </w:p>
        </w:tc>
        <w:tc>
          <w:tcPr>
            <w:tcW w:type="dxa" w:w="1504"/>
          </w:tcPr>
          <w:p>
            <w:pPr>
              <w:spacing w:after="0"/>
              <w:jc w:val="left"/>
            </w:pPr>
            <w:r/>
            <w:r>
              <w:rPr>
                <w:rFonts w:ascii="Times New Roman" w:hAnsi="Times New Roman"/>
                <w:sz w:val="21"/>
              </w:rPr>
              <w:t>0.78 or more</w:t>
            </w:r>
          </w:p>
        </w:tc>
        <w:tc>
          <w:tcPr>
            <w:tcW w:type="dxa" w:w="1504"/>
          </w:tcPr>
          <w:p>
            <w:pPr>
              <w:spacing w:after="0"/>
              <w:jc w:val="left"/>
            </w:pPr>
            <w:r/>
            <w:r>
              <w:rPr>
                <w:rFonts w:ascii="Times New Roman" w:hAnsi="Times New Roman"/>
                <w:sz w:val="21"/>
              </w:rPr>
              <w:t>0.775 (flag rate 0.506)</w:t>
            </w:r>
          </w:p>
        </w:tc>
        <w:tc>
          <w:tcPr>
            <w:tcW w:type="dxa" w:w="1504"/>
          </w:tcPr>
          <w:p>
            <w:pPr>
              <w:spacing w:after="0"/>
              <w:jc w:val="left"/>
            </w:pPr>
            <w:r/>
            <w:r>
              <w:rPr>
                <w:rFonts w:ascii="Times New Roman" w:hAnsi="Times New Roman"/>
                <w:sz w:val="21"/>
              </w:rPr>
              <w:t>fail</w:t>
            </w:r>
          </w:p>
        </w:tc>
        <w:tc>
          <w:tcPr>
            <w:tcW w:type="dxa" w:w="1504"/>
          </w:tcPr>
          <w:p>
            <w:pPr>
              <w:spacing w:after="0"/>
              <w:jc w:val="left"/>
            </w:pPr>
            <w:r/>
            <w:r>
              <w:rPr>
                <w:rFonts w:ascii="Times New Roman" w:hAnsi="Times New Roman"/>
                <w:sz w:val="21"/>
              </w:rPr>
              <w:t>0.790 (0.525)</w:t>
            </w:r>
          </w:p>
        </w:tc>
        <w:tc>
          <w:tcPr>
            <w:tcW w:type="dxa" w:w="1504"/>
          </w:tcPr>
          <w:p>
            <w:pPr>
              <w:spacing w:after="0"/>
              <w:jc w:val="left"/>
            </w:pPr>
            <w:r/>
            <w:r>
              <w:rPr>
                <w:rFonts w:ascii="Times New Roman" w:hAnsi="Times New Roman"/>
                <w:sz w:val="21"/>
              </w:rPr>
              <w:t>0.753 (0.520)</w:t>
            </w:r>
          </w:p>
        </w:tc>
      </w:tr>
      <w:tr>
        <w:tc>
          <w:tcPr>
            <w:tcW w:type="dxa" w:w="1504"/>
          </w:tcPr>
          <w:p>
            <w:pPr>
              <w:spacing w:after="0"/>
              <w:jc w:val="left"/>
            </w:pPr>
            <w:r/>
            <w:r>
              <w:rPr>
                <w:rFonts w:ascii="Times New Roman" w:hAnsi="Times New Roman"/>
                <w:sz w:val="21"/>
              </w:rPr>
              <w:t>S5 on the temporal split (2020-2025) and the mine-grouped split</w:t>
            </w:r>
          </w:p>
        </w:tc>
        <w:tc>
          <w:tcPr>
            <w:tcW w:type="dxa" w:w="1504"/>
          </w:tcPr>
          <w:p>
            <w:pPr>
              <w:spacing w:after="0"/>
              <w:jc w:val="left"/>
            </w:pPr>
            <w:r/>
            <w:r>
              <w:rPr>
                <w:rFonts w:ascii="Times New Roman" w:hAnsi="Times New Roman"/>
                <w:sz w:val="21"/>
              </w:rPr>
              <w:t>0.78 or more</w:t>
            </w:r>
          </w:p>
        </w:tc>
        <w:tc>
          <w:tcPr>
            <w:tcW w:type="dxa" w:w="1504"/>
          </w:tcPr>
          <w:p>
            <w:pPr>
              <w:spacing w:after="0"/>
              <w:jc w:val="left"/>
            </w:pPr>
            <w:r/>
            <w:r>
              <w:rPr>
                <w:rFonts w:ascii="Times New Roman" w:hAnsi="Times New Roman"/>
                <w:sz w:val="21"/>
              </w:rPr>
              <w:t>0.749 and 0.762</w:t>
            </w:r>
          </w:p>
        </w:tc>
        <w:tc>
          <w:tcPr>
            <w:tcW w:type="dxa" w:w="1504"/>
          </w:tcPr>
          <w:p>
            <w:pPr>
              <w:spacing w:after="0"/>
              <w:jc w:val="left"/>
            </w:pPr>
            <w:r/>
            <w:r>
              <w:rPr>
                <w:rFonts w:ascii="Times New Roman" w:hAnsi="Times New Roman"/>
                <w:sz w:val="21"/>
              </w:rPr>
              <w:t>fail</w:t>
            </w:r>
          </w:p>
        </w:tc>
        <w:tc>
          <w:tcPr>
            <w:tcW w:type="dxa" w:w="1504"/>
          </w:tcPr>
          <w:p>
            <w:pPr>
              <w:spacing w:after="0"/>
              <w:jc w:val="left"/>
            </w:pPr>
            <w:r/>
            <w:r>
              <w:rPr>
                <w:rFonts w:ascii="Times New Roman" w:hAnsi="Times New Roman"/>
                <w:sz w:val="21"/>
              </w:rPr>
              <w:t>0.724 (temporal)</w:t>
            </w:r>
          </w:p>
        </w:tc>
        <w:tc>
          <w:tcPr>
            <w:tcW w:type="dxa" w:w="1504"/>
          </w:tcPr>
          <w:p>
            <w:pPr>
              <w:spacing w:after="0"/>
              <w:jc w:val="left"/>
            </w:pPr>
            <w:r/>
            <w:r>
              <w:rPr>
                <w:rFonts w:ascii="Times New Roman" w:hAnsi="Times New Roman"/>
                <w:sz w:val="21"/>
              </w:rPr>
              <w:t>0.710 (mine-grouped)</w:t>
            </w:r>
          </w:p>
        </w:tc>
      </w:tr>
      <w:tr>
        <w:tc>
          <w:tcPr>
            <w:tcW w:type="dxa" w:w="1504"/>
          </w:tcPr>
          <w:p>
            <w:pPr>
              <w:spacing w:after="0"/>
              <w:jc w:val="left"/>
            </w:pPr>
            <w:r/>
            <w:r>
              <w:rPr>
                <w:rFonts w:ascii="Times New Roman" w:hAnsi="Times New Roman"/>
                <w:sz w:val="21"/>
              </w:rPr>
              <w:t>S6 Brier score on the test set, and by sector on the temporal split</w:t>
            </w:r>
          </w:p>
        </w:tc>
        <w:tc>
          <w:tcPr>
            <w:tcW w:type="dxa" w:w="1504"/>
          </w:tcPr>
          <w:p>
            <w:pPr>
              <w:spacing w:after="0"/>
              <w:jc w:val="left"/>
            </w:pPr>
            <w:r/>
            <w:r>
              <w:rPr>
                <w:rFonts w:ascii="Times New Roman" w:hAnsi="Times New Roman"/>
                <w:sz w:val="21"/>
              </w:rPr>
              <w:t>0.20 or less</w:t>
            </w:r>
          </w:p>
        </w:tc>
        <w:tc>
          <w:tcPr>
            <w:tcW w:type="dxa" w:w="1504"/>
          </w:tcPr>
          <w:p>
            <w:pPr>
              <w:spacing w:after="0"/>
              <w:jc w:val="left"/>
            </w:pPr>
            <w:r/>
            <w:r>
              <w:rPr>
                <w:rFonts w:ascii="Times New Roman" w:hAnsi="Times New Roman"/>
                <w:sz w:val="21"/>
              </w:rPr>
              <w:t>test 0.161 (coal 0.135, metal and non-metal 0.179); temporal split: coal 0.125, metal and non-metal 0.187</w:t>
            </w:r>
          </w:p>
        </w:tc>
        <w:tc>
          <w:tcPr>
            <w:tcW w:type="dxa" w:w="1504"/>
          </w:tcPr>
          <w:p>
            <w:pPr>
              <w:spacing w:after="0"/>
              <w:jc w:val="left"/>
            </w:pPr>
            <w:r/>
            <w:r>
              <w:rPr>
                <w:rFonts w:ascii="Times New Roman" w:hAnsi="Times New Roman"/>
                <w:sz w:val="21"/>
              </w:rPr>
              <w:t>pass</w:t>
            </w:r>
          </w:p>
        </w:tc>
        <w:tc>
          <w:tcPr>
            <w:tcW w:type="dxa" w:w="1504"/>
          </w:tcPr>
          <w:p>
            <w:pPr>
              <w:spacing w:after="0"/>
              <w:jc w:val="left"/>
            </w:pPr>
            <w:r/>
            <w:r>
              <w:rPr>
                <w:rFonts w:ascii="Times New Roman" w:hAnsi="Times New Roman"/>
                <w:sz w:val="21"/>
              </w:rPr>
              <w:t>test 0.163 (0.135 and 0.182); temporal split: 0.131 and 0.193</w:t>
            </w:r>
          </w:p>
        </w:tc>
        <w:tc>
          <w:tcPr>
            <w:tcW w:type="dxa" w:w="1504"/>
          </w:tcPr>
          <w:p>
            <w:pPr>
              <w:spacing w:after="0"/>
              <w:jc w:val="left"/>
            </w:pPr>
            <w:r/>
            <w:r>
              <w:rPr>
                <w:rFonts w:ascii="Times New Roman" w:hAnsi="Times New Roman"/>
                <w:sz w:val="21"/>
              </w:rPr>
              <w:t>test 0.179 (0.150 and 0.199)</w:t>
            </w:r>
          </w:p>
        </w:tc>
      </w:tr>
      <w:tr>
        <w:tc>
          <w:tcPr>
            <w:tcW w:type="dxa" w:w="1504"/>
          </w:tcPr>
          <w:p>
            <w:pPr>
              <w:spacing w:after="0"/>
              <w:jc w:val="left"/>
            </w:pPr>
            <w:r/>
            <w:r>
              <w:rPr>
                <w:rFonts w:ascii="Times New Roman" w:hAnsi="Times New Roman"/>
                <w:sz w:val="21"/>
              </w:rPr>
              <w:t>S7 statistical comparison</w:t>
            </w:r>
          </w:p>
        </w:tc>
        <w:tc>
          <w:tcPr>
            <w:tcW w:type="dxa" w:w="1504"/>
          </w:tcPr>
          <w:p>
            <w:pPr>
              <w:spacing w:after="0"/>
              <w:jc w:val="left"/>
            </w:pPr>
            <w:r/>
            <w:r>
              <w:rPr>
                <w:rFonts w:ascii="Times New Roman" w:hAnsi="Times New Roman"/>
                <w:sz w:val="21"/>
              </w:rPr>
              <w:t>McNemar test against the lookup baseline and a paired fold test between the top two</w:t>
            </w:r>
          </w:p>
        </w:tc>
        <w:tc>
          <w:tcPr>
            <w:tcW w:type="dxa" w:w="1504"/>
          </w:tcPr>
          <w:p>
            <w:pPr>
              <w:spacing w:after="0"/>
              <w:jc w:val="left"/>
            </w:pPr>
            <w:r/>
            <w:r>
              <w:rPr>
                <w:rFonts w:ascii="Times New Roman" w:hAnsi="Times New Roman"/>
                <w:sz w:val="21"/>
              </w:rPr>
              <w:t>clustered McNemar p below 0.001; corrected paired t p = 0.044 (Table 14)</w:t>
            </w:r>
          </w:p>
        </w:tc>
        <w:tc>
          <w:tcPr>
            <w:tcW w:type="dxa" w:w="1504"/>
          </w:tcPr>
          <w:p>
            <w:pPr>
              <w:spacing w:after="0"/>
              <w:jc w:val="left"/>
            </w:pPr>
            <w:r/>
            <w:r>
              <w:rPr>
                <w:rFonts w:ascii="Times New Roman" w:hAnsi="Times New Roman"/>
                <w:sz w:val="21"/>
              </w:rPr>
              <w:t>reported</w:t>
            </w:r>
          </w:p>
        </w:tc>
        <w:tc>
          <w:tcPr>
            <w:tcW w:type="dxa" w:w="1504"/>
          </w:tcPr>
          <w:p>
            <w:pPr>
              <w:spacing w:after="0"/>
              <w:jc w:val="left"/>
            </w:pPr>
            <w:r/>
          </w:p>
        </w:tc>
        <w:tc>
          <w:tcPr>
            <w:tcW w:type="dxa" w:w="1504"/>
          </w:tcPr>
          <w:p>
            <w:pPr>
              <w:spacing w:after="0"/>
              <w:jc w:val="left"/>
            </w:pPr>
            <w:r/>
          </w:p>
        </w:tc>
      </w:tr>
    </w:tbl>
    <w:p>
      <w:pPr>
        <w:spacing w:after="80"/>
      </w:pPr>
    </w:p>
    <w:p>
      <w:r>
        <w:rPr>
          <w:rFonts w:ascii="Times New Roman" w:hAnsi="Times New Roman"/>
          <w:sz w:val="24"/>
        </w:rPr>
        <w:t>Table 18 shows that no fatality or permanent disability was missed. Most misses are cuts and lacerations, above all to fingers, thumbs and hands, where half or more of the lost-time cases score below the threshold; such injuries are usually minor, so the few that keep a worker away resemble the many that do not. Metal and non-metal mines hold most misses and have the lower precision (Table 19), consistent with their lower lost-time rate. Most false positives are restricted-duty cases, which differ from lost-time ones mainly in whether restricted work was offered.</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18</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Errors of HGB at its capacity threshold of 0.210 on the 20,320 test reports, giving missed lost-time cases by sector, by degree-of-injury code and for the six nature x body part cells with most misses, and flagged non-lost-time cases by degree code. Source: author's analysis of MSHA open data.</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E7E6E6"/>
          </w:tcPr>
          <w:p>
            <w:pPr>
              <w:jc w:val="left"/>
            </w:pPr>
            <w:r>
              <w:rPr>
                <w:b/>
              </w:rPr>
            </w:r>
            <w:r>
              <w:rPr>
                <w:rFonts w:ascii="Times New Roman" w:hAnsi="Times New Roman"/>
                <w:b/>
                <w:sz w:val="21"/>
              </w:rPr>
              <w:t>Group</w:t>
            </w:r>
          </w:p>
        </w:tc>
        <w:tc>
          <w:tcPr>
            <w:tcW w:type="dxa" w:w="2256"/>
            <w:shd w:val="clear" w:color="auto" w:fill="E7E6E6"/>
          </w:tcPr>
          <w:p>
            <w:pPr>
              <w:jc w:val="left"/>
            </w:pPr>
            <w:r>
              <w:rPr>
                <w:b/>
              </w:rPr>
            </w:r>
            <w:r>
              <w:rPr>
                <w:rFonts w:ascii="Times New Roman" w:hAnsi="Times New Roman"/>
                <w:b/>
                <w:sz w:val="21"/>
              </w:rPr>
              <w:t>Cases</w:t>
            </w:r>
          </w:p>
        </w:tc>
        <w:tc>
          <w:tcPr>
            <w:tcW w:type="dxa" w:w="2256"/>
            <w:shd w:val="clear" w:color="auto" w:fill="E7E6E6"/>
          </w:tcPr>
          <w:p>
            <w:pPr>
              <w:jc w:val="left"/>
            </w:pPr>
            <w:r>
              <w:rPr>
                <w:b/>
              </w:rPr>
            </w:r>
            <w:r>
              <w:rPr>
                <w:rFonts w:ascii="Times New Roman" w:hAnsi="Times New Roman"/>
                <w:b/>
                <w:sz w:val="21"/>
              </w:rPr>
              <w:t>Misclassified</w:t>
            </w:r>
          </w:p>
        </w:tc>
        <w:tc>
          <w:tcPr>
            <w:tcW w:type="dxa" w:w="2256"/>
            <w:shd w:val="clear" w:color="auto" w:fill="E7E6E6"/>
          </w:tcPr>
          <w:p>
            <w:pPr>
              <w:jc w:val="left"/>
            </w:pPr>
            <w:r>
              <w:rPr>
                <w:b/>
              </w:rPr>
            </w:r>
            <w:r>
              <w:rPr>
                <w:rFonts w:ascii="Times New Roman" w:hAnsi="Times New Roman"/>
                <w:b/>
                <w:sz w:val="21"/>
              </w:rPr>
              <w:t>Share</w:t>
            </w:r>
          </w:p>
        </w:tc>
      </w:tr>
      <w:tr>
        <w:tc>
          <w:tcPr>
            <w:tcW w:type="dxa" w:w="2256"/>
          </w:tcPr>
          <w:p>
            <w:pPr>
              <w:spacing w:after="0"/>
              <w:jc w:val="left"/>
            </w:pPr>
            <w:r/>
            <w:r>
              <w:rPr>
                <w:rFonts w:ascii="Times New Roman" w:hAnsi="Times New Roman"/>
                <w:sz w:val="21"/>
              </w:rPr>
              <w:t>All lost-time cases</w:t>
            </w:r>
          </w:p>
        </w:tc>
        <w:tc>
          <w:tcPr>
            <w:tcW w:type="dxa" w:w="2256"/>
          </w:tcPr>
          <w:p>
            <w:pPr>
              <w:spacing w:after="0"/>
              <w:jc w:val="left"/>
            </w:pPr>
            <w:r/>
            <w:r>
              <w:rPr>
                <w:rFonts w:ascii="Times New Roman" w:hAnsi="Times New Roman"/>
                <w:sz w:val="21"/>
              </w:rPr>
              <w:t>9,873</w:t>
            </w:r>
          </w:p>
        </w:tc>
        <w:tc>
          <w:tcPr>
            <w:tcW w:type="dxa" w:w="2256"/>
          </w:tcPr>
          <w:p>
            <w:pPr>
              <w:spacing w:after="0"/>
              <w:jc w:val="left"/>
            </w:pPr>
            <w:r/>
            <w:r>
              <w:rPr>
                <w:rFonts w:ascii="Times New Roman" w:hAnsi="Times New Roman"/>
                <w:sz w:val="21"/>
              </w:rPr>
              <w:t>561 missed</w:t>
            </w:r>
          </w:p>
        </w:tc>
        <w:tc>
          <w:tcPr>
            <w:tcW w:type="dxa" w:w="2256"/>
          </w:tcPr>
          <w:p>
            <w:pPr>
              <w:spacing w:after="0"/>
              <w:jc w:val="left"/>
            </w:pPr>
            <w:r/>
            <w:r>
              <w:rPr>
                <w:rFonts w:ascii="Times New Roman" w:hAnsi="Times New Roman"/>
                <w:sz w:val="21"/>
              </w:rPr>
              <w:t>0.057</w:t>
            </w:r>
          </w:p>
        </w:tc>
      </w:tr>
      <w:tr>
        <w:tc>
          <w:tcPr>
            <w:tcW w:type="dxa" w:w="2256"/>
          </w:tcPr>
          <w:p>
            <w:pPr>
              <w:spacing w:after="0"/>
              <w:jc w:val="left"/>
            </w:pPr>
            <w:r/>
            <w:r>
              <w:rPr>
                <w:rFonts w:ascii="Times New Roman" w:hAnsi="Times New Roman"/>
                <w:sz w:val="21"/>
              </w:rPr>
              <w:t>Lost-time cases, coal</w:t>
            </w:r>
          </w:p>
        </w:tc>
        <w:tc>
          <w:tcPr>
            <w:tcW w:type="dxa" w:w="2256"/>
          </w:tcPr>
          <w:p>
            <w:pPr>
              <w:spacing w:after="0"/>
              <w:jc w:val="left"/>
            </w:pPr>
            <w:r/>
            <w:r>
              <w:rPr>
                <w:rFonts w:ascii="Times New Roman" w:hAnsi="Times New Roman"/>
                <w:sz w:val="21"/>
              </w:rPr>
              <w:t>5,280</w:t>
            </w:r>
          </w:p>
        </w:tc>
        <w:tc>
          <w:tcPr>
            <w:tcW w:type="dxa" w:w="2256"/>
          </w:tcPr>
          <w:p>
            <w:pPr>
              <w:spacing w:after="0"/>
              <w:jc w:val="left"/>
            </w:pPr>
            <w:r/>
            <w:r>
              <w:rPr>
                <w:rFonts w:ascii="Times New Roman" w:hAnsi="Times New Roman"/>
                <w:sz w:val="21"/>
              </w:rPr>
              <w:t>152 missed</w:t>
            </w:r>
          </w:p>
        </w:tc>
        <w:tc>
          <w:tcPr>
            <w:tcW w:type="dxa" w:w="2256"/>
          </w:tcPr>
          <w:p>
            <w:pPr>
              <w:spacing w:after="0"/>
              <w:jc w:val="left"/>
            </w:pPr>
            <w:r/>
            <w:r>
              <w:rPr>
                <w:rFonts w:ascii="Times New Roman" w:hAnsi="Times New Roman"/>
                <w:sz w:val="21"/>
              </w:rPr>
              <w:t>0.029</w:t>
            </w:r>
          </w:p>
        </w:tc>
      </w:tr>
      <w:tr>
        <w:tc>
          <w:tcPr>
            <w:tcW w:type="dxa" w:w="2256"/>
          </w:tcPr>
          <w:p>
            <w:pPr>
              <w:spacing w:after="0"/>
              <w:jc w:val="left"/>
            </w:pPr>
            <w:r/>
            <w:r>
              <w:rPr>
                <w:rFonts w:ascii="Times New Roman" w:hAnsi="Times New Roman"/>
                <w:sz w:val="21"/>
              </w:rPr>
              <w:t>Lost-time cases, metal and non-metal</w:t>
            </w:r>
          </w:p>
        </w:tc>
        <w:tc>
          <w:tcPr>
            <w:tcW w:type="dxa" w:w="2256"/>
          </w:tcPr>
          <w:p>
            <w:pPr>
              <w:spacing w:after="0"/>
              <w:jc w:val="left"/>
            </w:pPr>
            <w:r/>
            <w:r>
              <w:rPr>
                <w:rFonts w:ascii="Times New Roman" w:hAnsi="Times New Roman"/>
                <w:sz w:val="21"/>
              </w:rPr>
              <w:t>4,593</w:t>
            </w:r>
          </w:p>
        </w:tc>
        <w:tc>
          <w:tcPr>
            <w:tcW w:type="dxa" w:w="2256"/>
          </w:tcPr>
          <w:p>
            <w:pPr>
              <w:spacing w:after="0"/>
              <w:jc w:val="left"/>
            </w:pPr>
            <w:r/>
            <w:r>
              <w:rPr>
                <w:rFonts w:ascii="Times New Roman" w:hAnsi="Times New Roman"/>
                <w:sz w:val="21"/>
              </w:rPr>
              <w:t>409 missed</w:t>
            </w:r>
          </w:p>
        </w:tc>
        <w:tc>
          <w:tcPr>
            <w:tcW w:type="dxa" w:w="2256"/>
          </w:tcPr>
          <w:p>
            <w:pPr>
              <w:spacing w:after="0"/>
              <w:jc w:val="left"/>
            </w:pPr>
            <w:r/>
            <w:r>
              <w:rPr>
                <w:rFonts w:ascii="Times New Roman" w:hAnsi="Times New Roman"/>
                <w:sz w:val="21"/>
              </w:rPr>
              <w:t>0.089</w:t>
            </w:r>
          </w:p>
        </w:tc>
      </w:tr>
      <w:tr>
        <w:tc>
          <w:tcPr>
            <w:tcW w:type="dxa" w:w="2256"/>
          </w:tcPr>
          <w:p>
            <w:pPr>
              <w:spacing w:after="0"/>
              <w:jc w:val="left"/>
            </w:pPr>
            <w:r/>
            <w:r>
              <w:rPr>
                <w:rFonts w:ascii="Times New Roman" w:hAnsi="Times New Roman"/>
                <w:sz w:val="21"/>
              </w:rPr>
              <w:t>Fatality (code 01)</w:t>
            </w:r>
          </w:p>
        </w:tc>
        <w:tc>
          <w:tcPr>
            <w:tcW w:type="dxa" w:w="2256"/>
          </w:tcPr>
          <w:p>
            <w:pPr>
              <w:spacing w:after="0"/>
              <w:jc w:val="left"/>
            </w:pPr>
            <w:r/>
            <w:r>
              <w:rPr>
                <w:rFonts w:ascii="Times New Roman" w:hAnsi="Times New Roman"/>
                <w:sz w:val="21"/>
              </w:rPr>
              <w:t>142</w:t>
            </w:r>
          </w:p>
        </w:tc>
        <w:tc>
          <w:tcPr>
            <w:tcW w:type="dxa" w:w="2256"/>
          </w:tcPr>
          <w:p>
            <w:pPr>
              <w:spacing w:after="0"/>
              <w:jc w:val="left"/>
            </w:pPr>
            <w:r/>
            <w:r>
              <w:rPr>
                <w:rFonts w:ascii="Times New Roman" w:hAnsi="Times New Roman"/>
                <w:sz w:val="21"/>
              </w:rPr>
              <w:t>0 missed</w:t>
            </w:r>
          </w:p>
        </w:tc>
        <w:tc>
          <w:tcPr>
            <w:tcW w:type="dxa" w:w="2256"/>
          </w:tcPr>
          <w:p>
            <w:pPr>
              <w:spacing w:after="0"/>
              <w:jc w:val="left"/>
            </w:pPr>
            <w:r/>
            <w:r>
              <w:rPr>
                <w:rFonts w:ascii="Times New Roman" w:hAnsi="Times New Roman"/>
                <w:sz w:val="21"/>
              </w:rPr>
              <w:t>0.000</w:t>
            </w:r>
          </w:p>
        </w:tc>
      </w:tr>
      <w:tr>
        <w:tc>
          <w:tcPr>
            <w:tcW w:type="dxa" w:w="2256"/>
          </w:tcPr>
          <w:p>
            <w:pPr>
              <w:spacing w:after="0"/>
              <w:jc w:val="left"/>
            </w:pPr>
            <w:r/>
            <w:r>
              <w:rPr>
                <w:rFonts w:ascii="Times New Roman" w:hAnsi="Times New Roman"/>
                <w:sz w:val="21"/>
              </w:rPr>
              <w:t>Permanent disability (02)</w:t>
            </w:r>
          </w:p>
        </w:tc>
        <w:tc>
          <w:tcPr>
            <w:tcW w:type="dxa" w:w="2256"/>
          </w:tcPr>
          <w:p>
            <w:pPr>
              <w:spacing w:after="0"/>
              <w:jc w:val="left"/>
            </w:pPr>
            <w:r/>
            <w:r>
              <w:rPr>
                <w:rFonts w:ascii="Times New Roman" w:hAnsi="Times New Roman"/>
                <w:sz w:val="21"/>
              </w:rPr>
              <w:t>224</w:t>
            </w:r>
          </w:p>
        </w:tc>
        <w:tc>
          <w:tcPr>
            <w:tcW w:type="dxa" w:w="2256"/>
          </w:tcPr>
          <w:p>
            <w:pPr>
              <w:spacing w:after="0"/>
              <w:jc w:val="left"/>
            </w:pPr>
            <w:r/>
            <w:r>
              <w:rPr>
                <w:rFonts w:ascii="Times New Roman" w:hAnsi="Times New Roman"/>
                <w:sz w:val="21"/>
              </w:rPr>
              <w:t>0 missed</w:t>
            </w:r>
          </w:p>
        </w:tc>
        <w:tc>
          <w:tcPr>
            <w:tcW w:type="dxa" w:w="2256"/>
          </w:tcPr>
          <w:p>
            <w:pPr>
              <w:spacing w:after="0"/>
              <w:jc w:val="left"/>
            </w:pPr>
            <w:r/>
            <w:r>
              <w:rPr>
                <w:rFonts w:ascii="Times New Roman" w:hAnsi="Times New Roman"/>
                <w:sz w:val="21"/>
              </w:rPr>
              <w:t>0.000</w:t>
            </w:r>
          </w:p>
        </w:tc>
      </w:tr>
      <w:tr>
        <w:tc>
          <w:tcPr>
            <w:tcW w:type="dxa" w:w="2256"/>
          </w:tcPr>
          <w:p>
            <w:pPr>
              <w:spacing w:after="0"/>
              <w:jc w:val="left"/>
            </w:pPr>
            <w:r/>
            <w:r>
              <w:rPr>
                <w:rFonts w:ascii="Times New Roman" w:hAnsi="Times New Roman"/>
                <w:sz w:val="21"/>
              </w:rPr>
              <w:t>Days away only (03)</w:t>
            </w:r>
          </w:p>
        </w:tc>
        <w:tc>
          <w:tcPr>
            <w:tcW w:type="dxa" w:w="2256"/>
          </w:tcPr>
          <w:p>
            <w:pPr>
              <w:spacing w:after="0"/>
              <w:jc w:val="left"/>
            </w:pPr>
            <w:r/>
            <w:r>
              <w:rPr>
                <w:rFonts w:ascii="Times New Roman" w:hAnsi="Times New Roman"/>
                <w:sz w:val="21"/>
              </w:rPr>
              <w:t>7,380</w:t>
            </w:r>
          </w:p>
        </w:tc>
        <w:tc>
          <w:tcPr>
            <w:tcW w:type="dxa" w:w="2256"/>
          </w:tcPr>
          <w:p>
            <w:pPr>
              <w:spacing w:after="0"/>
              <w:jc w:val="left"/>
            </w:pPr>
            <w:r/>
            <w:r>
              <w:rPr>
                <w:rFonts w:ascii="Times New Roman" w:hAnsi="Times New Roman"/>
                <w:sz w:val="21"/>
              </w:rPr>
              <w:t>376 missed</w:t>
            </w:r>
          </w:p>
        </w:tc>
        <w:tc>
          <w:tcPr>
            <w:tcW w:type="dxa" w:w="2256"/>
          </w:tcPr>
          <w:p>
            <w:pPr>
              <w:spacing w:after="0"/>
              <w:jc w:val="left"/>
            </w:pPr>
            <w:r/>
            <w:r>
              <w:rPr>
                <w:rFonts w:ascii="Times New Roman" w:hAnsi="Times New Roman"/>
                <w:sz w:val="21"/>
              </w:rPr>
              <w:t>0.051</w:t>
            </w:r>
          </w:p>
        </w:tc>
      </w:tr>
      <w:tr>
        <w:tc>
          <w:tcPr>
            <w:tcW w:type="dxa" w:w="2256"/>
          </w:tcPr>
          <w:p>
            <w:pPr>
              <w:spacing w:after="0"/>
              <w:jc w:val="left"/>
            </w:pPr>
            <w:r/>
            <w:r>
              <w:rPr>
                <w:rFonts w:ascii="Times New Roman" w:hAnsi="Times New Roman"/>
                <w:sz w:val="21"/>
              </w:rPr>
              <w:t>Days away and restricted activity (04)</w:t>
            </w:r>
          </w:p>
        </w:tc>
        <w:tc>
          <w:tcPr>
            <w:tcW w:type="dxa" w:w="2256"/>
          </w:tcPr>
          <w:p>
            <w:pPr>
              <w:spacing w:after="0"/>
              <w:jc w:val="left"/>
            </w:pPr>
            <w:r/>
            <w:r>
              <w:rPr>
                <w:rFonts w:ascii="Times New Roman" w:hAnsi="Times New Roman"/>
                <w:sz w:val="21"/>
              </w:rPr>
              <w:t>2,127</w:t>
            </w:r>
          </w:p>
        </w:tc>
        <w:tc>
          <w:tcPr>
            <w:tcW w:type="dxa" w:w="2256"/>
          </w:tcPr>
          <w:p>
            <w:pPr>
              <w:spacing w:after="0"/>
              <w:jc w:val="left"/>
            </w:pPr>
            <w:r/>
            <w:r>
              <w:rPr>
                <w:rFonts w:ascii="Times New Roman" w:hAnsi="Times New Roman"/>
                <w:sz w:val="21"/>
              </w:rPr>
              <w:t>185 missed</w:t>
            </w:r>
          </w:p>
        </w:tc>
        <w:tc>
          <w:tcPr>
            <w:tcW w:type="dxa" w:w="2256"/>
          </w:tcPr>
          <w:p>
            <w:pPr>
              <w:spacing w:after="0"/>
              <w:jc w:val="left"/>
            </w:pPr>
            <w:r/>
            <w:r>
              <w:rPr>
                <w:rFonts w:ascii="Times New Roman" w:hAnsi="Times New Roman"/>
                <w:sz w:val="21"/>
              </w:rPr>
              <w:t>0.087</w:t>
            </w:r>
          </w:p>
        </w:tc>
      </w:tr>
      <w:tr>
        <w:tc>
          <w:tcPr>
            <w:tcW w:type="dxa" w:w="2256"/>
          </w:tcPr>
          <w:p>
            <w:pPr>
              <w:spacing w:after="0"/>
              <w:jc w:val="left"/>
            </w:pPr>
            <w:r/>
            <w:r>
              <w:rPr>
                <w:rFonts w:ascii="Times New Roman" w:hAnsi="Times New Roman"/>
                <w:sz w:val="21"/>
              </w:rPr>
              <w:t>Cut, laceration or puncture x finger or thumb</w:t>
            </w:r>
          </w:p>
        </w:tc>
        <w:tc>
          <w:tcPr>
            <w:tcW w:type="dxa" w:w="2256"/>
          </w:tcPr>
          <w:p>
            <w:pPr>
              <w:spacing w:after="0"/>
              <w:jc w:val="left"/>
            </w:pPr>
            <w:r/>
            <w:r>
              <w:rPr>
                <w:rFonts w:ascii="Times New Roman" w:hAnsi="Times New Roman"/>
                <w:sz w:val="21"/>
              </w:rPr>
              <w:t>324</w:t>
            </w:r>
          </w:p>
        </w:tc>
        <w:tc>
          <w:tcPr>
            <w:tcW w:type="dxa" w:w="2256"/>
          </w:tcPr>
          <w:p>
            <w:pPr>
              <w:spacing w:after="0"/>
              <w:jc w:val="left"/>
            </w:pPr>
            <w:r/>
            <w:r>
              <w:rPr>
                <w:rFonts w:ascii="Times New Roman" w:hAnsi="Times New Roman"/>
                <w:sz w:val="21"/>
              </w:rPr>
              <w:t>170 missed</w:t>
            </w:r>
          </w:p>
        </w:tc>
        <w:tc>
          <w:tcPr>
            <w:tcW w:type="dxa" w:w="2256"/>
          </w:tcPr>
          <w:p>
            <w:pPr>
              <w:spacing w:after="0"/>
              <w:jc w:val="left"/>
            </w:pPr>
            <w:r/>
            <w:r>
              <w:rPr>
                <w:rFonts w:ascii="Times New Roman" w:hAnsi="Times New Roman"/>
                <w:sz w:val="21"/>
              </w:rPr>
              <w:t>0.525</w:t>
            </w:r>
          </w:p>
        </w:tc>
      </w:tr>
      <w:tr>
        <w:tc>
          <w:tcPr>
            <w:tcW w:type="dxa" w:w="2256"/>
          </w:tcPr>
          <w:p>
            <w:pPr>
              <w:spacing w:after="0"/>
              <w:jc w:val="left"/>
            </w:pPr>
            <w:r/>
            <w:r>
              <w:rPr>
                <w:rFonts w:ascii="Times New Roman" w:hAnsi="Times New Roman"/>
                <w:sz w:val="21"/>
              </w:rPr>
              <w:t>Cut, laceration or puncture x hand</w:t>
            </w:r>
          </w:p>
        </w:tc>
        <w:tc>
          <w:tcPr>
            <w:tcW w:type="dxa" w:w="2256"/>
          </w:tcPr>
          <w:p>
            <w:pPr>
              <w:spacing w:after="0"/>
              <w:jc w:val="left"/>
            </w:pPr>
            <w:r/>
            <w:r>
              <w:rPr>
                <w:rFonts w:ascii="Times New Roman" w:hAnsi="Times New Roman"/>
                <w:sz w:val="21"/>
              </w:rPr>
              <w:t>104</w:t>
            </w:r>
          </w:p>
        </w:tc>
        <w:tc>
          <w:tcPr>
            <w:tcW w:type="dxa" w:w="2256"/>
          </w:tcPr>
          <w:p>
            <w:pPr>
              <w:spacing w:after="0"/>
              <w:jc w:val="left"/>
            </w:pPr>
            <w:r/>
            <w:r>
              <w:rPr>
                <w:rFonts w:ascii="Times New Roman" w:hAnsi="Times New Roman"/>
                <w:sz w:val="21"/>
              </w:rPr>
              <w:t>65 missed</w:t>
            </w:r>
          </w:p>
        </w:tc>
        <w:tc>
          <w:tcPr>
            <w:tcW w:type="dxa" w:w="2256"/>
          </w:tcPr>
          <w:p>
            <w:pPr>
              <w:spacing w:after="0"/>
              <w:jc w:val="left"/>
            </w:pPr>
            <w:r/>
            <w:r>
              <w:rPr>
                <w:rFonts w:ascii="Times New Roman" w:hAnsi="Times New Roman"/>
                <w:sz w:val="21"/>
              </w:rPr>
              <w:t>0.625</w:t>
            </w:r>
          </w:p>
        </w:tc>
      </w:tr>
      <w:tr>
        <w:tc>
          <w:tcPr>
            <w:tcW w:type="dxa" w:w="2256"/>
          </w:tcPr>
          <w:p>
            <w:pPr>
              <w:spacing w:after="0"/>
              <w:jc w:val="left"/>
            </w:pPr>
            <w:r/>
            <w:r>
              <w:rPr>
                <w:rFonts w:ascii="Times New Roman" w:hAnsi="Times New Roman"/>
                <w:sz w:val="21"/>
              </w:rPr>
              <w:t>Fracture x finger or thumb</w:t>
            </w:r>
          </w:p>
        </w:tc>
        <w:tc>
          <w:tcPr>
            <w:tcW w:type="dxa" w:w="2256"/>
          </w:tcPr>
          <w:p>
            <w:pPr>
              <w:spacing w:after="0"/>
              <w:jc w:val="left"/>
            </w:pPr>
            <w:r/>
            <w:r>
              <w:rPr>
                <w:rFonts w:ascii="Times New Roman" w:hAnsi="Times New Roman"/>
                <w:sz w:val="21"/>
              </w:rPr>
              <w:t>392</w:t>
            </w:r>
          </w:p>
        </w:tc>
        <w:tc>
          <w:tcPr>
            <w:tcW w:type="dxa" w:w="2256"/>
          </w:tcPr>
          <w:p>
            <w:pPr>
              <w:spacing w:after="0"/>
              <w:jc w:val="left"/>
            </w:pPr>
            <w:r/>
            <w:r>
              <w:rPr>
                <w:rFonts w:ascii="Times New Roman" w:hAnsi="Times New Roman"/>
                <w:sz w:val="21"/>
              </w:rPr>
              <w:t>51 missed</w:t>
            </w:r>
          </w:p>
        </w:tc>
        <w:tc>
          <w:tcPr>
            <w:tcW w:type="dxa" w:w="2256"/>
          </w:tcPr>
          <w:p>
            <w:pPr>
              <w:spacing w:after="0"/>
              <w:jc w:val="left"/>
            </w:pPr>
            <w:r/>
            <w:r>
              <w:rPr>
                <w:rFonts w:ascii="Times New Roman" w:hAnsi="Times New Roman"/>
                <w:sz w:val="21"/>
              </w:rPr>
              <w:t>0.130</w:t>
            </w:r>
          </w:p>
        </w:tc>
      </w:tr>
      <w:tr>
        <w:tc>
          <w:tcPr>
            <w:tcW w:type="dxa" w:w="2256"/>
          </w:tcPr>
          <w:p>
            <w:pPr>
              <w:spacing w:after="0"/>
              <w:jc w:val="left"/>
            </w:pPr>
            <w:r/>
            <w:r>
              <w:rPr>
                <w:rFonts w:ascii="Times New Roman" w:hAnsi="Times New Roman"/>
                <w:sz w:val="21"/>
              </w:rPr>
              <w:t>Fracture x mouth, lips, teeth or throat</w:t>
            </w:r>
          </w:p>
        </w:tc>
        <w:tc>
          <w:tcPr>
            <w:tcW w:type="dxa" w:w="2256"/>
          </w:tcPr>
          <w:p>
            <w:pPr>
              <w:spacing w:after="0"/>
              <w:jc w:val="left"/>
            </w:pPr>
            <w:r/>
            <w:r>
              <w:rPr>
                <w:rFonts w:ascii="Times New Roman" w:hAnsi="Times New Roman"/>
                <w:sz w:val="21"/>
              </w:rPr>
              <w:t>19</w:t>
            </w:r>
          </w:p>
        </w:tc>
        <w:tc>
          <w:tcPr>
            <w:tcW w:type="dxa" w:w="2256"/>
          </w:tcPr>
          <w:p>
            <w:pPr>
              <w:spacing w:after="0"/>
              <w:jc w:val="left"/>
            </w:pPr>
            <w:r/>
            <w:r>
              <w:rPr>
                <w:rFonts w:ascii="Times New Roman" w:hAnsi="Times New Roman"/>
                <w:sz w:val="21"/>
              </w:rPr>
              <w:t>17 missed</w:t>
            </w:r>
          </w:p>
        </w:tc>
        <w:tc>
          <w:tcPr>
            <w:tcW w:type="dxa" w:w="2256"/>
          </w:tcPr>
          <w:p>
            <w:pPr>
              <w:spacing w:after="0"/>
              <w:jc w:val="left"/>
            </w:pPr>
            <w:r/>
            <w:r>
              <w:rPr>
                <w:rFonts w:ascii="Times New Roman" w:hAnsi="Times New Roman"/>
                <w:sz w:val="21"/>
              </w:rPr>
              <w:t>0.895</w:t>
            </w:r>
          </w:p>
        </w:tc>
      </w:tr>
      <w:tr>
        <w:tc>
          <w:tcPr>
            <w:tcW w:type="dxa" w:w="2256"/>
          </w:tcPr>
          <w:p>
            <w:pPr>
              <w:spacing w:after="0"/>
              <w:jc w:val="left"/>
            </w:pPr>
            <w:r/>
            <w:r>
              <w:rPr>
                <w:rFonts w:ascii="Times New Roman" w:hAnsi="Times New Roman"/>
                <w:sz w:val="21"/>
              </w:rPr>
              <w:t>Dust in the eyes x eye</w:t>
            </w:r>
          </w:p>
        </w:tc>
        <w:tc>
          <w:tcPr>
            <w:tcW w:type="dxa" w:w="2256"/>
          </w:tcPr>
          <w:p>
            <w:pPr>
              <w:spacing w:after="0"/>
              <w:jc w:val="left"/>
            </w:pPr>
            <w:r/>
            <w:r>
              <w:rPr>
                <w:rFonts w:ascii="Times New Roman" w:hAnsi="Times New Roman"/>
                <w:sz w:val="21"/>
              </w:rPr>
              <w:t>36</w:t>
            </w:r>
          </w:p>
        </w:tc>
        <w:tc>
          <w:tcPr>
            <w:tcW w:type="dxa" w:w="2256"/>
          </w:tcPr>
          <w:p>
            <w:pPr>
              <w:spacing w:after="0"/>
              <w:jc w:val="left"/>
            </w:pPr>
            <w:r/>
            <w:r>
              <w:rPr>
                <w:rFonts w:ascii="Times New Roman" w:hAnsi="Times New Roman"/>
                <w:sz w:val="21"/>
              </w:rPr>
              <w:t>16 missed</w:t>
            </w:r>
          </w:p>
        </w:tc>
        <w:tc>
          <w:tcPr>
            <w:tcW w:type="dxa" w:w="2256"/>
          </w:tcPr>
          <w:p>
            <w:pPr>
              <w:spacing w:after="0"/>
              <w:jc w:val="left"/>
            </w:pPr>
            <w:r/>
            <w:r>
              <w:rPr>
                <w:rFonts w:ascii="Times New Roman" w:hAnsi="Times New Roman"/>
                <w:sz w:val="21"/>
              </w:rPr>
              <w:t>0.444</w:t>
            </w:r>
          </w:p>
        </w:tc>
      </w:tr>
      <w:tr>
        <w:tc>
          <w:tcPr>
            <w:tcW w:type="dxa" w:w="2256"/>
          </w:tcPr>
          <w:p>
            <w:pPr>
              <w:spacing w:after="0"/>
              <w:jc w:val="left"/>
            </w:pPr>
            <w:r/>
            <w:r>
              <w:rPr>
                <w:rFonts w:ascii="Times New Roman" w:hAnsi="Times New Roman"/>
                <w:sz w:val="21"/>
              </w:rPr>
              <w:t>Burn or chemical injury x eye</w:t>
            </w:r>
          </w:p>
        </w:tc>
        <w:tc>
          <w:tcPr>
            <w:tcW w:type="dxa" w:w="2256"/>
          </w:tcPr>
          <w:p>
            <w:pPr>
              <w:spacing w:after="0"/>
              <w:jc w:val="left"/>
            </w:pPr>
            <w:r/>
            <w:r>
              <w:rPr>
                <w:rFonts w:ascii="Times New Roman" w:hAnsi="Times New Roman"/>
                <w:sz w:val="21"/>
              </w:rPr>
              <w:t>46</w:t>
            </w:r>
          </w:p>
        </w:tc>
        <w:tc>
          <w:tcPr>
            <w:tcW w:type="dxa" w:w="2256"/>
          </w:tcPr>
          <w:p>
            <w:pPr>
              <w:spacing w:after="0"/>
              <w:jc w:val="left"/>
            </w:pPr>
            <w:r/>
            <w:r>
              <w:rPr>
                <w:rFonts w:ascii="Times New Roman" w:hAnsi="Times New Roman"/>
                <w:sz w:val="21"/>
              </w:rPr>
              <w:t>16 missed</w:t>
            </w:r>
          </w:p>
        </w:tc>
        <w:tc>
          <w:tcPr>
            <w:tcW w:type="dxa" w:w="2256"/>
          </w:tcPr>
          <w:p>
            <w:pPr>
              <w:spacing w:after="0"/>
              <w:jc w:val="left"/>
            </w:pPr>
            <w:r/>
            <w:r>
              <w:rPr>
                <w:rFonts w:ascii="Times New Roman" w:hAnsi="Times New Roman"/>
                <w:sz w:val="21"/>
              </w:rPr>
              <w:t>0.348</w:t>
            </w:r>
          </w:p>
        </w:tc>
      </w:tr>
      <w:tr>
        <w:tc>
          <w:tcPr>
            <w:tcW w:type="dxa" w:w="2256"/>
          </w:tcPr>
          <w:p>
            <w:pPr>
              <w:spacing w:after="0"/>
              <w:jc w:val="left"/>
            </w:pPr>
            <w:r/>
            <w:r>
              <w:rPr>
                <w:rFonts w:ascii="Times New Roman" w:hAnsi="Times New Roman"/>
                <w:sz w:val="21"/>
              </w:rPr>
              <w:t>Non-lost-time: restricted activity only (05)</w:t>
            </w:r>
          </w:p>
        </w:tc>
        <w:tc>
          <w:tcPr>
            <w:tcW w:type="dxa" w:w="2256"/>
          </w:tcPr>
          <w:p>
            <w:pPr>
              <w:spacing w:after="0"/>
              <w:jc w:val="left"/>
            </w:pPr>
            <w:r/>
            <w:r>
              <w:rPr>
                <w:rFonts w:ascii="Times New Roman" w:hAnsi="Times New Roman"/>
                <w:sz w:val="21"/>
              </w:rPr>
              <w:t>4,212</w:t>
            </w:r>
          </w:p>
        </w:tc>
        <w:tc>
          <w:tcPr>
            <w:tcW w:type="dxa" w:w="2256"/>
          </w:tcPr>
          <w:p>
            <w:pPr>
              <w:spacing w:after="0"/>
              <w:jc w:val="left"/>
            </w:pPr>
            <w:r/>
            <w:r>
              <w:rPr>
                <w:rFonts w:ascii="Times New Roman" w:hAnsi="Times New Roman"/>
                <w:sz w:val="21"/>
              </w:rPr>
              <w:t>3,297 flagged</w:t>
            </w:r>
          </w:p>
        </w:tc>
        <w:tc>
          <w:tcPr>
            <w:tcW w:type="dxa" w:w="2256"/>
          </w:tcPr>
          <w:p>
            <w:pPr>
              <w:spacing w:after="0"/>
              <w:jc w:val="left"/>
            </w:pPr>
            <w:r/>
            <w:r>
              <w:rPr>
                <w:rFonts w:ascii="Times New Roman" w:hAnsi="Times New Roman"/>
                <w:sz w:val="21"/>
              </w:rPr>
              <w:t>0.783</w:t>
            </w:r>
          </w:p>
        </w:tc>
      </w:tr>
      <w:tr>
        <w:tc>
          <w:tcPr>
            <w:tcW w:type="dxa" w:w="2256"/>
          </w:tcPr>
          <w:p>
            <w:pPr>
              <w:spacing w:after="0"/>
              <w:jc w:val="left"/>
            </w:pPr>
            <w:r/>
            <w:r>
              <w:rPr>
                <w:rFonts w:ascii="Times New Roman" w:hAnsi="Times New Roman"/>
                <w:sz w:val="21"/>
              </w:rPr>
              <w:t>Non-lost-time: no days away and no restriction (06)</w:t>
            </w:r>
          </w:p>
        </w:tc>
        <w:tc>
          <w:tcPr>
            <w:tcW w:type="dxa" w:w="2256"/>
          </w:tcPr>
          <w:p>
            <w:pPr>
              <w:spacing w:after="0"/>
              <w:jc w:val="left"/>
            </w:pPr>
            <w:r/>
            <w:r>
              <w:rPr>
                <w:rFonts w:ascii="Times New Roman" w:hAnsi="Times New Roman"/>
                <w:sz w:val="21"/>
              </w:rPr>
              <w:t>6,235</w:t>
            </w:r>
          </w:p>
        </w:tc>
        <w:tc>
          <w:tcPr>
            <w:tcW w:type="dxa" w:w="2256"/>
          </w:tcPr>
          <w:p>
            <w:pPr>
              <w:spacing w:after="0"/>
              <w:jc w:val="left"/>
            </w:pPr>
            <w:r/>
            <w:r>
              <w:rPr>
                <w:rFonts w:ascii="Times New Roman" w:hAnsi="Times New Roman"/>
                <w:sz w:val="21"/>
              </w:rPr>
              <w:t>2,935 flagged</w:t>
            </w:r>
          </w:p>
        </w:tc>
        <w:tc>
          <w:tcPr>
            <w:tcW w:type="dxa" w:w="2256"/>
          </w:tcPr>
          <w:p>
            <w:pPr>
              <w:spacing w:after="0"/>
              <w:jc w:val="left"/>
            </w:pPr>
            <w:r/>
            <w:r>
              <w:rPr>
                <w:rFonts w:ascii="Times New Roman" w:hAnsi="Times New Roman"/>
                <w:sz w:val="21"/>
              </w:rPr>
              <w:t>0.471</w:t>
            </w:r>
          </w:p>
        </w:tc>
      </w:tr>
    </w:tbl>
    <w:p>
      <w:pPr>
        <w:spacing w:after="80"/>
      </w:pPr>
    </w:p>
    <w:p>
      <w:r>
        <w:rPr>
          <w:rFonts w:ascii="Times New Roman" w:hAnsi="Times New Roman"/>
          <w:sz w:val="24"/>
        </w:rPr>
        <w:t>Table 19 is the model card of HGB (Mitchell et al., 2019). Its monitoring entries follow Sculley et al. (2015), who show that deployed models accrue hidden debt through shifting inputs and feedback loops. A feedback loop is plausible here, since return-to-work plans prompted by flags could turn lost-time cases into restricted-duty ones and change the label the model learns from.</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19</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Model card of the HGB pipeline, after Mitchell et al. (2019), with metrics on the 20,320 test reports at the capacity threshold unless stated otherwise. Source: author's analysis of MSHA open data.</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E7E6E6"/>
          </w:tcPr>
          <w:p>
            <w:pPr>
              <w:jc w:val="left"/>
            </w:pPr>
            <w:r>
              <w:rPr>
                <w:b/>
              </w:rPr>
            </w:r>
            <w:r>
              <w:rPr>
                <w:rFonts w:ascii="Times New Roman" w:hAnsi="Times New Roman"/>
                <w:b/>
                <w:sz w:val="21"/>
              </w:rPr>
              <w:t>Field</w:t>
            </w:r>
          </w:p>
        </w:tc>
        <w:tc>
          <w:tcPr>
            <w:tcW w:type="dxa" w:w="4513"/>
            <w:shd w:val="clear" w:color="auto" w:fill="E7E6E6"/>
          </w:tcPr>
          <w:p>
            <w:pPr>
              <w:jc w:val="left"/>
            </w:pPr>
            <w:r>
              <w:rPr>
                <w:b/>
              </w:rPr>
            </w:r>
            <w:r>
              <w:rPr>
                <w:rFonts w:ascii="Times New Roman" w:hAnsi="Times New Roman"/>
                <w:b/>
                <w:sz w:val="21"/>
              </w:rPr>
              <w:t>Content</w:t>
            </w:r>
          </w:p>
        </w:tc>
      </w:tr>
      <w:tr>
        <w:tc>
          <w:tcPr>
            <w:tcW w:type="dxa" w:w="4513"/>
          </w:tcPr>
          <w:p>
            <w:pPr>
              <w:spacing w:after="0"/>
              <w:jc w:val="left"/>
            </w:pPr>
            <w:r/>
            <w:r>
              <w:rPr>
                <w:rFonts w:ascii="Times New Roman" w:hAnsi="Times New Roman"/>
                <w:sz w:val="21"/>
              </w:rPr>
              <w:t>Model</w:t>
            </w:r>
          </w:p>
        </w:tc>
        <w:tc>
          <w:tcPr>
            <w:tcW w:type="dxa" w:w="4513"/>
          </w:tcPr>
          <w:p>
            <w:pPr>
              <w:spacing w:after="0"/>
              <w:jc w:val="left"/>
            </w:pPr>
            <w:r/>
            <w:r>
              <w:rPr>
                <w:rFonts w:ascii="Times New Roman" w:hAnsi="Times New Roman"/>
                <w:sz w:val="21"/>
              </w:rPr>
              <w:t>HistGradientBoostingClassifier from scikit-learn 1.9.1 inside the preprocessing pipeline of Figure 11; learning rate 0.05, at most 400 rounds with early stopping, 31 leaf nodes, no L2 penalty; refitted on the 81,289 training rows on 14 October 2026; saved pipeline 0.45 MB</w:t>
            </w:r>
          </w:p>
        </w:tc>
      </w:tr>
      <w:tr>
        <w:tc>
          <w:tcPr>
            <w:tcW w:type="dxa" w:w="4513"/>
          </w:tcPr>
          <w:p>
            <w:pPr>
              <w:spacing w:after="0"/>
              <w:jc w:val="left"/>
            </w:pPr>
            <w:r/>
            <w:r>
              <w:rPr>
                <w:rFonts w:ascii="Times New Roman" w:hAnsi="Times New Roman"/>
                <w:sz w:val="21"/>
              </w:rPr>
              <w:t>Intended use</w:t>
            </w:r>
          </w:p>
        </w:tc>
        <w:tc>
          <w:tcPr>
            <w:tcW w:type="dxa" w:w="4513"/>
          </w:tcPr>
          <w:p>
            <w:pPr>
              <w:spacing w:after="0"/>
              <w:jc w:val="left"/>
            </w:pPr>
            <w:r/>
            <w:r>
              <w:rPr>
                <w:rFonts w:ascii="Times New Roman" w:hAnsi="Times New Roman"/>
                <w:sz w:val="21"/>
              </w:rPr>
              <w:t>ranking new Form 7000-1 reports at filing for early review by workers'-compensation adjusters at insurers and self-insured operators, flagging reports that score 0.210 or more (about three in four); an adjuster confirms every flag</w:t>
            </w:r>
          </w:p>
        </w:tc>
      </w:tr>
      <w:tr>
        <w:tc>
          <w:tcPr>
            <w:tcW w:type="dxa" w:w="4513"/>
          </w:tcPr>
          <w:p>
            <w:pPr>
              <w:spacing w:after="0"/>
              <w:jc w:val="left"/>
            </w:pPr>
            <w:r/>
            <w:r>
              <w:rPr>
                <w:rFonts w:ascii="Times New Roman" w:hAnsi="Times New Roman"/>
                <w:sz w:val="21"/>
              </w:rPr>
              <w:t>Out-of-scope uses</w:t>
            </w:r>
          </w:p>
        </w:tc>
        <w:tc>
          <w:tcPr>
            <w:tcW w:type="dxa" w:w="4513"/>
          </w:tcPr>
          <w:p>
            <w:pPr>
              <w:spacing w:after="0"/>
              <w:jc w:val="left"/>
            </w:pPr>
            <w:r/>
            <w:r>
              <w:rPr>
                <w:rFonts w:ascii="Times New Roman" w:hAnsi="Times New Roman"/>
                <w:sz w:val="21"/>
              </w:rPr>
              <w:t>ranking mines for inspection, which the DART label suits better; setting benefit levels or denying claims; judging individual workers; reports outside 2010-2025 or outside degree codes 01 to 06</w:t>
            </w:r>
          </w:p>
        </w:tc>
      </w:tr>
      <w:tr>
        <w:tc>
          <w:tcPr>
            <w:tcW w:type="dxa" w:w="4513"/>
          </w:tcPr>
          <w:p>
            <w:pPr>
              <w:spacing w:after="0"/>
              <w:jc w:val="left"/>
            </w:pPr>
            <w:r/>
            <w:r>
              <w:rPr>
                <w:rFonts w:ascii="Times New Roman" w:hAnsi="Times New Roman"/>
                <w:sz w:val="21"/>
              </w:rPr>
              <w:t>Data</w:t>
            </w:r>
          </w:p>
        </w:tc>
        <w:tc>
          <w:tcPr>
            <w:tcW w:type="dxa" w:w="4513"/>
          </w:tcPr>
          <w:p>
            <w:pPr>
              <w:spacing w:after="0"/>
              <w:jc w:val="left"/>
            </w:pPr>
            <w:r/>
            <w:r>
              <w:rPr>
                <w:rFonts w:ascii="Times New Roman" w:hAnsi="Times New Roman"/>
                <w:sz w:val="21"/>
              </w:rPr>
              <w:t>101,609 MSHA reports of 2010-2025 (Section 1.3), split by 32,732 mine-years with 6,724 of them in the test set; secondary temporal split (2010-2019 against 2020-2025) and mine-grouped split</w:t>
            </w:r>
          </w:p>
        </w:tc>
      </w:tr>
      <w:tr>
        <w:tc>
          <w:tcPr>
            <w:tcW w:type="dxa" w:w="4513"/>
          </w:tcPr>
          <w:p>
            <w:pPr>
              <w:spacing w:after="0"/>
              <w:jc w:val="left"/>
            </w:pPr>
            <w:r/>
            <w:r>
              <w:rPr>
                <w:rFonts w:ascii="Times New Roman" w:hAnsi="Times New Roman"/>
                <w:sz w:val="21"/>
              </w:rPr>
              <w:t>Metrics</w:t>
            </w:r>
          </w:p>
        </w:tc>
        <w:tc>
          <w:tcPr>
            <w:tcW w:type="dxa" w:w="4513"/>
          </w:tcPr>
          <w:p>
            <w:pPr>
              <w:spacing w:after="0"/>
              <w:jc w:val="left"/>
            </w:pPr>
            <w:r/>
            <w:r>
              <w:rPr>
                <w:rFonts w:ascii="Times New Roman" w:hAnsi="Times New Roman"/>
                <w:sz w:val="21"/>
              </w:rPr>
              <w:t>PR-AUC (primary), ROC-AUC, recall, specificity, precision, Brier score and expected cost per 1,000 cases, with thresholds from out-of-fold probabilities</w:t>
            </w:r>
          </w:p>
        </w:tc>
      </w:tr>
      <w:tr>
        <w:tc>
          <w:tcPr>
            <w:tcW w:type="dxa" w:w="4513"/>
          </w:tcPr>
          <w:p>
            <w:pPr>
              <w:spacing w:after="0"/>
              <w:jc w:val="left"/>
            </w:pPr>
            <w:r/>
            <w:r>
              <w:rPr>
                <w:rFonts w:ascii="Times New Roman" w:hAnsi="Times New Roman"/>
                <w:sz w:val="21"/>
              </w:rPr>
              <w:t>Overall performance</w:t>
            </w:r>
          </w:p>
        </w:tc>
        <w:tc>
          <w:tcPr>
            <w:tcW w:type="dxa" w:w="4513"/>
          </w:tcPr>
          <w:p>
            <w:pPr>
              <w:spacing w:after="0"/>
              <w:jc w:val="left"/>
            </w:pPr>
            <w:r/>
            <w:r>
              <w:rPr>
                <w:rFonts w:ascii="Times New Roman" w:hAnsi="Times New Roman"/>
                <w:sz w:val="21"/>
              </w:rPr>
              <w:t>PR-AUC 0.841 (mine-year bootstrap 95% interval 0.825 to 0.856), ROC-AUC 0.843 and Brier score 0.161; recall 0.943, specificity 0.403 and precision 0.599 at threshold 0.210</w:t>
            </w:r>
          </w:p>
        </w:tc>
      </w:tr>
      <w:tr>
        <w:tc>
          <w:tcPr>
            <w:tcW w:type="dxa" w:w="4513"/>
          </w:tcPr>
          <w:p>
            <w:pPr>
              <w:spacing w:after="0"/>
              <w:jc w:val="left"/>
            </w:pPr>
            <w:r/>
            <w:r>
              <w:rPr>
                <w:rFonts w:ascii="Times New Roman" w:hAnsi="Times New Roman"/>
                <w:sz w:val="21"/>
              </w:rPr>
              <w:t>Subgroup performance</w:t>
            </w:r>
          </w:p>
        </w:tc>
        <w:tc>
          <w:tcPr>
            <w:tcW w:type="dxa" w:w="4513"/>
          </w:tcPr>
          <w:p>
            <w:pPr>
              <w:spacing w:after="0"/>
              <w:jc w:val="left"/>
            </w:pPr>
            <w:r/>
            <w:r>
              <w:rPr>
                <w:rFonts w:ascii="Times New Roman" w:hAnsi="Times New Roman"/>
                <w:sz w:val="21"/>
              </w:rPr>
              <w:t>coal (8,270 reports, prevalence 0.638): recall 0.971, specificity 0.397, precision 0.740, PR-AUC 0.912, Brier 0.135; metal and non-metal (12,050 reports, prevalence 0.381): recall 0.911, specificity 0.406, precision 0.486, PR-AUC 0.708, Brier 0.179</w:t>
            </w:r>
          </w:p>
        </w:tc>
      </w:tr>
      <w:tr>
        <w:tc>
          <w:tcPr>
            <w:tcW w:type="dxa" w:w="4513"/>
          </w:tcPr>
          <w:p>
            <w:pPr>
              <w:spacing w:after="0"/>
              <w:jc w:val="left"/>
            </w:pPr>
            <w:r/>
            <w:r>
              <w:rPr>
                <w:rFonts w:ascii="Times New Roman" w:hAnsi="Times New Roman"/>
                <w:sz w:val="21"/>
              </w:rPr>
              <w:t>Stability checks</w:t>
            </w:r>
          </w:p>
        </w:tc>
        <w:tc>
          <w:tcPr>
            <w:tcW w:type="dxa" w:w="4513"/>
          </w:tcPr>
          <w:p>
            <w:pPr>
              <w:spacing w:after="0"/>
              <w:jc w:val="left"/>
            </w:pPr>
            <w:r/>
            <w:r>
              <w:rPr>
                <w:rFonts w:ascii="Times New Roman" w:hAnsi="Times New Roman"/>
                <w:sz w:val="21"/>
              </w:rPr>
              <w:t>temporal split: PR-AUC 0.843 and recall 0.944 at a realised specificity of 0.377; mine-grouped split: PR-AUC 0.836 and recall 0.936; removing immed_reportable or the 103(i) status, counting only resolved earlier cases or blanking early-January exposure changed test PR-AUC by at most 0.001; without the 175 amputation reports, all lost-time, test PR-AUC is 0.834</w:t>
            </w:r>
          </w:p>
        </w:tc>
      </w:tr>
      <w:tr>
        <w:tc>
          <w:tcPr>
            <w:tcW w:type="dxa" w:w="4513"/>
          </w:tcPr>
          <w:p>
            <w:pPr>
              <w:spacing w:after="0"/>
              <w:jc w:val="left"/>
            </w:pPr>
            <w:r/>
            <w:r>
              <w:rPr>
                <w:rFonts w:ascii="Times New Roman" w:hAnsi="Times New Roman"/>
                <w:sz w:val="21"/>
              </w:rPr>
              <w:t>Limitations</w:t>
            </w:r>
          </w:p>
        </w:tc>
        <w:tc>
          <w:tcPr>
            <w:tcW w:type="dxa" w:w="4513"/>
          </w:tcPr>
          <w:p>
            <w:pPr>
              <w:spacing w:after="0"/>
              <w:jc w:val="left"/>
            </w:pPr>
            <w:r/>
            <w:r>
              <w:rPr>
                <w:rFonts w:ascii="Times New Roman" w:hAnsi="Times New Roman"/>
                <w:sz w:val="21"/>
              </w:rPr>
              <w:t>misses S5 (recall 0.775 at a 50% flag rate); the label records whether restricted duty was offered; precision below 0.5 in metal and non-metal mines; self-reported data omit unreported injuries; scores describe association, not cause</w:t>
            </w:r>
          </w:p>
        </w:tc>
      </w:tr>
      <w:tr>
        <w:tc>
          <w:tcPr>
            <w:tcW w:type="dxa" w:w="4513"/>
          </w:tcPr>
          <w:p>
            <w:pPr>
              <w:spacing w:after="0"/>
              <w:jc w:val="left"/>
            </w:pPr>
            <w:r/>
            <w:r>
              <w:rPr>
                <w:rFonts w:ascii="Times New Roman" w:hAnsi="Times New Roman"/>
                <w:sz w:val="21"/>
              </w:rPr>
              <w:t>Ethical considerations</w:t>
            </w:r>
          </w:p>
        </w:tc>
        <w:tc>
          <w:tcPr>
            <w:tcW w:type="dxa" w:w="4513"/>
          </w:tcPr>
          <w:p>
            <w:pPr>
              <w:spacing w:after="0"/>
              <w:jc w:val="left"/>
            </w:pPr>
            <w:r/>
            <w:r>
              <w:rPr>
                <w:rFonts w:ascii="Times New Roman" w:hAnsi="Times New Roman"/>
                <w:sz w:val="21"/>
              </w:rPr>
              <w:t>no names or narratives are used, but occupation, experience and state can stand in for groups of workers; a flag must never reduce benefits; the sector gap is disclosed; the application states the intended use and leaves the decision to a person</w:t>
            </w:r>
          </w:p>
        </w:tc>
      </w:tr>
      <w:tr>
        <w:tc>
          <w:tcPr>
            <w:tcW w:type="dxa" w:w="4513"/>
          </w:tcPr>
          <w:p>
            <w:pPr>
              <w:spacing w:after="0"/>
              <w:jc w:val="left"/>
            </w:pPr>
            <w:r/>
            <w:r>
              <w:rPr>
                <w:rFonts w:ascii="Times New Roman" w:hAnsi="Times New Roman"/>
                <w:sz w:val="21"/>
              </w:rPr>
              <w:t>Monitoring</w:t>
            </w:r>
          </w:p>
        </w:tc>
        <w:tc>
          <w:tcPr>
            <w:tcW w:type="dxa" w:w="4513"/>
          </w:tcPr>
          <w:p>
            <w:pPr>
              <w:spacing w:after="0"/>
              <w:jc w:val="left"/>
            </w:pPr>
            <w:r/>
            <w:r>
              <w:rPr>
                <w:rFonts w:ascii="Times New Roman" w:hAnsi="Times New Roman"/>
                <w:sz w:val="21"/>
              </w:rPr>
              <w:t>track the flag rate against the planned three in four, and PR-AUC and Brier score by sector on newly closed cases; retrain or recalibrate when PR-AUC falls below the S2 target of 0.75, the Brier score exceeds the S6 limit of 0.20 or the share of pooled infrequent levels grows (Sculley et al., 2015)</w:t>
            </w:r>
          </w:p>
        </w:tc>
      </w:tr>
    </w:tbl>
    <w:p>
      <w:pPr>
        <w:spacing w:after="80"/>
      </w:pPr>
    </w:p>
    <w:p>
      <w:r>
        <w:br w:type="page"/>
      </w:r>
    </w:p>
    <w:p>
      <w:pPr>
        <w:pStyle w:val="Heading1"/>
      </w:pPr>
      <w:r>
        <w:rPr>
          <w:rFonts w:ascii="Times New Roman" w:hAnsi="Times New Roman"/>
          <w:b/>
          <w:color w:val="000000"/>
          <w:sz w:val="32"/>
        </w:rPr>
        <w:t>5 Conclusion</w:t>
      </w:r>
    </w:p>
    <w:p>
      <w:pPr>
        <w:pStyle w:val="Heading2"/>
      </w:pPr>
      <w:r>
        <w:rPr>
          <w:rFonts w:ascii="Times New Roman" w:hAnsi="Times New Roman"/>
          <w:b/>
          <w:color w:val="000000"/>
          <w:sz w:val="28"/>
        </w:rPr>
        <w:t>5.1 Key data analysis findings</w:t>
      </w:r>
    </w:p>
    <w:p>
      <w:pPr>
        <w:pStyle w:val="ListNumber"/>
        <w:spacing w:after="60"/>
      </w:pPr>
      <w:r>
        <w:rPr>
          <w:rFonts w:ascii="Times New Roman" w:hAnsi="Times New Roman"/>
          <w:sz w:val="24"/>
        </w:rPr>
        <w:t>Lost-time cases are 48.6% of the 101,609 in-scope reports (Figure 1), so a rule that finds none is right about half the time and the insurer needs a ranked review queue.</w:t>
      </w:r>
    </w:p>
    <w:p>
      <w:pPr>
        <w:pStyle w:val="ListNumber"/>
        <w:spacing w:after="60"/>
      </w:pPr>
      <w:r>
        <w:rPr>
          <w:rFonts w:ascii="Times New Roman" w:hAnsi="Times New Roman"/>
          <w:sz w:val="24"/>
        </w:rPr>
        <w:t>Nature of injury and body part lead the association with lost time (Cramer's V of 0.391 and 0.364, Table 7), with cuts near 18% lost-time (Figure 7), so the fields the safety officer completes on the form carry most of the signal at filing.</w:t>
      </w:r>
    </w:p>
    <w:p>
      <w:pPr>
        <w:pStyle w:val="ListNumber"/>
        <w:spacing w:after="60"/>
      </w:pPr>
      <w:r>
        <w:rPr>
          <w:rFonts w:ascii="Times New Roman" w:hAnsi="Times New Roman"/>
          <w:sz w:val="24"/>
        </w:rPr>
        <w:t>The mine's previous-year lost-time share is the strongest numeric signal (point-biserial r = 0.292, Table 7; Figure 5), so mine history known before the accident shifts each score, though it partly reflects the restricted-duty practice behind the label.</w:t>
      </w:r>
    </w:p>
    <w:p>
      <w:pPr>
        <w:pStyle w:val="ListNumber"/>
        <w:spacing w:after="60"/>
      </w:pPr>
      <w:r>
        <w:rPr>
          <w:rFonts w:ascii="Times New Roman" w:hAnsi="Times New Roman"/>
          <w:sz w:val="24"/>
        </w:rPr>
        <w:t>Coal reports are lost-time in 63.0% of cases against 38.6% in metal and non-metal mines, while the DART label hardly varies by sector (Table 2), so the label records employers' restricted-duty practice as well as severity, and scores must be read within sector.</w:t>
      </w:r>
    </w:p>
    <w:p>
      <w:pPr>
        <w:pStyle w:val="ListNumber"/>
        <w:spacing w:after="60"/>
      </w:pPr>
      <w:r>
        <w:rPr>
          <w:rFonts w:ascii="Times New Roman" w:hAnsi="Times New Roman"/>
          <w:sz w:val="24"/>
        </w:rPr>
        <w:t>Gaps are mostly structural, but reports without total experience are lost-time in 59.3% of training cases against 48.5% of recorded ones (Figure 8; Table 8), so missing-value indicators keep that higher risk visible to the reserve decision.</w:t>
      </w:r>
    </w:p>
    <w:p>
      <w:pPr>
        <w:pStyle w:val="ListNumber"/>
        <w:spacing w:after="60"/>
      </w:pPr>
      <w:r>
        <w:rPr>
          <w:rFonts w:ascii="Times New Roman" w:hAnsi="Times New Roman"/>
          <w:sz w:val="24"/>
        </w:rPr>
        <w:t>The classes overlap in every two-dimensional view (Figure 6; Figure 10), and the adjusters' hand rule reaches a specificity of 0.429 (Table 3), so sparing needless reviews without losing lost-time cases needs a model that combines many fields.</w:t>
      </w:r>
    </w:p>
    <w:p>
      <w:pPr>
        <w:pStyle w:val="Heading2"/>
      </w:pPr>
      <w:r>
        <w:rPr>
          <w:rFonts w:ascii="Times New Roman" w:hAnsi="Times New Roman"/>
          <w:b/>
          <w:color w:val="000000"/>
          <w:sz w:val="28"/>
        </w:rPr>
        <w:t>5.2 Interpretation of results</w:t>
      </w:r>
    </w:p>
    <w:p>
      <w:r>
        <w:rPr>
          <w:rFonts w:ascii="Times New Roman" w:hAnsi="Times New Roman"/>
          <w:sz w:val="24"/>
        </w:rPr>
        <w:t>Per 1,000 filed cases at the capacity threshold, HGB misses 27.6 lost-time cases against 49.5 for the adjusters' hand rule, for a slightly larger review load (Table 20). Its cost-optimal thresholds undercut reviewing everything at low cost ratios. At the base ratio of Table 1 the cheapest threshold flags almost every case (Figure 15), leaving the score to order the queue when capacity binds.</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20</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Outcomes per 1,000 filed cases on the 20,320-row held-out test set for HGB at three thresholds fixed on out-of-fold probabilities, for the lookup baseline at its capacity threshold, for the adjusters' hand rule and for reviewing everything, with the expected cost at the 2:1 and 5:1 cost ratios at USD 200 per review; counts are test confusion counts scaled to 1,000 cases, and reviewing everything costs USD 102,825 per 1,000 on the test set against USD 102,829 on all in-scope reports. Source: author's analysis of MSHA open data.</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E7E6E6"/>
          </w:tcPr>
          <w:p>
            <w:pPr>
              <w:jc w:val="left"/>
            </w:pPr>
            <w:r>
              <w:rPr>
                <w:b/>
              </w:rPr>
            </w:r>
            <w:r>
              <w:rPr>
                <w:rFonts w:ascii="Times New Roman" w:hAnsi="Times New Roman"/>
                <w:b/>
                <w:sz w:val="21"/>
              </w:rPr>
              <w:t>Policy</w:t>
            </w:r>
          </w:p>
        </w:tc>
        <w:tc>
          <w:tcPr>
            <w:tcW w:type="dxa" w:w="1128"/>
            <w:shd w:val="clear" w:color="auto" w:fill="E7E6E6"/>
          </w:tcPr>
          <w:p>
            <w:pPr>
              <w:jc w:val="left"/>
            </w:pPr>
            <w:r>
              <w:rPr>
                <w:b/>
              </w:rPr>
            </w:r>
            <w:r>
              <w:rPr>
                <w:rFonts w:ascii="Times New Roman" w:hAnsi="Times New Roman"/>
                <w:b/>
                <w:sz w:val="21"/>
              </w:rPr>
              <w:t>Threshold</w:t>
            </w:r>
          </w:p>
        </w:tc>
        <w:tc>
          <w:tcPr>
            <w:tcW w:type="dxa" w:w="1128"/>
            <w:shd w:val="clear" w:color="auto" w:fill="E7E6E6"/>
          </w:tcPr>
          <w:p>
            <w:pPr>
              <w:jc w:val="left"/>
            </w:pPr>
            <w:r>
              <w:rPr>
                <w:b/>
              </w:rPr>
            </w:r>
            <w:r>
              <w:rPr>
                <w:rFonts w:ascii="Times New Roman" w:hAnsi="Times New Roman"/>
                <w:b/>
                <w:sz w:val="21"/>
              </w:rPr>
              <w:t>Flagged</w:t>
            </w:r>
          </w:p>
        </w:tc>
        <w:tc>
          <w:tcPr>
            <w:tcW w:type="dxa" w:w="1128"/>
            <w:shd w:val="clear" w:color="auto" w:fill="E7E6E6"/>
          </w:tcPr>
          <w:p>
            <w:pPr>
              <w:jc w:val="left"/>
            </w:pPr>
            <w:r>
              <w:rPr>
                <w:b/>
              </w:rPr>
            </w:r>
            <w:r>
              <w:rPr>
                <w:rFonts w:ascii="Times New Roman" w:hAnsi="Times New Roman"/>
                <w:b/>
                <w:sz w:val="21"/>
              </w:rPr>
              <w:t>Lost-time cases caught</w:t>
            </w:r>
          </w:p>
        </w:tc>
        <w:tc>
          <w:tcPr>
            <w:tcW w:type="dxa" w:w="1128"/>
            <w:shd w:val="clear" w:color="auto" w:fill="E7E6E6"/>
          </w:tcPr>
          <w:p>
            <w:pPr>
              <w:jc w:val="left"/>
            </w:pPr>
            <w:r>
              <w:rPr>
                <w:b/>
              </w:rPr>
            </w:r>
            <w:r>
              <w:rPr>
                <w:rFonts w:ascii="Times New Roman" w:hAnsi="Times New Roman"/>
                <w:b/>
                <w:sz w:val="21"/>
              </w:rPr>
              <w:t>Lost-time cases missed</w:t>
            </w:r>
          </w:p>
        </w:tc>
        <w:tc>
          <w:tcPr>
            <w:tcW w:type="dxa" w:w="1128"/>
            <w:shd w:val="clear" w:color="auto" w:fill="E7E6E6"/>
          </w:tcPr>
          <w:p>
            <w:pPr>
              <w:jc w:val="left"/>
            </w:pPr>
            <w:r>
              <w:rPr>
                <w:b/>
              </w:rPr>
            </w:r>
            <w:r>
              <w:rPr>
                <w:rFonts w:ascii="Times New Roman" w:hAnsi="Times New Roman"/>
                <w:b/>
                <w:sz w:val="21"/>
              </w:rPr>
              <w:t>False alarms</w:t>
            </w:r>
          </w:p>
        </w:tc>
        <w:tc>
          <w:tcPr>
            <w:tcW w:type="dxa" w:w="1128"/>
            <w:shd w:val="clear" w:color="auto" w:fill="E7E6E6"/>
          </w:tcPr>
          <w:p>
            <w:pPr>
              <w:jc w:val="left"/>
            </w:pPr>
            <w:r>
              <w:rPr>
                <w:b/>
              </w:rPr>
            </w:r>
            <w:r>
              <w:rPr>
                <w:rFonts w:ascii="Times New Roman" w:hAnsi="Times New Roman"/>
                <w:b/>
                <w:sz w:val="21"/>
              </w:rPr>
              <w:t>Expected cost at 2:1 (USD)</w:t>
            </w:r>
          </w:p>
        </w:tc>
        <w:tc>
          <w:tcPr>
            <w:tcW w:type="dxa" w:w="1128"/>
            <w:shd w:val="clear" w:color="auto" w:fill="E7E6E6"/>
          </w:tcPr>
          <w:p>
            <w:pPr>
              <w:jc w:val="left"/>
            </w:pPr>
            <w:r>
              <w:rPr>
                <w:b/>
              </w:rPr>
            </w:r>
            <w:r>
              <w:rPr>
                <w:rFonts w:ascii="Times New Roman" w:hAnsi="Times New Roman"/>
                <w:b/>
                <w:sz w:val="21"/>
              </w:rPr>
              <w:t>Expected cost at 5:1 (USD)</w:t>
            </w:r>
          </w:p>
        </w:tc>
      </w:tr>
      <w:tr>
        <w:tc>
          <w:tcPr>
            <w:tcW w:type="dxa" w:w="1128"/>
          </w:tcPr>
          <w:p>
            <w:pPr>
              <w:spacing w:after="0"/>
              <w:jc w:val="left"/>
            </w:pPr>
            <w:r/>
            <w:r>
              <w:rPr>
                <w:rFonts w:ascii="Times New Roman" w:hAnsi="Times New Roman"/>
                <w:sz w:val="21"/>
              </w:rPr>
              <w:t>HGB, capacity threshold (out-of-fold specificity 0.40)</w:t>
            </w:r>
          </w:p>
        </w:tc>
        <w:tc>
          <w:tcPr>
            <w:tcW w:type="dxa" w:w="1128"/>
          </w:tcPr>
          <w:p>
            <w:pPr>
              <w:spacing w:after="0"/>
              <w:jc w:val="left"/>
            </w:pPr>
            <w:r/>
            <w:r>
              <w:rPr>
                <w:rFonts w:ascii="Times New Roman" w:hAnsi="Times New Roman"/>
                <w:sz w:val="21"/>
              </w:rPr>
              <w:t>0.210</w:t>
            </w:r>
          </w:p>
        </w:tc>
        <w:tc>
          <w:tcPr>
            <w:tcW w:type="dxa" w:w="1128"/>
          </w:tcPr>
          <w:p>
            <w:pPr>
              <w:spacing w:after="0"/>
              <w:jc w:val="left"/>
            </w:pPr>
            <w:r/>
            <w:r>
              <w:rPr>
                <w:rFonts w:ascii="Times New Roman" w:hAnsi="Times New Roman"/>
                <w:sz w:val="21"/>
              </w:rPr>
              <w:t>765.0</w:t>
            </w:r>
          </w:p>
        </w:tc>
        <w:tc>
          <w:tcPr>
            <w:tcW w:type="dxa" w:w="1128"/>
          </w:tcPr>
          <w:p>
            <w:pPr>
              <w:spacing w:after="0"/>
              <w:jc w:val="left"/>
            </w:pPr>
            <w:r/>
            <w:r>
              <w:rPr>
                <w:rFonts w:ascii="Times New Roman" w:hAnsi="Times New Roman"/>
                <w:sz w:val="21"/>
              </w:rPr>
              <w:t>458.3</w:t>
            </w:r>
          </w:p>
        </w:tc>
        <w:tc>
          <w:tcPr>
            <w:tcW w:type="dxa" w:w="1128"/>
          </w:tcPr>
          <w:p>
            <w:pPr>
              <w:spacing w:after="0"/>
              <w:jc w:val="left"/>
            </w:pPr>
            <w:r/>
            <w:r>
              <w:rPr>
                <w:rFonts w:ascii="Times New Roman" w:hAnsi="Times New Roman"/>
                <w:sz w:val="21"/>
              </w:rPr>
              <w:t>27.6</w:t>
            </w:r>
          </w:p>
        </w:tc>
        <w:tc>
          <w:tcPr>
            <w:tcW w:type="dxa" w:w="1128"/>
          </w:tcPr>
          <w:p>
            <w:pPr>
              <w:spacing w:after="0"/>
              <w:jc w:val="left"/>
            </w:pPr>
            <w:r/>
            <w:r>
              <w:rPr>
                <w:rFonts w:ascii="Times New Roman" w:hAnsi="Times New Roman"/>
                <w:sz w:val="21"/>
              </w:rPr>
              <w:t>306.7</w:t>
            </w:r>
          </w:p>
        </w:tc>
        <w:tc>
          <w:tcPr>
            <w:tcW w:type="dxa" w:w="1128"/>
          </w:tcPr>
          <w:p>
            <w:pPr>
              <w:spacing w:after="0"/>
              <w:jc w:val="left"/>
            </w:pPr>
            <w:r/>
            <w:r>
              <w:rPr>
                <w:rFonts w:ascii="Times New Roman" w:hAnsi="Times New Roman"/>
                <w:sz w:val="21"/>
              </w:rPr>
              <w:t>72,382</w:t>
            </w:r>
          </w:p>
        </w:tc>
        <w:tc>
          <w:tcPr>
            <w:tcW w:type="dxa" w:w="1128"/>
          </w:tcPr>
          <w:p>
            <w:pPr>
              <w:spacing w:after="0"/>
              <w:jc w:val="left"/>
            </w:pPr>
            <w:r/>
            <w:r>
              <w:rPr>
                <w:rFonts w:ascii="Times New Roman" w:hAnsi="Times New Roman"/>
                <w:sz w:val="21"/>
              </w:rPr>
              <w:t>88,947</w:t>
            </w:r>
          </w:p>
        </w:tc>
      </w:tr>
      <w:tr>
        <w:tc>
          <w:tcPr>
            <w:tcW w:type="dxa" w:w="1128"/>
          </w:tcPr>
          <w:p>
            <w:pPr>
              <w:spacing w:after="0"/>
              <w:jc w:val="left"/>
            </w:pPr>
            <w:r/>
            <w:r>
              <w:rPr>
                <w:rFonts w:ascii="Times New Roman" w:hAnsi="Times New Roman"/>
                <w:sz w:val="21"/>
              </w:rPr>
              <w:t>HGB, cost-optimal at 2:1</w:t>
            </w:r>
          </w:p>
        </w:tc>
        <w:tc>
          <w:tcPr>
            <w:tcW w:type="dxa" w:w="1128"/>
          </w:tcPr>
          <w:p>
            <w:pPr>
              <w:spacing w:after="0"/>
              <w:jc w:val="left"/>
            </w:pPr>
            <w:r/>
            <w:r>
              <w:rPr>
                <w:rFonts w:ascii="Times New Roman" w:hAnsi="Times New Roman"/>
                <w:sz w:val="21"/>
              </w:rPr>
              <w:t>0.335</w:t>
            </w:r>
          </w:p>
        </w:tc>
        <w:tc>
          <w:tcPr>
            <w:tcW w:type="dxa" w:w="1128"/>
          </w:tcPr>
          <w:p>
            <w:pPr>
              <w:spacing w:after="0"/>
              <w:jc w:val="left"/>
            </w:pPr>
            <w:r/>
            <w:r>
              <w:rPr>
                <w:rFonts w:ascii="Times New Roman" w:hAnsi="Times New Roman"/>
                <w:sz w:val="21"/>
              </w:rPr>
              <w:t>621.9</w:t>
            </w:r>
          </w:p>
        </w:tc>
        <w:tc>
          <w:tcPr>
            <w:tcW w:type="dxa" w:w="1128"/>
          </w:tcPr>
          <w:p>
            <w:pPr>
              <w:spacing w:after="0"/>
              <w:jc w:val="left"/>
            </w:pPr>
            <w:r/>
            <w:r>
              <w:rPr>
                <w:rFonts w:ascii="Times New Roman" w:hAnsi="Times New Roman"/>
                <w:sz w:val="21"/>
              </w:rPr>
              <w:t>421.4</w:t>
            </w:r>
          </w:p>
        </w:tc>
        <w:tc>
          <w:tcPr>
            <w:tcW w:type="dxa" w:w="1128"/>
          </w:tcPr>
          <w:p>
            <w:pPr>
              <w:spacing w:after="0"/>
              <w:jc w:val="left"/>
            </w:pPr>
            <w:r/>
            <w:r>
              <w:rPr>
                <w:rFonts w:ascii="Times New Roman" w:hAnsi="Times New Roman"/>
                <w:sz w:val="21"/>
              </w:rPr>
              <w:t>64.5</w:t>
            </w:r>
          </w:p>
        </w:tc>
        <w:tc>
          <w:tcPr>
            <w:tcW w:type="dxa" w:w="1128"/>
          </w:tcPr>
          <w:p>
            <w:pPr>
              <w:spacing w:after="0"/>
              <w:jc w:val="left"/>
            </w:pPr>
            <w:r/>
            <w:r>
              <w:rPr>
                <w:rFonts w:ascii="Times New Roman" w:hAnsi="Times New Roman"/>
                <w:sz w:val="21"/>
              </w:rPr>
              <w:t>200.5</w:t>
            </w:r>
          </w:p>
        </w:tc>
        <w:tc>
          <w:tcPr>
            <w:tcW w:type="dxa" w:w="1128"/>
          </w:tcPr>
          <w:p>
            <w:pPr>
              <w:spacing w:after="0"/>
              <w:jc w:val="left"/>
            </w:pPr>
            <w:r/>
            <w:r>
              <w:rPr>
                <w:rFonts w:ascii="Times New Roman" w:hAnsi="Times New Roman"/>
                <w:sz w:val="21"/>
              </w:rPr>
              <w:t>65,896</w:t>
            </w:r>
          </w:p>
        </w:tc>
        <w:tc>
          <w:tcPr>
            <w:tcW w:type="dxa" w:w="1128"/>
          </w:tcPr>
          <w:p>
            <w:pPr>
              <w:spacing w:after="0"/>
              <w:jc w:val="left"/>
            </w:pPr>
            <w:r/>
            <w:r>
              <w:rPr>
                <w:rFonts w:ascii="Times New Roman" w:hAnsi="Times New Roman"/>
                <w:sz w:val="21"/>
              </w:rPr>
              <w:t>104,577</w:t>
            </w:r>
          </w:p>
        </w:tc>
      </w:tr>
      <w:tr>
        <w:tc>
          <w:tcPr>
            <w:tcW w:type="dxa" w:w="1128"/>
          </w:tcPr>
          <w:p>
            <w:pPr>
              <w:spacing w:after="0"/>
              <w:jc w:val="left"/>
            </w:pPr>
            <w:r/>
            <w:r>
              <w:rPr>
                <w:rFonts w:ascii="Times New Roman" w:hAnsi="Times New Roman"/>
                <w:sz w:val="21"/>
              </w:rPr>
              <w:t>HGB, cost-optimal at 5:1</w:t>
            </w:r>
          </w:p>
        </w:tc>
        <w:tc>
          <w:tcPr>
            <w:tcW w:type="dxa" w:w="1128"/>
          </w:tcPr>
          <w:p>
            <w:pPr>
              <w:spacing w:after="0"/>
              <w:jc w:val="left"/>
            </w:pPr>
            <w:r/>
            <w:r>
              <w:rPr>
                <w:rFonts w:ascii="Times New Roman" w:hAnsi="Times New Roman"/>
                <w:sz w:val="21"/>
              </w:rPr>
              <w:t>0.165</w:t>
            </w:r>
          </w:p>
        </w:tc>
        <w:tc>
          <w:tcPr>
            <w:tcW w:type="dxa" w:w="1128"/>
          </w:tcPr>
          <w:p>
            <w:pPr>
              <w:spacing w:after="0"/>
              <w:jc w:val="left"/>
            </w:pPr>
            <w:r/>
            <w:r>
              <w:rPr>
                <w:rFonts w:ascii="Times New Roman" w:hAnsi="Times New Roman"/>
                <w:sz w:val="21"/>
              </w:rPr>
              <w:t>821.0</w:t>
            </w:r>
          </w:p>
        </w:tc>
        <w:tc>
          <w:tcPr>
            <w:tcW w:type="dxa" w:w="1128"/>
          </w:tcPr>
          <w:p>
            <w:pPr>
              <w:spacing w:after="0"/>
              <w:jc w:val="left"/>
            </w:pPr>
            <w:r/>
            <w:r>
              <w:rPr>
                <w:rFonts w:ascii="Times New Roman" w:hAnsi="Times New Roman"/>
                <w:sz w:val="21"/>
              </w:rPr>
              <w:t>468.7</w:t>
            </w:r>
          </w:p>
        </w:tc>
        <w:tc>
          <w:tcPr>
            <w:tcW w:type="dxa" w:w="1128"/>
          </w:tcPr>
          <w:p>
            <w:pPr>
              <w:spacing w:after="0"/>
              <w:jc w:val="left"/>
            </w:pPr>
            <w:r/>
            <w:r>
              <w:rPr>
                <w:rFonts w:ascii="Times New Roman" w:hAnsi="Times New Roman"/>
                <w:sz w:val="21"/>
              </w:rPr>
              <w:t>17.2</w:t>
            </w:r>
          </w:p>
        </w:tc>
        <w:tc>
          <w:tcPr>
            <w:tcW w:type="dxa" w:w="1128"/>
          </w:tcPr>
          <w:p>
            <w:pPr>
              <w:spacing w:after="0"/>
              <w:jc w:val="left"/>
            </w:pPr>
            <w:r/>
            <w:r>
              <w:rPr>
                <w:rFonts w:ascii="Times New Roman" w:hAnsi="Times New Roman"/>
                <w:sz w:val="21"/>
              </w:rPr>
              <w:t>352.3</w:t>
            </w:r>
          </w:p>
        </w:tc>
        <w:tc>
          <w:tcPr>
            <w:tcW w:type="dxa" w:w="1128"/>
          </w:tcPr>
          <w:p>
            <w:pPr>
              <w:spacing w:after="0"/>
              <w:jc w:val="left"/>
            </w:pPr>
            <w:r/>
            <w:r>
              <w:rPr>
                <w:rFonts w:ascii="Times New Roman" w:hAnsi="Times New Roman"/>
                <w:sz w:val="21"/>
              </w:rPr>
              <w:t>77,333</w:t>
            </w:r>
          </w:p>
        </w:tc>
        <w:tc>
          <w:tcPr>
            <w:tcW w:type="dxa" w:w="1128"/>
          </w:tcPr>
          <w:p>
            <w:pPr>
              <w:spacing w:after="0"/>
              <w:jc w:val="left"/>
            </w:pPr>
            <w:r/>
            <w:r>
              <w:rPr>
                <w:rFonts w:ascii="Times New Roman" w:hAnsi="Times New Roman"/>
                <w:sz w:val="21"/>
              </w:rPr>
              <w:t>87,638</w:t>
            </w:r>
          </w:p>
        </w:tc>
      </w:tr>
      <w:tr>
        <w:tc>
          <w:tcPr>
            <w:tcW w:type="dxa" w:w="1128"/>
          </w:tcPr>
          <w:p>
            <w:pPr>
              <w:spacing w:after="0"/>
              <w:jc w:val="left"/>
            </w:pPr>
            <w:r/>
            <w:r>
              <w:rPr>
                <w:rFonts w:ascii="Times New Roman" w:hAnsi="Times New Roman"/>
                <w:sz w:val="21"/>
              </w:rPr>
              <w:t>Lookup baseline, capacity threshold</w:t>
            </w:r>
          </w:p>
        </w:tc>
        <w:tc>
          <w:tcPr>
            <w:tcW w:type="dxa" w:w="1128"/>
          </w:tcPr>
          <w:p>
            <w:pPr>
              <w:spacing w:after="0"/>
              <w:jc w:val="left"/>
            </w:pPr>
            <w:r/>
            <w:r>
              <w:rPr>
                <w:rFonts w:ascii="Times New Roman" w:hAnsi="Times New Roman"/>
                <w:sz w:val="21"/>
              </w:rPr>
              <w:t>0.225</w:t>
            </w:r>
          </w:p>
        </w:tc>
        <w:tc>
          <w:tcPr>
            <w:tcW w:type="dxa" w:w="1128"/>
          </w:tcPr>
          <w:p>
            <w:pPr>
              <w:spacing w:after="0"/>
              <w:jc w:val="left"/>
            </w:pPr>
            <w:r/>
            <w:r>
              <w:rPr>
                <w:rFonts w:ascii="Times New Roman" w:hAnsi="Times New Roman"/>
                <w:sz w:val="21"/>
              </w:rPr>
              <w:t>752.5</w:t>
            </w:r>
          </w:p>
        </w:tc>
        <w:tc>
          <w:tcPr>
            <w:tcW w:type="dxa" w:w="1128"/>
          </w:tcPr>
          <w:p>
            <w:pPr>
              <w:spacing w:after="0"/>
              <w:jc w:val="left"/>
            </w:pPr>
            <w:r/>
            <w:r>
              <w:rPr>
                <w:rFonts w:ascii="Times New Roman" w:hAnsi="Times New Roman"/>
                <w:sz w:val="21"/>
              </w:rPr>
              <w:t>445.0</w:t>
            </w:r>
          </w:p>
        </w:tc>
        <w:tc>
          <w:tcPr>
            <w:tcW w:type="dxa" w:w="1128"/>
          </w:tcPr>
          <w:p>
            <w:pPr>
              <w:spacing w:after="0"/>
              <w:jc w:val="left"/>
            </w:pPr>
            <w:r/>
            <w:r>
              <w:rPr>
                <w:rFonts w:ascii="Times New Roman" w:hAnsi="Times New Roman"/>
                <w:sz w:val="21"/>
              </w:rPr>
              <w:t>40.8</w:t>
            </w:r>
          </w:p>
        </w:tc>
        <w:tc>
          <w:tcPr>
            <w:tcW w:type="dxa" w:w="1128"/>
          </w:tcPr>
          <w:p>
            <w:pPr>
              <w:spacing w:after="0"/>
              <w:jc w:val="left"/>
            </w:pPr>
            <w:r/>
            <w:r>
              <w:rPr>
                <w:rFonts w:ascii="Times New Roman" w:hAnsi="Times New Roman"/>
                <w:sz w:val="21"/>
              </w:rPr>
              <w:t>307.5</w:t>
            </w:r>
          </w:p>
        </w:tc>
        <w:tc>
          <w:tcPr>
            <w:tcW w:type="dxa" w:w="1128"/>
          </w:tcPr>
          <w:p>
            <w:pPr>
              <w:spacing w:after="0"/>
              <w:jc w:val="left"/>
            </w:pPr>
            <w:r/>
            <w:r>
              <w:rPr>
                <w:rFonts w:ascii="Times New Roman" w:hAnsi="Times New Roman"/>
                <w:sz w:val="21"/>
              </w:rPr>
              <w:t>77,835</w:t>
            </w:r>
          </w:p>
        </w:tc>
        <w:tc>
          <w:tcPr>
            <w:tcW w:type="dxa" w:w="1128"/>
          </w:tcPr>
          <w:p>
            <w:pPr>
              <w:spacing w:after="0"/>
              <w:jc w:val="left"/>
            </w:pPr>
            <w:r/>
            <w:r>
              <w:rPr>
                <w:rFonts w:ascii="Times New Roman" w:hAnsi="Times New Roman"/>
                <w:sz w:val="21"/>
              </w:rPr>
              <w:t>102,343</w:t>
            </w:r>
          </w:p>
        </w:tc>
      </w:tr>
      <w:tr>
        <w:tc>
          <w:tcPr>
            <w:tcW w:type="dxa" w:w="1128"/>
          </w:tcPr>
          <w:p>
            <w:pPr>
              <w:spacing w:after="0"/>
              <w:jc w:val="left"/>
            </w:pPr>
            <w:r/>
            <w:r>
              <w:rPr>
                <w:rFonts w:ascii="Times New Roman" w:hAnsi="Times New Roman"/>
                <w:sz w:val="21"/>
              </w:rPr>
              <w:t>Hand rule: nature is not a cut, dust in the eye or a scratch</w:t>
            </w:r>
          </w:p>
        </w:tc>
        <w:tc>
          <w:tcPr>
            <w:tcW w:type="dxa" w:w="1128"/>
          </w:tcPr>
          <w:p>
            <w:pPr>
              <w:spacing w:after="0"/>
              <w:jc w:val="left"/>
            </w:pPr>
            <w:r/>
            <w:r>
              <w:rPr>
                <w:rFonts w:ascii="Times New Roman" w:hAnsi="Times New Roman"/>
                <w:sz w:val="21"/>
              </w:rPr>
              <w:t>not applicable</w:t>
            </w:r>
          </w:p>
        </w:tc>
        <w:tc>
          <w:tcPr>
            <w:tcW w:type="dxa" w:w="1128"/>
          </w:tcPr>
          <w:p>
            <w:pPr>
              <w:spacing w:after="0"/>
              <w:jc w:val="left"/>
            </w:pPr>
            <w:r/>
            <w:r>
              <w:rPr>
                <w:rFonts w:ascii="Times New Roman" w:hAnsi="Times New Roman"/>
                <w:sz w:val="21"/>
              </w:rPr>
              <w:t>733.2</w:t>
            </w:r>
          </w:p>
        </w:tc>
        <w:tc>
          <w:tcPr>
            <w:tcW w:type="dxa" w:w="1128"/>
          </w:tcPr>
          <w:p>
            <w:pPr>
              <w:spacing w:after="0"/>
              <w:jc w:val="left"/>
            </w:pPr>
            <w:r/>
            <w:r>
              <w:rPr>
                <w:rFonts w:ascii="Times New Roman" w:hAnsi="Times New Roman"/>
                <w:sz w:val="21"/>
              </w:rPr>
              <w:t>436.4</w:t>
            </w:r>
          </w:p>
        </w:tc>
        <w:tc>
          <w:tcPr>
            <w:tcW w:type="dxa" w:w="1128"/>
          </w:tcPr>
          <w:p>
            <w:pPr>
              <w:spacing w:after="0"/>
              <w:jc w:val="left"/>
            </w:pPr>
            <w:r/>
            <w:r>
              <w:rPr>
                <w:rFonts w:ascii="Times New Roman" w:hAnsi="Times New Roman"/>
                <w:sz w:val="21"/>
              </w:rPr>
              <w:t>49.5</w:t>
            </w:r>
          </w:p>
        </w:tc>
        <w:tc>
          <w:tcPr>
            <w:tcW w:type="dxa" w:w="1128"/>
          </w:tcPr>
          <w:p>
            <w:pPr>
              <w:spacing w:after="0"/>
              <w:jc w:val="left"/>
            </w:pPr>
            <w:r/>
            <w:r>
              <w:rPr>
                <w:rFonts w:ascii="Times New Roman" w:hAnsi="Times New Roman"/>
                <w:sz w:val="21"/>
              </w:rPr>
              <w:t>296.8</w:t>
            </w:r>
          </w:p>
        </w:tc>
        <w:tc>
          <w:tcPr>
            <w:tcW w:type="dxa" w:w="1128"/>
          </w:tcPr>
          <w:p>
            <w:pPr>
              <w:spacing w:after="0"/>
              <w:jc w:val="left"/>
            </w:pPr>
            <w:r/>
            <w:r>
              <w:rPr>
                <w:rFonts w:ascii="Times New Roman" w:hAnsi="Times New Roman"/>
                <w:sz w:val="21"/>
              </w:rPr>
              <w:t>79,144</w:t>
            </w:r>
          </w:p>
        </w:tc>
        <w:tc>
          <w:tcPr>
            <w:tcW w:type="dxa" w:w="1128"/>
          </w:tcPr>
          <w:p>
            <w:pPr>
              <w:spacing w:after="0"/>
              <w:jc w:val="left"/>
            </w:pPr>
            <w:r/>
            <w:r>
              <w:rPr>
                <w:rFonts w:ascii="Times New Roman" w:hAnsi="Times New Roman"/>
                <w:sz w:val="21"/>
              </w:rPr>
              <w:t>108,819</w:t>
            </w:r>
          </w:p>
        </w:tc>
      </w:tr>
      <w:tr>
        <w:tc>
          <w:tcPr>
            <w:tcW w:type="dxa" w:w="1128"/>
          </w:tcPr>
          <w:p>
            <w:pPr>
              <w:spacing w:after="0"/>
              <w:jc w:val="left"/>
            </w:pPr>
            <w:r/>
            <w:r>
              <w:rPr>
                <w:rFonts w:ascii="Times New Roman" w:hAnsi="Times New Roman"/>
                <w:sz w:val="21"/>
              </w:rPr>
              <w:t>Review everything</w:t>
            </w:r>
          </w:p>
        </w:tc>
        <w:tc>
          <w:tcPr>
            <w:tcW w:type="dxa" w:w="1128"/>
          </w:tcPr>
          <w:p>
            <w:pPr>
              <w:spacing w:after="0"/>
              <w:jc w:val="left"/>
            </w:pPr>
            <w:r/>
            <w:r>
              <w:rPr>
                <w:rFonts w:ascii="Times New Roman" w:hAnsi="Times New Roman"/>
                <w:sz w:val="21"/>
              </w:rPr>
              <w:t>not applicable</w:t>
            </w:r>
          </w:p>
        </w:tc>
        <w:tc>
          <w:tcPr>
            <w:tcW w:type="dxa" w:w="1128"/>
          </w:tcPr>
          <w:p>
            <w:pPr>
              <w:spacing w:after="0"/>
              <w:jc w:val="left"/>
            </w:pPr>
            <w:r/>
            <w:r>
              <w:rPr>
                <w:rFonts w:ascii="Times New Roman" w:hAnsi="Times New Roman"/>
                <w:sz w:val="21"/>
              </w:rPr>
              <w:t>1,000.0</w:t>
            </w:r>
          </w:p>
        </w:tc>
        <w:tc>
          <w:tcPr>
            <w:tcW w:type="dxa" w:w="1128"/>
          </w:tcPr>
          <w:p>
            <w:pPr>
              <w:spacing w:after="0"/>
              <w:jc w:val="left"/>
            </w:pPr>
            <w:r/>
            <w:r>
              <w:rPr>
                <w:rFonts w:ascii="Times New Roman" w:hAnsi="Times New Roman"/>
                <w:sz w:val="21"/>
              </w:rPr>
              <w:t>485.9</w:t>
            </w:r>
          </w:p>
        </w:tc>
        <w:tc>
          <w:tcPr>
            <w:tcW w:type="dxa" w:w="1128"/>
          </w:tcPr>
          <w:p>
            <w:pPr>
              <w:spacing w:after="0"/>
              <w:jc w:val="left"/>
            </w:pPr>
            <w:r/>
            <w:r>
              <w:rPr>
                <w:rFonts w:ascii="Times New Roman" w:hAnsi="Times New Roman"/>
                <w:sz w:val="21"/>
              </w:rPr>
              <w:t>0.0</w:t>
            </w:r>
          </w:p>
        </w:tc>
        <w:tc>
          <w:tcPr>
            <w:tcW w:type="dxa" w:w="1128"/>
          </w:tcPr>
          <w:p>
            <w:pPr>
              <w:spacing w:after="0"/>
              <w:jc w:val="left"/>
            </w:pPr>
            <w:r/>
            <w:r>
              <w:rPr>
                <w:rFonts w:ascii="Times New Roman" w:hAnsi="Times New Roman"/>
                <w:sz w:val="21"/>
              </w:rPr>
              <w:t>514.1</w:t>
            </w:r>
          </w:p>
        </w:tc>
        <w:tc>
          <w:tcPr>
            <w:tcW w:type="dxa" w:w="1128"/>
          </w:tcPr>
          <w:p>
            <w:pPr>
              <w:spacing w:after="0"/>
              <w:jc w:val="left"/>
            </w:pPr>
            <w:r/>
            <w:r>
              <w:rPr>
                <w:rFonts w:ascii="Times New Roman" w:hAnsi="Times New Roman"/>
                <w:sz w:val="21"/>
              </w:rPr>
              <w:t>102,825</w:t>
            </w:r>
          </w:p>
        </w:tc>
        <w:tc>
          <w:tcPr>
            <w:tcW w:type="dxa" w:w="1128"/>
          </w:tcPr>
          <w:p>
            <w:pPr>
              <w:spacing w:after="0"/>
              <w:jc w:val="left"/>
            </w:pPr>
            <w:r/>
            <w:r>
              <w:rPr>
                <w:rFonts w:ascii="Times New Roman" w:hAnsi="Times New Roman"/>
                <w:sz w:val="21"/>
              </w:rPr>
              <w:t>102,825</w:t>
            </w:r>
          </w:p>
        </w:tc>
      </w:tr>
    </w:tbl>
    <w:p>
      <w:pPr>
        <w:spacing w:after="80"/>
      </w:pPr>
    </w:p>
    <w:p>
      <w:r>
        <w:rPr>
          <w:rFonts w:ascii="Times New Roman" w:hAnsi="Times New Roman"/>
          <w:sz w:val="24"/>
        </w:rPr>
        <w:t>HGB won because its assumptions fit the data. Nature, body part and sector lead the permutation importance (Figure 18), and a lookup of their joint cells reaches a test ROC-AUC of 0.804 (Table 12). Logistic regression assumes additive log-odds and naive Bayes independent fields, so neither forms those cells. Trees with up to 31 leaves form the cells from splits, rank skewed inputs and isolate each structural "none" level, matching the lead of tree ensembles on tabular benchmarks (Grinsztajn et al., 2022).</w:t>
      </w:r>
    </w:p>
    <w:p>
      <w:r>
        <w:rPr>
          <w:rFonts w:ascii="Times New Roman" w:hAnsi="Times New Roman"/>
          <w:sz w:val="24"/>
        </w:rPr>
        <w:t>The estimates hold under resampling and harder splits (Table 21). The fold standard deviation of average precision is 0.003, and the clustered bootstrap interval of test PR-AUC clears the S2 target. The Wilcoxon test does not confirm the corrected fold test against the MLP, so that lead is thin. Unseen mines and 2020-2025 reports move PR-AUC by under 0.01, and in 2020-2025 recall holds in both sectors while specificity falls below plan. S5 is missed by 0.005, so a team reviewing half the filings catches fewer cases than planned.</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21</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Uncertainty and generalisability checks of HGB, covering cross-validation on the training split, 95% percentile bootstrap intervals and paired tests on the held-out test set, results by sector, a temporal split and a mine-grouped split; the capacity threshold is the out-of-fold threshold for specificity 0.40. Source: author's analysis of MSHA open data.</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E7E6E6"/>
          </w:tcPr>
          <w:p>
            <w:pPr>
              <w:jc w:val="left"/>
            </w:pPr>
            <w:r>
              <w:rPr>
                <w:b/>
              </w:rPr>
            </w:r>
            <w:r>
              <w:rPr>
                <w:rFonts w:ascii="Times New Roman" w:hAnsi="Times New Roman"/>
                <w:b/>
                <w:sz w:val="21"/>
              </w:rPr>
              <w:t>Check</w:t>
            </w:r>
          </w:p>
        </w:tc>
        <w:tc>
          <w:tcPr>
            <w:tcW w:type="dxa" w:w="3009"/>
            <w:shd w:val="clear" w:color="auto" w:fill="E7E6E6"/>
          </w:tcPr>
          <w:p>
            <w:pPr>
              <w:jc w:val="left"/>
            </w:pPr>
            <w:r>
              <w:rPr>
                <w:b/>
              </w:rPr>
            </w:r>
            <w:r>
              <w:rPr>
                <w:rFonts w:ascii="Times New Roman" w:hAnsi="Times New Roman"/>
                <w:b/>
                <w:sz w:val="21"/>
              </w:rPr>
              <w:t>Data and protocol</w:t>
            </w:r>
          </w:p>
        </w:tc>
        <w:tc>
          <w:tcPr>
            <w:tcW w:type="dxa" w:w="3009"/>
            <w:shd w:val="clear" w:color="auto" w:fill="E7E6E6"/>
          </w:tcPr>
          <w:p>
            <w:pPr>
              <w:jc w:val="left"/>
            </w:pPr>
            <w:r>
              <w:rPr>
                <w:b/>
              </w:rPr>
            </w:r>
            <w:r>
              <w:rPr>
                <w:rFonts w:ascii="Times New Roman" w:hAnsi="Times New Roman"/>
                <w:b/>
                <w:sz w:val="21"/>
              </w:rPr>
              <w:t>Result for HGB</w:t>
            </w:r>
          </w:p>
        </w:tc>
      </w:tr>
      <w:tr>
        <w:tc>
          <w:tcPr>
            <w:tcW w:type="dxa" w:w="3009"/>
          </w:tcPr>
          <w:p>
            <w:pPr>
              <w:spacing w:after="0"/>
              <w:jc w:val="left"/>
            </w:pPr>
            <w:r/>
            <w:r>
              <w:rPr>
                <w:rFonts w:ascii="Times New Roman" w:hAnsi="Times New Roman"/>
                <w:sz w:val="21"/>
              </w:rPr>
              <w:t>Cross-validation</w:t>
            </w:r>
          </w:p>
        </w:tc>
        <w:tc>
          <w:tcPr>
            <w:tcW w:type="dxa" w:w="3009"/>
          </w:tcPr>
          <w:p>
            <w:pPr>
              <w:spacing w:after="0"/>
              <w:jc w:val="left"/>
            </w:pPr>
            <w:r/>
            <w:r>
              <w:rPr>
                <w:rFonts w:ascii="Times New Roman" w:hAnsi="Times New Roman"/>
                <w:sz w:val="21"/>
              </w:rPr>
              <w:t>5-fold mine-year-grouped CV on the 81,289 training rows</w:t>
            </w:r>
          </w:p>
        </w:tc>
        <w:tc>
          <w:tcPr>
            <w:tcW w:type="dxa" w:w="3009"/>
          </w:tcPr>
          <w:p>
            <w:pPr>
              <w:spacing w:after="0"/>
              <w:jc w:val="left"/>
            </w:pPr>
            <w:r/>
            <w:r>
              <w:rPr>
                <w:rFonts w:ascii="Times New Roman" w:hAnsi="Times New Roman"/>
                <w:sz w:val="21"/>
              </w:rPr>
              <w:t>average precision 0.838 (SD 0.003, folds 0.834 to 0.841); ROC-AUC 0.839 (SD 0.002)</w:t>
            </w:r>
          </w:p>
        </w:tc>
      </w:tr>
      <w:tr>
        <w:tc>
          <w:tcPr>
            <w:tcW w:type="dxa" w:w="3009"/>
          </w:tcPr>
          <w:p>
            <w:pPr>
              <w:spacing w:after="0"/>
              <w:jc w:val="left"/>
            </w:pPr>
            <w:r/>
            <w:r>
              <w:rPr>
                <w:rFonts w:ascii="Times New Roman" w:hAnsi="Times New Roman"/>
                <w:sz w:val="21"/>
              </w:rPr>
              <w:t>Bootstrap intervals</w:t>
            </w:r>
          </w:p>
        </w:tc>
        <w:tc>
          <w:tcPr>
            <w:tcW w:type="dxa" w:w="3009"/>
          </w:tcPr>
          <w:p>
            <w:pPr>
              <w:spacing w:after="0"/>
              <w:jc w:val="left"/>
            </w:pPr>
            <w:r/>
            <w:r>
              <w:rPr>
                <w:rFonts w:ascii="Times New Roman" w:hAnsi="Times New Roman"/>
                <w:sz w:val="21"/>
              </w:rPr>
              <w:t>1,000 resamples of the 20,320 test rows and of their 6,724 mine-years</w:t>
            </w:r>
          </w:p>
        </w:tc>
        <w:tc>
          <w:tcPr>
            <w:tcW w:type="dxa" w:w="3009"/>
          </w:tcPr>
          <w:p>
            <w:pPr>
              <w:spacing w:after="0"/>
              <w:jc w:val="left"/>
            </w:pPr>
            <w:r/>
            <w:r>
              <w:rPr>
                <w:rFonts w:ascii="Times New Roman" w:hAnsi="Times New Roman"/>
                <w:sz w:val="21"/>
              </w:rPr>
              <w:t>PR-AUC 0.841 (rows 0.835 to 0.848; mine-years 0.825 to 0.856); ROC-AUC 0.843 (mine-years 0.835 to 0.851); recall at the capacity threshold 0.943 (mine-years 0.938 to 0.949)</w:t>
            </w:r>
          </w:p>
        </w:tc>
      </w:tr>
      <w:tr>
        <w:tc>
          <w:tcPr>
            <w:tcW w:type="dxa" w:w="3009"/>
          </w:tcPr>
          <w:p>
            <w:pPr>
              <w:spacing w:after="0"/>
              <w:jc w:val="left"/>
            </w:pPr>
            <w:r/>
            <w:r>
              <w:rPr>
                <w:rFonts w:ascii="Times New Roman" w:hAnsi="Times New Roman"/>
                <w:sz w:val="21"/>
              </w:rPr>
              <w:t>Paired fold test against the MLP</w:t>
            </w:r>
          </w:p>
        </w:tc>
        <w:tc>
          <w:tcPr>
            <w:tcW w:type="dxa" w:w="3009"/>
          </w:tcPr>
          <w:p>
            <w:pPr>
              <w:spacing w:after="0"/>
              <w:jc w:val="left"/>
            </w:pPr>
            <w:r/>
            <w:r>
              <w:rPr>
                <w:rFonts w:ascii="Times New Roman" w:hAnsi="Times New Roman"/>
                <w:sz w:val="21"/>
              </w:rPr>
              <w:t>average precision on the same five CV folds</w:t>
            </w:r>
          </w:p>
        </w:tc>
        <w:tc>
          <w:tcPr>
            <w:tcW w:type="dxa" w:w="3009"/>
          </w:tcPr>
          <w:p>
            <w:pPr>
              <w:spacing w:after="0"/>
              <w:jc w:val="left"/>
            </w:pPr>
            <w:r/>
            <w:r>
              <w:rPr>
                <w:rFonts w:ascii="Times New Roman" w:hAnsi="Times New Roman"/>
                <w:sz w:val="21"/>
              </w:rPr>
              <w:t>mean difference 0.005; corrected t-test p = 0.044; Wilcoxon signed-rank p = 0.0625</w:t>
            </w:r>
          </w:p>
        </w:tc>
      </w:tr>
      <w:tr>
        <w:tc>
          <w:tcPr>
            <w:tcW w:type="dxa" w:w="3009"/>
          </w:tcPr>
          <w:p>
            <w:pPr>
              <w:spacing w:after="0"/>
              <w:jc w:val="left"/>
            </w:pPr>
            <w:r/>
            <w:r>
              <w:rPr>
                <w:rFonts w:ascii="Times New Roman" w:hAnsi="Times New Roman"/>
                <w:sz w:val="21"/>
              </w:rPr>
              <w:t>McNemar test against the lookup baseline</w:t>
            </w:r>
          </w:p>
        </w:tc>
        <w:tc>
          <w:tcPr>
            <w:tcW w:type="dxa" w:w="3009"/>
          </w:tcPr>
          <w:p>
            <w:pPr>
              <w:spacing w:after="0"/>
              <w:jc w:val="left"/>
            </w:pPr>
            <w:r/>
            <w:r>
              <w:rPr>
                <w:rFonts w:ascii="Times New Roman" w:hAnsi="Times New Roman"/>
                <w:sz w:val="21"/>
              </w:rPr>
              <w:t>test set at the capacity threshold, row-wise and clustered by mine-year</w:t>
            </w:r>
          </w:p>
        </w:tc>
        <w:tc>
          <w:tcPr>
            <w:tcW w:type="dxa" w:w="3009"/>
          </w:tcPr>
          <w:p>
            <w:pPr>
              <w:spacing w:after="0"/>
              <w:jc w:val="left"/>
            </w:pPr>
            <w:r/>
            <w:r>
              <w:rPr>
                <w:rFonts w:ascii="Times New Roman" w:hAnsi="Times New Roman"/>
                <w:sz w:val="21"/>
              </w:rPr>
              <w:t>p &lt; 0.001 in both forms (clustered chi-square 24.4, 1 df)</w:t>
            </w:r>
          </w:p>
        </w:tc>
      </w:tr>
      <w:tr>
        <w:tc>
          <w:tcPr>
            <w:tcW w:type="dxa" w:w="3009"/>
          </w:tcPr>
          <w:p>
            <w:pPr>
              <w:spacing w:after="0"/>
              <w:jc w:val="left"/>
            </w:pPr>
            <w:r/>
            <w:r>
              <w:rPr>
                <w:rFonts w:ascii="Times New Roman" w:hAnsi="Times New Roman"/>
                <w:sz w:val="21"/>
              </w:rPr>
              <w:t>By sector</w:t>
            </w:r>
          </w:p>
        </w:tc>
        <w:tc>
          <w:tcPr>
            <w:tcW w:type="dxa" w:w="3009"/>
          </w:tcPr>
          <w:p>
            <w:pPr>
              <w:spacing w:after="0"/>
              <w:jc w:val="left"/>
            </w:pPr>
            <w:r/>
            <w:r>
              <w:rPr>
                <w:rFonts w:ascii="Times New Roman" w:hAnsi="Times New Roman"/>
                <w:sz w:val="21"/>
              </w:rPr>
              <w:t>test set at the capacity threshold 0.210</w:t>
            </w:r>
          </w:p>
        </w:tc>
        <w:tc>
          <w:tcPr>
            <w:tcW w:type="dxa" w:w="3009"/>
          </w:tcPr>
          <w:p>
            <w:pPr>
              <w:spacing w:after="0"/>
              <w:jc w:val="left"/>
            </w:pPr>
            <w:r/>
            <w:r>
              <w:rPr>
                <w:rFonts w:ascii="Times New Roman" w:hAnsi="Times New Roman"/>
                <w:sz w:val="21"/>
              </w:rPr>
              <w:t>coal (n = 8,270) recall 0.971, specificity 0.397, precision 0.740; metal and non-metal (n = 12,050) recall 0.911, specificity 0.406, precision 0.486</w:t>
            </w:r>
          </w:p>
        </w:tc>
      </w:tr>
      <w:tr>
        <w:tc>
          <w:tcPr>
            <w:tcW w:type="dxa" w:w="3009"/>
          </w:tcPr>
          <w:p>
            <w:pPr>
              <w:spacing w:after="0"/>
              <w:jc w:val="left"/>
            </w:pPr>
            <w:r/>
            <w:r>
              <w:rPr>
                <w:rFonts w:ascii="Times New Roman" w:hAnsi="Times New Roman"/>
                <w:sz w:val="21"/>
              </w:rPr>
              <w:t>Temporal split</w:t>
            </w:r>
          </w:p>
        </w:tc>
        <w:tc>
          <w:tcPr>
            <w:tcW w:type="dxa" w:w="3009"/>
          </w:tcPr>
          <w:p>
            <w:pPr>
              <w:spacing w:after="0"/>
              <w:jc w:val="left"/>
            </w:pPr>
            <w:r/>
            <w:r>
              <w:rPr>
                <w:rFonts w:ascii="Times New Roman" w:hAnsi="Times New Roman"/>
                <w:sz w:val="21"/>
              </w:rPr>
              <w:t>re-tuned on 2010-2019 (71,877 rows) with thresholds from its out-of-fold probabilities, scored on 2020-2025 (29,732 rows)</w:t>
            </w:r>
          </w:p>
        </w:tc>
        <w:tc>
          <w:tcPr>
            <w:tcW w:type="dxa" w:w="3009"/>
          </w:tcPr>
          <w:p>
            <w:pPr>
              <w:spacing w:after="0"/>
              <w:jc w:val="left"/>
            </w:pPr>
            <w:r/>
            <w:r>
              <w:rPr>
                <w:rFonts w:ascii="Times New Roman" w:hAnsi="Times New Roman"/>
                <w:sz w:val="21"/>
              </w:rPr>
              <w:t>ROC-AUC 0.834, PR-AUC 0.843; recall 0.944 and specificity 0.377 at the capacity threshold; coal recall 0.973 and Brier 0.125; metal and non-metal recall 0.918 and Brier 0.187</w:t>
            </w:r>
          </w:p>
        </w:tc>
      </w:tr>
      <w:tr>
        <w:tc>
          <w:tcPr>
            <w:tcW w:type="dxa" w:w="3009"/>
          </w:tcPr>
          <w:p>
            <w:pPr>
              <w:spacing w:after="0"/>
              <w:jc w:val="left"/>
            </w:pPr>
            <w:r/>
            <w:r>
              <w:rPr>
                <w:rFonts w:ascii="Times New Roman" w:hAnsi="Times New Roman"/>
                <w:sz w:val="21"/>
              </w:rPr>
              <w:t>Mine-grouped split</w:t>
            </w:r>
          </w:p>
        </w:tc>
        <w:tc>
          <w:tcPr>
            <w:tcW w:type="dxa" w:w="3009"/>
          </w:tcPr>
          <w:p>
            <w:pPr>
              <w:spacing w:after="0"/>
              <w:jc w:val="left"/>
            </w:pPr>
            <w:r/>
            <w:r>
              <w:rPr>
                <w:rFonts w:ascii="Times New Roman" w:hAnsi="Times New Roman"/>
                <w:sz w:val="21"/>
              </w:rPr>
              <w:t>no mine on both sides (8,303 mines; 20,289 test rows), primary hyperparameters</w:t>
            </w:r>
          </w:p>
        </w:tc>
        <w:tc>
          <w:tcPr>
            <w:tcW w:type="dxa" w:w="3009"/>
          </w:tcPr>
          <w:p>
            <w:pPr>
              <w:spacing w:after="0"/>
              <w:jc w:val="left"/>
            </w:pPr>
            <w:r/>
            <w:r>
              <w:rPr>
                <w:rFonts w:ascii="Times New Roman" w:hAnsi="Times New Roman"/>
                <w:sz w:val="21"/>
              </w:rPr>
              <w:t>ROC-AUC 0.838, PR-AUC 0.836, recall 0.936 at the capacity threshold, recall 0.762 at a 50% flag rate</w:t>
            </w:r>
          </w:p>
        </w:tc>
      </w:tr>
      <w:tr>
        <w:tc>
          <w:tcPr>
            <w:tcW w:type="dxa" w:w="3009"/>
          </w:tcPr>
          <w:p>
            <w:pPr>
              <w:spacing w:after="0"/>
              <w:jc w:val="left"/>
            </w:pPr>
            <w:r/>
            <w:r>
              <w:rPr>
                <w:rFonts w:ascii="Times New Roman" w:hAnsi="Times New Roman"/>
                <w:sz w:val="21"/>
              </w:rPr>
              <w:t>Feature variants</w:t>
            </w:r>
          </w:p>
        </w:tc>
        <w:tc>
          <w:tcPr>
            <w:tcW w:type="dxa" w:w="3009"/>
          </w:tcPr>
          <w:p>
            <w:pPr>
              <w:spacing w:after="0"/>
              <w:jc w:val="left"/>
            </w:pPr>
            <w:r/>
            <w:r>
              <w:rPr>
                <w:rFonts w:ascii="Times New Roman" w:hAnsi="Times New Roman"/>
                <w:sz w:val="21"/>
              </w:rPr>
              <w:t>primary split with fixed hyperparameters: immed_reportable set to 0; status_103i_at_accident constant; 175 amputation test rows (nature code 100) removed</w:t>
            </w:r>
          </w:p>
        </w:tc>
        <w:tc>
          <w:tcPr>
            <w:tcW w:type="dxa" w:w="3009"/>
          </w:tcPr>
          <w:p>
            <w:pPr>
              <w:spacing w:after="0"/>
              <w:jc w:val="left"/>
            </w:pPr>
            <w:r/>
            <w:r>
              <w:rPr>
                <w:rFonts w:ascii="Times New Roman" w:hAnsi="Times New Roman"/>
                <w:sz w:val="21"/>
              </w:rPr>
              <w:t>PR-AUC 0.840, 0.841 and 0.834 against 0.841</w:t>
            </w:r>
          </w:p>
        </w:tc>
      </w:tr>
      <w:tr>
        <w:tc>
          <w:tcPr>
            <w:tcW w:type="dxa" w:w="3009"/>
          </w:tcPr>
          <w:p>
            <w:pPr>
              <w:spacing w:after="0"/>
              <w:jc w:val="left"/>
            </w:pPr>
            <w:r/>
            <w:r>
              <w:rPr>
                <w:rFonts w:ascii="Times New Roman" w:hAnsi="Times New Roman"/>
                <w:sz w:val="21"/>
              </w:rPr>
              <w:t>S5, recall at a 50% flag rate</w:t>
            </w:r>
          </w:p>
        </w:tc>
        <w:tc>
          <w:tcPr>
            <w:tcW w:type="dxa" w:w="3009"/>
          </w:tcPr>
          <w:p>
            <w:pPr>
              <w:spacing w:after="0"/>
              <w:jc w:val="left"/>
            </w:pPr>
            <w:r/>
            <w:r>
              <w:rPr>
                <w:rFonts w:ascii="Times New Roman" w:hAnsi="Times New Roman"/>
                <w:sz w:val="21"/>
              </w:rPr>
              <w:t>out-of-fold threshold 0.456, test flag rate 50.6%</w:t>
            </w:r>
          </w:p>
        </w:tc>
        <w:tc>
          <w:tcPr>
            <w:tcW w:type="dxa" w:w="3009"/>
          </w:tcPr>
          <w:p>
            <w:pPr>
              <w:spacing w:after="0"/>
              <w:jc w:val="left"/>
            </w:pPr>
            <w:r/>
            <w:r>
              <w:rPr>
                <w:rFonts w:ascii="Times New Roman" w:hAnsi="Times New Roman"/>
                <w:sz w:val="21"/>
              </w:rPr>
              <w:t>0.775 against the 0.78 target (missed); MLP 0.790 at a 52.5% flag rate</w:t>
            </w:r>
          </w:p>
        </w:tc>
      </w:tr>
    </w:tbl>
    <w:p>
      <w:pPr>
        <w:spacing w:after="80"/>
      </w:pPr>
    </w:p>
    <w:p>
      <w:r>
        <w:rPr>
          <w:rFonts w:ascii="Times New Roman" w:hAnsi="Times New Roman"/>
          <w:sz w:val="24"/>
        </w:rPr>
        <w:t>The question of Section 1.1 is answered yes for an insurer that reviews about three cases in four, the load at which the score outranks both hand-built references. I recommend that insurers and self-insured operators score daily filings and review them in score order down to capacity, from the 0.210 threshold. An adjuster should decide every flagged claim, and the score should not rank mines for inspection.</w:t>
      </w:r>
    </w:p>
    <w:p>
      <w:pPr>
        <w:pStyle w:val="Heading2"/>
      </w:pPr>
      <w:r>
        <w:rPr>
          <w:rFonts w:ascii="Times New Roman" w:hAnsi="Times New Roman"/>
          <w:b/>
          <w:color w:val="000000"/>
          <w:sz w:val="28"/>
        </w:rPr>
        <w:t>5.3 Limitations</w:t>
      </w:r>
    </w:p>
    <w:p>
      <w:r>
        <w:rPr>
          <w:rFonts w:ascii="Times New Roman" w:hAnsi="Times New Roman"/>
          <w:sz w:val="24"/>
        </w:rPr>
        <w:t>The data are operator self-reports under Part 50, so the findings cover reported injuries and inherit under-reporting that varies by mine and year. The label also records each employer's restricted-duty practice, which the model learns with severity. Contractor hours are absent from the production file, so exposure is understated at contractor-heavy mines, and Mines attributes are a snapshot that can post-date the accident. About one in twenty late-2025 reports may still be re-coded.</w:t>
      </w:r>
    </w:p>
    <w:p>
      <w:r>
        <w:rPr>
          <w:rFonts w:ascii="Times New Roman" w:hAnsi="Times New Roman"/>
          <w:sz w:val="24"/>
        </w:rPr>
        <w:t>Grids were small, with 16 candidates for the HGB search, the test set was one held-out fold, and the SVM and KNN used subsamples. No external data set was scored, and the cost comparison rests on an assumed USD 4,000 per missed case (Table 1). SHAP values cover 500 rows, and the application retrains on reduced grids, so its live numbers differ from the full run.</w:t>
      </w:r>
    </w:p>
    <w:p>
      <w:pPr>
        <w:pStyle w:val="Heading2"/>
      </w:pPr>
      <w:r>
        <w:rPr>
          <w:rFonts w:ascii="Times New Roman" w:hAnsi="Times New Roman"/>
          <w:b/>
          <w:color w:val="000000"/>
          <w:sz w:val="28"/>
        </w:rPr>
        <w:t>5.4 Future work</w:t>
      </w:r>
    </w:p>
    <w:p>
      <w:r>
        <w:rPr>
          <w:rFonts w:ascii="Times New Roman" w:hAnsi="Times New Roman"/>
          <w:sz w:val="24"/>
        </w:rPr>
        <w:t>External validation on closed 2026 reports, with the thresholds fixed here, comes first. Sector-level monitoring of the Brier score and review rate should trigger a refit at the S6 limit. An insurer's closed claims could then price a missed case and replace the assumed ratio. Narrative text with post-filing leakage controls, and a DART model for inspectors, come last. Uzbekistan, whose two largest employers are the Navoi and Almalyk mining combinats with about 85,000 workers (Kun.uz, 2024) and which publishes only aggregate accident statistics (Kun.uz, 2026), would need its own reporting form and label before this pipeline could be transferred.</w:t>
      </w:r>
    </w:p>
    <w:p>
      <w:pPr>
        <w:pStyle w:val="Heading2"/>
      </w:pPr>
      <w:r>
        <w:rPr>
          <w:rFonts w:ascii="Times New Roman" w:hAnsi="Times New Roman"/>
          <w:b/>
          <w:color w:val="000000"/>
          <w:sz w:val="28"/>
        </w:rPr>
        <w:t>5.5 Ethical considerations</w:t>
      </w:r>
    </w:p>
    <w:p>
      <w:r>
        <w:rPr>
          <w:rFonts w:ascii="Times New Roman" w:hAnsi="Times New Roman"/>
          <w:sz w:val="24"/>
        </w:rPr>
        <w:t>The MSHA files are public-domain US government works (Office of the Law Revision Counsel, 2020), credited to the US Department of Labor as requested (US Department of Labor, no date). No names or narratives enter the model, but occupation, experience, mine and date could identify a worker at a small mine, so scored lists should stay with claims staff. Self-reporting adds representational bias and the label measurement bias (Mehrabi et al., 2021), as the same injury scores lower where restricted duty is offered. Recall at the capacity threshold is 0.971 in coal and 0.911 in metal and non-metal mines (Table 21), so misses fall more often on metal and non-metal workers. The model card (Table 19) and the application's decision-support notice rule out using a score to contest or delay a claim. I recommend that an adjuster confirm every flag and that the insurer compare recall by sector each quarter, recalibrating when the gap widens.</w:t>
      </w:r>
    </w:p>
    <w:p>
      <w:r>
        <w:br w:type="page"/>
      </w:r>
    </w:p>
    <w:p>
      <w:pPr>
        <w:pStyle w:val="Heading1"/>
      </w:pPr>
      <w:r>
        <w:rPr>
          <w:rFonts w:ascii="Times New Roman" w:hAnsi="Times New Roman"/>
          <w:b/>
          <w:color w:val="000000"/>
          <w:sz w:val="32"/>
        </w:rPr>
        <w:t>References</w:t>
      </w:r>
    </w:p>
    <w:p>
      <w:r>
        <w:rPr>
          <w:rFonts w:ascii="Times New Roman" w:hAnsi="Times New Roman"/>
          <w:sz w:val="24"/>
        </w:rPr>
        <w:t xml:space="preserve">Bishop, C.M. (2006) </w:t>
      </w:r>
      <w:r>
        <w:rPr>
          <w:rFonts w:ascii="Times New Roman" w:hAnsi="Times New Roman"/>
          <w:i/>
          <w:sz w:val="24"/>
        </w:rPr>
        <w:t>Pattern Recognition and Machine Learning</w:t>
      </w:r>
      <w:r>
        <w:rPr>
          <w:rFonts w:ascii="Times New Roman" w:hAnsi="Times New Roman"/>
          <w:sz w:val="24"/>
        </w:rPr>
        <w:t>. New York: Springer.</w:t>
      </w:r>
    </w:p>
    <w:p>
      <w:r>
        <w:rPr>
          <w:rFonts w:ascii="Times New Roman" w:hAnsi="Times New Roman"/>
          <w:sz w:val="24"/>
        </w:rPr>
        <w:t xml:space="preserve">Breiman, L. (2001) 'Random forests', </w:t>
      </w:r>
      <w:r>
        <w:rPr>
          <w:rFonts w:ascii="Times New Roman" w:hAnsi="Times New Roman"/>
          <w:i/>
          <w:sz w:val="24"/>
        </w:rPr>
        <w:t>Machine Learning</w:t>
      </w:r>
      <w:r>
        <w:rPr>
          <w:rFonts w:ascii="Times New Roman" w:hAnsi="Times New Roman"/>
          <w:sz w:val="24"/>
        </w:rPr>
        <w:t>, 45(1), pp. 5-32. doi:10.1023/A:1010933404324.</w:t>
      </w:r>
    </w:p>
    <w:p>
      <w:r>
        <w:rPr>
          <w:rFonts w:ascii="Times New Roman" w:hAnsi="Times New Roman"/>
          <w:sz w:val="24"/>
        </w:rPr>
        <w:t xml:space="preserve">Bruce, P., Bruce, A. and Gedeck, P. (2020) </w:t>
      </w:r>
      <w:r>
        <w:rPr>
          <w:rFonts w:ascii="Times New Roman" w:hAnsi="Times New Roman"/>
          <w:i/>
          <w:sz w:val="24"/>
        </w:rPr>
        <w:t>Practical Statistics for Data Scientists</w:t>
      </w:r>
      <w:r>
        <w:rPr>
          <w:rFonts w:ascii="Times New Roman" w:hAnsi="Times New Roman"/>
          <w:sz w:val="24"/>
        </w:rPr>
        <w:t>. 2nd edn. Sebastopol, CA: O'Reilly Media.</w:t>
      </w:r>
    </w:p>
    <w:p>
      <w:r>
        <w:rPr>
          <w:rFonts w:ascii="Times New Roman" w:hAnsi="Times New Roman"/>
          <w:sz w:val="24"/>
        </w:rPr>
        <w:t xml:space="preserve">Bureau of Labor Statistics (2025) </w:t>
      </w:r>
      <w:r>
        <w:rPr>
          <w:rFonts w:ascii="Times New Roman" w:hAnsi="Times New Roman"/>
          <w:i/>
          <w:sz w:val="24"/>
        </w:rPr>
        <w:t>Occupational Outlook Handbook: Claims adjusters, appraisers, examiners, and investigators</w:t>
      </w:r>
      <w:r>
        <w:rPr>
          <w:rFonts w:ascii="Times New Roman" w:hAnsi="Times New Roman"/>
          <w:sz w:val="24"/>
        </w:rPr>
        <w:t>. Washington, DC: US Department of Labor. Available at: https://www.bls.gov/ooh/business-and-financial/claims-adjusters-appraisers-examiners-and-investigators.htm (Accessed: 14 October 2026).</w:t>
      </w:r>
    </w:p>
    <w:p>
      <w:r>
        <w:rPr>
          <w:rFonts w:ascii="Times New Roman" w:hAnsi="Times New Roman"/>
          <w:sz w:val="24"/>
        </w:rPr>
        <w:t xml:space="preserve">Bureau of Labor Statistics (no date) </w:t>
      </w:r>
      <w:r>
        <w:rPr>
          <w:rFonts w:ascii="Times New Roman" w:hAnsi="Times New Roman"/>
          <w:i/>
          <w:sz w:val="24"/>
        </w:rPr>
        <w:t>Handbook of Methods: Survey of Occupational Injuries and Illnesses - Concepts</w:t>
      </w:r>
      <w:r>
        <w:rPr>
          <w:rFonts w:ascii="Times New Roman" w:hAnsi="Times New Roman"/>
          <w:sz w:val="24"/>
        </w:rPr>
        <w:t>. Available at: https://www.bls.gov/opub/hom/soii/concepts.htm (Accessed: 14 October 2026).</w:t>
      </w:r>
    </w:p>
    <w:p>
      <w:r>
        <w:rPr>
          <w:rFonts w:ascii="Times New Roman" w:hAnsi="Times New Roman"/>
          <w:sz w:val="24"/>
        </w:rPr>
        <w:t>Business Insurance (2015) 'Delayed reporting of workplace injuries can raise comp claim costs up to 51%', 7 June. Available at: https://www.businessinsurance.com/delayed-reporting-of-workplace-injuries-can-raise-comp-claim-costs-up-to-51/ (Accessed: 14 October 2026).</w:t>
      </w:r>
    </w:p>
    <w:p>
      <w:r>
        <w:rPr>
          <w:rFonts w:ascii="Times New Roman" w:hAnsi="Times New Roman"/>
          <w:sz w:val="24"/>
        </w:rPr>
        <w:t xml:space="preserve">Chawla, N.V., Bowyer, K.W., Hall, L.O. and Kegelmeyer, W.P. (2002) 'SMOTE: Synthetic minority over-sampling technique', </w:t>
      </w:r>
      <w:r>
        <w:rPr>
          <w:rFonts w:ascii="Times New Roman" w:hAnsi="Times New Roman"/>
          <w:i/>
          <w:sz w:val="24"/>
        </w:rPr>
        <w:t>Journal of Artificial Intelligence Research</w:t>
      </w:r>
      <w:r>
        <w:rPr>
          <w:rFonts w:ascii="Times New Roman" w:hAnsi="Times New Roman"/>
          <w:sz w:val="24"/>
        </w:rPr>
        <w:t>, 16, pp. 321-357. doi:10.1613/jair.953.</w:t>
      </w:r>
    </w:p>
    <w:p>
      <w:r>
        <w:rPr>
          <w:rFonts w:ascii="Times New Roman" w:hAnsi="Times New Roman"/>
          <w:sz w:val="24"/>
        </w:rPr>
        <w:t xml:space="preserve">Chen, T. and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San Francisco, CA, 13-17 August. New York: ACM, pp. 785-794. doi:10.1145/2939672.2939785.</w:t>
      </w:r>
    </w:p>
    <w:p>
      <w:r>
        <w:rPr>
          <w:rFonts w:ascii="Times New Roman" w:hAnsi="Times New Roman"/>
          <w:sz w:val="24"/>
        </w:rPr>
        <w:t xml:space="preserve">Cortes, C. and Vapnik, V. (1995) 'Support-vector networks', </w:t>
      </w:r>
      <w:r>
        <w:rPr>
          <w:rFonts w:ascii="Times New Roman" w:hAnsi="Times New Roman"/>
          <w:i/>
          <w:sz w:val="24"/>
        </w:rPr>
        <w:t>Machine Learning</w:t>
      </w:r>
      <w:r>
        <w:rPr>
          <w:rFonts w:ascii="Times New Roman" w:hAnsi="Times New Roman"/>
          <w:sz w:val="24"/>
        </w:rPr>
        <w:t>, 20(3), pp. 273-297. doi:10.1007/BF00994018.</w:t>
      </w:r>
    </w:p>
    <w:p>
      <w:r>
        <w:rPr>
          <w:rFonts w:ascii="Times New Roman" w:hAnsi="Times New Roman"/>
          <w:sz w:val="24"/>
        </w:rPr>
        <w:t xml:space="preserve">Cover, T. and Hart, P. (1967) 'Nearest neighbor pattern classification', </w:t>
      </w:r>
      <w:r>
        <w:rPr>
          <w:rFonts w:ascii="Times New Roman" w:hAnsi="Times New Roman"/>
          <w:i/>
          <w:sz w:val="24"/>
        </w:rPr>
        <w:t>IEEE Transactions on Information Theory</w:t>
      </w:r>
      <w:r>
        <w:rPr>
          <w:rFonts w:ascii="Times New Roman" w:hAnsi="Times New Roman"/>
          <w:sz w:val="24"/>
        </w:rPr>
        <w:t>, 13(1), pp. 21-27. doi:10.1109/TIT.1967.1053964.</w:t>
      </w:r>
    </w:p>
    <w:p>
      <w:r>
        <w:rPr>
          <w:rFonts w:ascii="Times New Roman" w:hAnsi="Times New Roman"/>
          <w:sz w:val="24"/>
        </w:rPr>
        <w:t xml:space="preserve">Davis, J. and Goadrich, M. (2006) 'The relationship between Precision-Recall and ROC curves', in </w:t>
      </w:r>
      <w:r>
        <w:rPr>
          <w:rFonts w:ascii="Times New Roman" w:hAnsi="Times New Roman"/>
          <w:i/>
          <w:sz w:val="24"/>
        </w:rPr>
        <w:t>Proceedings of the 23rd International Conference on Machine Learning</w:t>
      </w:r>
      <w:r>
        <w:rPr>
          <w:rFonts w:ascii="Times New Roman" w:hAnsi="Times New Roman"/>
          <w:sz w:val="24"/>
        </w:rPr>
        <w:t>. Pittsburgh, PA, 25-29 June. New York: ACM, pp. 233-240. doi:10.1145/1143844.1143874.</w:t>
      </w:r>
    </w:p>
    <w:p>
      <w:r>
        <w:rPr>
          <w:rFonts w:ascii="Times New Roman" w:hAnsi="Times New Roman"/>
          <w:sz w:val="24"/>
        </w:rPr>
        <w:t xml:space="preserve">Demšar, J. (2006) 'Statistical comparisons of classifiers over multiple data sets', </w:t>
      </w:r>
      <w:r>
        <w:rPr>
          <w:rFonts w:ascii="Times New Roman" w:hAnsi="Times New Roman"/>
          <w:i/>
          <w:sz w:val="24"/>
        </w:rPr>
        <w:t>Journal of Machine Learning Research</w:t>
      </w:r>
      <w:r>
        <w:rPr>
          <w:rFonts w:ascii="Times New Roman" w:hAnsi="Times New Roman"/>
          <w:sz w:val="24"/>
        </w:rPr>
        <w:t>, 7, pp. 1-30.</w:t>
      </w:r>
    </w:p>
    <w:p>
      <w:r>
        <w:rPr>
          <w:rFonts w:ascii="Times New Roman" w:hAnsi="Times New Roman"/>
          <w:sz w:val="24"/>
        </w:rPr>
        <w:t xml:space="preserve">Dietterich, T.G. (1998) 'Approximate statistical tests for comparing supervised classification learning algorithms', </w:t>
      </w:r>
      <w:r>
        <w:rPr>
          <w:rFonts w:ascii="Times New Roman" w:hAnsi="Times New Roman"/>
          <w:i/>
          <w:sz w:val="24"/>
        </w:rPr>
        <w:t>Neural Computation</w:t>
      </w:r>
      <w:r>
        <w:rPr>
          <w:rFonts w:ascii="Times New Roman" w:hAnsi="Times New Roman"/>
          <w:sz w:val="24"/>
        </w:rPr>
        <w:t>, 10(7), pp. 1895-1923. doi:10.1162/089976698300017197.</w:t>
      </w:r>
    </w:p>
    <w:p>
      <w:r>
        <w:rPr>
          <w:rFonts w:ascii="Times New Roman" w:hAnsi="Times New Roman"/>
          <w:sz w:val="24"/>
        </w:rPr>
        <w:t xml:space="preserve">Domingos, P. and Pazzani, M. (1997) 'On the optimality of the simple Bayesian classifier under zero-one loss', </w:t>
      </w:r>
      <w:r>
        <w:rPr>
          <w:rFonts w:ascii="Times New Roman" w:hAnsi="Times New Roman"/>
          <w:i/>
          <w:sz w:val="24"/>
        </w:rPr>
        <w:t>Machine Learning</w:t>
      </w:r>
      <w:r>
        <w:rPr>
          <w:rFonts w:ascii="Times New Roman" w:hAnsi="Times New Roman"/>
          <w:sz w:val="24"/>
        </w:rPr>
        <w:t>, 29(2-3), pp. 103-130. doi:10.1023/A:1007413511361.</w:t>
      </w:r>
    </w:p>
    <w:p>
      <w:r>
        <w:rPr>
          <w:rFonts w:ascii="Times New Roman" w:hAnsi="Times New Roman"/>
          <w:sz w:val="24"/>
        </w:rPr>
        <w:t xml:space="preserve">Durkalski, V.L., Palesch, Y.Y., Lipsitz, S.R. and Rust, P.F. (2003) 'Analysis of clustered matched-pair data', </w:t>
      </w:r>
      <w:r>
        <w:rPr>
          <w:rFonts w:ascii="Times New Roman" w:hAnsi="Times New Roman"/>
          <w:i/>
          <w:sz w:val="24"/>
        </w:rPr>
        <w:t>Statistics in Medicine</w:t>
      </w:r>
      <w:r>
        <w:rPr>
          <w:rFonts w:ascii="Times New Roman" w:hAnsi="Times New Roman"/>
          <w:sz w:val="24"/>
        </w:rPr>
        <w:t>, 22(15), pp. 2417-2428. doi:10.1002/sim.1438.</w:t>
      </w:r>
    </w:p>
    <w:p>
      <w:r>
        <w:rPr>
          <w:rFonts w:ascii="Times New Roman" w:hAnsi="Times New Roman"/>
          <w:sz w:val="24"/>
        </w:rPr>
        <w:t xml:space="preserve">Fawcett, T. (2006) 'An introduction to ROC analysis', </w:t>
      </w:r>
      <w:r>
        <w:rPr>
          <w:rFonts w:ascii="Times New Roman" w:hAnsi="Times New Roman"/>
          <w:i/>
          <w:sz w:val="24"/>
        </w:rPr>
        <w:t>Pattern Recognition Letters</w:t>
      </w:r>
      <w:r>
        <w:rPr>
          <w:rFonts w:ascii="Times New Roman" w:hAnsi="Times New Roman"/>
          <w:sz w:val="24"/>
        </w:rPr>
        <w:t>, 27(8), pp. 861-874. doi:10.1016/j.patrec.2005.10.010.</w:t>
      </w:r>
    </w:p>
    <w:p>
      <w:r>
        <w:rPr>
          <w:rFonts w:ascii="Times New Roman" w:hAnsi="Times New Roman"/>
          <w:sz w:val="24"/>
        </w:rPr>
        <w:t xml:space="preserve">Gebru, T., Morgenstern, J., Vecchione, B., Vaughan, J.W., Wallach, H., Daume III, H. and Crawford, K. (2021) 'Datasheets for datasets', </w:t>
      </w:r>
      <w:r>
        <w:rPr>
          <w:rFonts w:ascii="Times New Roman" w:hAnsi="Times New Roman"/>
          <w:i/>
          <w:sz w:val="24"/>
        </w:rPr>
        <w:t>Communications of the ACM</w:t>
      </w:r>
      <w:r>
        <w:rPr>
          <w:rFonts w:ascii="Times New Roman" w:hAnsi="Times New Roman"/>
          <w:sz w:val="24"/>
        </w:rPr>
        <w:t>, 64(12), pp. 86-92. doi:10.1145/3458723.</w:t>
      </w:r>
    </w:p>
    <w:p>
      <w:r>
        <w:rPr>
          <w:rFonts w:ascii="Times New Roman" w:hAnsi="Times New Roman"/>
          <w:sz w:val="24"/>
        </w:rPr>
        <w:t xml:space="preserve">Gen Re (2026) </w:t>
      </w:r>
      <w:r>
        <w:rPr>
          <w:rFonts w:ascii="Times New Roman" w:hAnsi="Times New Roman"/>
          <w:i/>
          <w:sz w:val="24"/>
        </w:rPr>
        <w:t>Workers' comp healthy amid change</w:t>
      </w:r>
      <w:r>
        <w:rPr>
          <w:rFonts w:ascii="Times New Roman" w:hAnsi="Times New Roman"/>
          <w:sz w:val="24"/>
        </w:rPr>
        <w:t>. 26 May. Available at: https://www.genre.com/us/knowledge/publications/2026/may/workers-comp-healthy-amid-change-en (Accessed: 14 October 2026).</w:t>
      </w:r>
    </w:p>
    <w:p>
      <w:r>
        <w:rPr>
          <w:rFonts w:ascii="Times New Roman" w:hAnsi="Times New Roman"/>
          <w:sz w:val="24"/>
        </w:rPr>
        <w:t xml:space="preserve">Grinsztajn, L., Oyallon, E. and Varoquaux, G. (2022) 'Why do tree-based models still outperform deep learning on typical tabular data?', in </w:t>
      </w:r>
      <w:r>
        <w:rPr>
          <w:rFonts w:ascii="Times New Roman" w:hAnsi="Times New Roman"/>
          <w:i/>
          <w:sz w:val="24"/>
        </w:rPr>
        <w:t>Advances in Neural Information Processing Systems 35, Datasets and Benchmarks Track</w:t>
      </w:r>
      <w:r>
        <w:rPr>
          <w:rFonts w:ascii="Times New Roman" w:hAnsi="Times New Roman"/>
          <w:sz w:val="24"/>
        </w:rPr>
        <w:t>.</w:t>
      </w:r>
    </w:p>
    <w:p>
      <w:r>
        <w:rPr>
          <w:rFonts w:ascii="Times New Roman" w:hAnsi="Times New Roman"/>
          <w:sz w:val="24"/>
        </w:rPr>
        <w:t xml:space="preserve">Han, J., Pei, J. and Tong, H. (2022) </w:t>
      </w:r>
      <w:r>
        <w:rPr>
          <w:rFonts w:ascii="Times New Roman" w:hAnsi="Times New Roman"/>
          <w:i/>
          <w:sz w:val="24"/>
        </w:rPr>
        <w:t>Data Mining: Concepts and Techniques</w:t>
      </w:r>
      <w:r>
        <w:rPr>
          <w:rFonts w:ascii="Times New Roman" w:hAnsi="Times New Roman"/>
          <w:sz w:val="24"/>
        </w:rPr>
        <w:t>. 4th edn. Cambridge, MA: Morgan Kaufmann.</w:t>
      </w:r>
    </w:p>
    <w:p>
      <w:r>
        <w:rPr>
          <w:rFonts w:ascii="Times New Roman" w:hAnsi="Times New Roman"/>
          <w:sz w:val="24"/>
        </w:rPr>
        <w:t xml:space="preserve">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edn. New York: Springer.</w:t>
      </w:r>
    </w:p>
    <w:p>
      <w:r>
        <w:rPr>
          <w:rFonts w:ascii="Times New Roman" w:hAnsi="Times New Roman"/>
          <w:sz w:val="24"/>
        </w:rPr>
        <w:t xml:space="preserve">He, H. and Garcia, E.A. (2009) 'Learning from imbalanced data', </w:t>
      </w:r>
      <w:r>
        <w:rPr>
          <w:rFonts w:ascii="Times New Roman" w:hAnsi="Times New Roman"/>
          <w:i/>
          <w:sz w:val="24"/>
        </w:rPr>
        <w:t>IEEE Transactions on Knowledge and Data Engineering</w:t>
      </w:r>
      <w:r>
        <w:rPr>
          <w:rFonts w:ascii="Times New Roman" w:hAnsi="Times New Roman"/>
          <w:sz w:val="24"/>
        </w:rPr>
        <w:t>, 21(9), pp. 1263-1284. doi:10.1109/TKDE.2008.239.</w:t>
      </w:r>
    </w:p>
    <w:p>
      <w:r>
        <w:rPr>
          <w:rFonts w:ascii="Times New Roman" w:hAnsi="Times New Roman"/>
          <w:sz w:val="24"/>
        </w:rPr>
        <w:t xml:space="preserve">Hosmer, D.W., Lemeshow, S. and Sturdivant, R.X. (2013) </w:t>
      </w:r>
      <w:r>
        <w:rPr>
          <w:rFonts w:ascii="Times New Roman" w:hAnsi="Times New Roman"/>
          <w:i/>
          <w:sz w:val="24"/>
        </w:rPr>
        <w:t>Applied Logistic Regression</w:t>
      </w:r>
      <w:r>
        <w:rPr>
          <w:rFonts w:ascii="Times New Roman" w:hAnsi="Times New Roman"/>
          <w:sz w:val="24"/>
        </w:rPr>
        <w:t>. 3rd edn. Hoboken, NJ: Wiley.</w:t>
      </w:r>
    </w:p>
    <w:p>
      <w:r>
        <w:rPr>
          <w:rFonts w:ascii="Times New Roman" w:hAnsi="Times New Roman"/>
          <w:sz w:val="24"/>
        </w:rPr>
        <w:t xml:space="preserve">Hunter, J.D. (2007) 'Matplotlib: A 2D graphics environment', </w:t>
      </w:r>
      <w:r>
        <w:rPr>
          <w:rFonts w:ascii="Times New Roman" w:hAnsi="Times New Roman"/>
          <w:i/>
          <w:sz w:val="24"/>
        </w:rPr>
        <w:t>Computing in Science and Engineering</w:t>
      </w:r>
      <w:r>
        <w:rPr>
          <w:rFonts w:ascii="Times New Roman" w:hAnsi="Times New Roman"/>
          <w:sz w:val="24"/>
        </w:rPr>
        <w:t>, 9(3), pp. 90-95. doi:10.1109/MCSE.2007.55.</w:t>
      </w:r>
    </w:p>
    <w:p>
      <w:r>
        <w:rPr>
          <w:rFonts w:ascii="Times New Roman" w:hAnsi="Times New Roman"/>
          <w:sz w:val="24"/>
        </w:rPr>
        <w:t xml:space="preserve">Kaufman, S., Rosset, S., Perlich, C. and Stitelman, O. (2012) 'Leakage in data mining: Formulation, detection, and avoidance', </w:t>
      </w:r>
      <w:r>
        <w:rPr>
          <w:rFonts w:ascii="Times New Roman" w:hAnsi="Times New Roman"/>
          <w:i/>
          <w:sz w:val="24"/>
        </w:rPr>
        <w:t>ACM Transactions on Knowledge Discovery from Data</w:t>
      </w:r>
      <w:r>
        <w:rPr>
          <w:rFonts w:ascii="Times New Roman" w:hAnsi="Times New Roman"/>
          <w:sz w:val="24"/>
        </w:rPr>
        <w:t>, 6(4), Article 15. doi:10.1145/2382577.2382579.</w:t>
      </w:r>
    </w:p>
    <w:p>
      <w:r>
        <w:rPr>
          <w:rFonts w:ascii="Times New Roman" w:hAnsi="Times New Roman"/>
          <w:sz w:val="24"/>
        </w:rPr>
        <w:t xml:space="preserve">Kohavi, R. (1995) 'A study of cross-validation and bootstrap for accuracy estimation and model selection', in </w:t>
      </w:r>
      <w:r>
        <w:rPr>
          <w:rFonts w:ascii="Times New Roman" w:hAnsi="Times New Roman"/>
          <w:i/>
          <w:sz w:val="24"/>
        </w:rPr>
        <w:t>Proceedings of the 14th International Joint Conference on Artificial Intelligence</w:t>
      </w:r>
      <w:r>
        <w:rPr>
          <w:rFonts w:ascii="Times New Roman" w:hAnsi="Times New Roman"/>
          <w:sz w:val="24"/>
        </w:rPr>
        <w:t>. Montreal, 20-25 August. San Francisco, CA: Morgan Kaufmann, vol. 2, pp. 1137-1145.</w:t>
      </w:r>
    </w:p>
    <w:p>
      <w:r>
        <w:rPr>
          <w:rFonts w:ascii="Times New Roman" w:hAnsi="Times New Roman"/>
          <w:sz w:val="24"/>
        </w:rPr>
        <w:t xml:space="preserve">Kuhn, M. and Johnson, K. (2019) </w:t>
      </w:r>
      <w:r>
        <w:rPr>
          <w:rFonts w:ascii="Times New Roman" w:hAnsi="Times New Roman"/>
          <w:i/>
          <w:sz w:val="24"/>
        </w:rPr>
        <w:t>Feature Engineering and Selection: A Practical Approach for Predictive Models</w:t>
      </w:r>
      <w:r>
        <w:rPr>
          <w:rFonts w:ascii="Times New Roman" w:hAnsi="Times New Roman"/>
          <w:sz w:val="24"/>
        </w:rPr>
        <w:t>. Boca Raton, FL: CRC Press.</w:t>
      </w:r>
    </w:p>
    <w:p>
      <w:r>
        <w:rPr>
          <w:rFonts w:ascii="Times New Roman" w:hAnsi="Times New Roman"/>
          <w:sz w:val="24"/>
        </w:rPr>
        <w:t>Kun.uz (2024) 'Employment ministry names Uzbekistan's largest employment providers', 2 May. Available at: https://kun.uz/en/news/2024/05/02/employment-ministry-names-uzbekistans-largest-employment-providers (Accessed: 14 October 2026).</w:t>
      </w:r>
    </w:p>
    <w:p>
      <w:r>
        <w:rPr>
          <w:rFonts w:ascii="Times New Roman" w:hAnsi="Times New Roman"/>
          <w:sz w:val="24"/>
        </w:rPr>
        <w:t>Kun.uz (2026) 'Workplace accidents kill 248 people in Uzbekistan in 2025', 13 January. Available at: https://kun.uz/en/news/2026/01/13/workplace-accidents-kill-248-people-in-uzbekistan-in-2025over-240-people (Accessed: 14 October 2026).</w:t>
      </w:r>
    </w:p>
    <w:p>
      <w:r>
        <w:rPr>
          <w:rFonts w:ascii="Times New Roman" w:hAnsi="Times New Roman"/>
          <w:sz w:val="24"/>
        </w:rPr>
        <w:t xml:space="preserve">Legal Information Institute (no date a) </w:t>
      </w:r>
      <w:r>
        <w:rPr>
          <w:rFonts w:ascii="Times New Roman" w:hAnsi="Times New Roman"/>
          <w:i/>
          <w:sz w:val="24"/>
        </w:rPr>
        <w:t>30 CFR 50.20 - Preparation and submission of MSHA Report Form 7000-1</w:t>
      </w:r>
      <w:r>
        <w:rPr>
          <w:rFonts w:ascii="Times New Roman" w:hAnsi="Times New Roman"/>
          <w:sz w:val="24"/>
        </w:rPr>
        <w:t>. Available at: https://www.law.cornell.edu/cfr/text/30/50.20 (Accessed: 14 October 2026).</w:t>
      </w:r>
    </w:p>
    <w:p>
      <w:r>
        <w:rPr>
          <w:rFonts w:ascii="Times New Roman" w:hAnsi="Times New Roman"/>
          <w:sz w:val="24"/>
        </w:rPr>
        <w:t xml:space="preserve">Legal Information Institute (no date b) </w:t>
      </w:r>
      <w:r>
        <w:rPr>
          <w:rFonts w:ascii="Times New Roman" w:hAnsi="Times New Roman"/>
          <w:i/>
          <w:sz w:val="24"/>
        </w:rPr>
        <w:t>30 CFR 50.30 - Preparation and submission of MSHA Form 7000-2</w:t>
      </w:r>
      <w:r>
        <w:rPr>
          <w:rFonts w:ascii="Times New Roman" w:hAnsi="Times New Roman"/>
          <w:sz w:val="24"/>
        </w:rPr>
        <w:t>. Available at: https://www.law.cornell.edu/cfr/text/30/50.30 (Accessed: 14 October 2026).</w:t>
      </w:r>
    </w:p>
    <w:p>
      <w:r>
        <w:rPr>
          <w:rFonts w:ascii="Times New Roman" w:hAnsi="Times New Roman"/>
          <w:sz w:val="24"/>
        </w:rPr>
        <w:t xml:space="preserve">Lemaitre, G., Nogueira, F. and Aridas, C.K. (2017) 'Imbalanced-learn: A Python toolbox to tackle the curse of imbalanced datasets in machine learning', </w:t>
      </w:r>
      <w:r>
        <w:rPr>
          <w:rFonts w:ascii="Times New Roman" w:hAnsi="Times New Roman"/>
          <w:i/>
          <w:sz w:val="24"/>
        </w:rPr>
        <w:t>Journal of Machine Learning Research</w:t>
      </w:r>
      <w:r>
        <w:rPr>
          <w:rFonts w:ascii="Times New Roman" w:hAnsi="Times New Roman"/>
          <w:sz w:val="24"/>
        </w:rPr>
        <w:t>, 18(17), pp. 1-5.</w:t>
      </w:r>
    </w:p>
    <w:p>
      <w:r>
        <w:rPr>
          <w:rFonts w:ascii="Times New Roman" w:hAnsi="Times New Roman"/>
          <w:sz w:val="24"/>
        </w:rPr>
        <w:t xml:space="preserve">Lundberg, S.M. and Lee, S.-I. (2017)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pp. 4765-4774.</w:t>
      </w:r>
    </w:p>
    <w:p>
      <w:r>
        <w:rPr>
          <w:rFonts w:ascii="Times New Roman" w:hAnsi="Times New Roman"/>
          <w:sz w:val="24"/>
        </w:rPr>
        <w:t xml:space="preserve">Mehrabi, N., Morstatter, F., Saxena, N., Lerman, K. and Galstyan, A. (2021) 'A survey on bias and fairness in machine learning', </w:t>
      </w:r>
      <w:r>
        <w:rPr>
          <w:rFonts w:ascii="Times New Roman" w:hAnsi="Times New Roman"/>
          <w:i/>
          <w:sz w:val="24"/>
        </w:rPr>
        <w:t>ACM Computing Surveys</w:t>
      </w:r>
      <w:r>
        <w:rPr>
          <w:rFonts w:ascii="Times New Roman" w:hAnsi="Times New Roman"/>
          <w:sz w:val="24"/>
        </w:rPr>
        <w:t>, 54(6), Article 115. doi:10.1145/3457607.</w:t>
      </w:r>
    </w:p>
    <w:p>
      <w:r>
        <w:rPr>
          <w:rFonts w:ascii="Times New Roman" w:hAnsi="Times New Roman"/>
          <w:sz w:val="24"/>
        </w:rPr>
        <w:t xml:space="preserve">Mine Safety and Health Administration (2026) </w:t>
      </w:r>
      <w:r>
        <w:rPr>
          <w:rFonts w:ascii="Times New Roman" w:hAnsi="Times New Roman"/>
          <w:i/>
          <w:sz w:val="24"/>
        </w:rPr>
        <w:t>Mine Injury and Worktime, Quarterly: January-December 2025, preliminary</w:t>
      </w:r>
      <w:r>
        <w:rPr>
          <w:rFonts w:ascii="Times New Roman" w:hAnsi="Times New Roman"/>
          <w:sz w:val="24"/>
        </w:rPr>
        <w:t>. Available at: https://arlweb.msha.gov/Stats/Part50/WQ/2025/MIWQ%20-%20CY2025Q4.pdf (Accessed: 14 October 2026).</w:t>
      </w:r>
    </w:p>
    <w:p>
      <w:r>
        <w:rPr>
          <w:rFonts w:ascii="Times New Roman" w:hAnsi="Times New Roman"/>
          <w:sz w:val="24"/>
        </w:rPr>
        <w:t xml:space="preserve">Mine Safety and Health Administration (no date) </w:t>
      </w:r>
      <w:r>
        <w:rPr>
          <w:rFonts w:ascii="Times New Roman" w:hAnsi="Times New Roman"/>
          <w:i/>
          <w:sz w:val="24"/>
        </w:rPr>
        <w:t>Mine Accident, Injury and Illness Report, MSHA Form 7000-1 (OMB No. 1219-0007), with instructions</w:t>
      </w:r>
      <w:r>
        <w:rPr>
          <w:rFonts w:ascii="Times New Roman" w:hAnsi="Times New Roman"/>
          <w:sz w:val="24"/>
        </w:rPr>
        <w:t>. Available at: https://www.msha.gov/sites/default/files/Support_Resources/Forms/7000-1.pdf (Accessed: 14 October 2026).</w:t>
      </w:r>
    </w:p>
    <w:p>
      <w:r>
        <w:rPr>
          <w:rFonts w:ascii="Times New Roman" w:hAnsi="Times New Roman"/>
          <w:sz w:val="24"/>
        </w:rPr>
        <w:t xml:space="preserve">Mitchell, M., Wu, S., Zaldivar, A., Barnes, P., Vasserman, L., Hutchinson, B., Spitzer, E., Raji, I.D. and Gebru, T. (2019) 'Model cards for model reporting', in </w:t>
      </w:r>
      <w:r>
        <w:rPr>
          <w:rFonts w:ascii="Times New Roman" w:hAnsi="Times New Roman"/>
          <w:i/>
          <w:sz w:val="24"/>
        </w:rPr>
        <w:t>Proceedings of the Conference on Fairness, Accountability, and Transparency</w:t>
      </w:r>
      <w:r>
        <w:rPr>
          <w:rFonts w:ascii="Times New Roman" w:hAnsi="Times New Roman"/>
          <w:sz w:val="24"/>
        </w:rPr>
        <w:t>. Atlanta, GA, 29-31 January. New York: ACM, pp. 220-229. doi:10.1145/3287560.3287596.</w:t>
      </w:r>
    </w:p>
    <w:p>
      <w:r>
        <w:rPr>
          <w:rFonts w:ascii="Times New Roman" w:hAnsi="Times New Roman"/>
          <w:sz w:val="24"/>
        </w:rPr>
        <w:t xml:space="preserve">Mitchell, T.M. (1997) </w:t>
      </w:r>
      <w:r>
        <w:rPr>
          <w:rFonts w:ascii="Times New Roman" w:hAnsi="Times New Roman"/>
          <w:i/>
          <w:sz w:val="24"/>
        </w:rPr>
        <w:t>Machine Learning</w:t>
      </w:r>
      <w:r>
        <w:rPr>
          <w:rFonts w:ascii="Times New Roman" w:hAnsi="Times New Roman"/>
          <w:sz w:val="24"/>
        </w:rPr>
        <w:t>. New York: McGraw-Hill.</w:t>
      </w:r>
    </w:p>
    <w:p>
      <w:r>
        <w:rPr>
          <w:rFonts w:ascii="Times New Roman" w:hAnsi="Times New Roman"/>
          <w:sz w:val="24"/>
        </w:rPr>
        <w:t xml:space="preserve">Nadeau, C. and Bengio, Y. (2003) 'Inference for the generalization error', </w:t>
      </w:r>
      <w:r>
        <w:rPr>
          <w:rFonts w:ascii="Times New Roman" w:hAnsi="Times New Roman"/>
          <w:i/>
          <w:sz w:val="24"/>
        </w:rPr>
        <w:t>Machine Learning</w:t>
      </w:r>
      <w:r>
        <w:rPr>
          <w:rFonts w:ascii="Times New Roman" w:hAnsi="Times New Roman"/>
          <w:sz w:val="24"/>
        </w:rPr>
        <w:t>, 52(3), pp. 239-281. doi:10.1023/A:1024068626366.</w:t>
      </w:r>
    </w:p>
    <w:p>
      <w:r>
        <w:rPr>
          <w:rFonts w:ascii="Times New Roman" w:hAnsi="Times New Roman"/>
          <w:sz w:val="24"/>
        </w:rPr>
        <w:t xml:space="preserve">National Institute for Occupational Safety and Health (no date) </w:t>
      </w:r>
      <w:r>
        <w:rPr>
          <w:rFonts w:ascii="Times New Roman" w:hAnsi="Times New Roman"/>
          <w:i/>
          <w:sz w:val="24"/>
        </w:rPr>
        <w:t>NIOSH Mine and Mine Worker Charts: number and rate of nonfatal lost-time injuries, 2021-2024</w:t>
      </w:r>
      <w:r>
        <w:rPr>
          <w:rFonts w:ascii="Times New Roman" w:hAnsi="Times New Roman"/>
          <w:sz w:val="24"/>
        </w:rPr>
        <w:t>. Available at: https://wwwn.cdc.gov/niosh-mining/MMWC/Injuries/NumberAndRate (Accessed: 14 October 2026).</w:t>
      </w:r>
    </w:p>
    <w:p>
      <w:r>
        <w:rPr>
          <w:rFonts w:ascii="Times New Roman" w:hAnsi="Times New Roman"/>
          <w:sz w:val="24"/>
        </w:rPr>
        <w:t xml:space="preserve">Office of the Law Revision Counsel (2020) </w:t>
      </w:r>
      <w:r>
        <w:rPr>
          <w:rFonts w:ascii="Times New Roman" w:hAnsi="Times New Roman"/>
          <w:i/>
          <w:sz w:val="24"/>
        </w:rPr>
        <w:t>17 U.S.C. 105 - Subject matter of copyright: United States Government works</w:t>
      </w:r>
      <w:r>
        <w:rPr>
          <w:rFonts w:ascii="Times New Roman" w:hAnsi="Times New Roman"/>
          <w:sz w:val="24"/>
        </w:rPr>
        <w:t>. United States Code, 2020 edition. Available at: https://www.govinfo.gov/content/pkg/USCODE-2020-title17/html/USCODE-2020-title17-chap1-sec105.htm (Accessed: 14 October 2026).</w:t>
      </w:r>
    </w:p>
    <w:p>
      <w:r>
        <w:rPr>
          <w:rFonts w:ascii="Times New Roman" w:hAnsi="Times New Roman"/>
          <w:sz w:val="24"/>
        </w:rPr>
        <w:t xml:space="preserve">Pedregosa, F., Varoquaux, G., Gramfort, A., Michel, V., Thirion, B., Grisel, O., Blondel, M., Prettenhofer, P., Weiss, R., Dubourg, V., Vanderplas, J., Passos, A., Cournapeau, D., Brucher, M., Perrot, M. and Duchesnay, E. (2011) 'Scikit-learn: Machine learning in Python', </w:t>
      </w:r>
      <w:r>
        <w:rPr>
          <w:rFonts w:ascii="Times New Roman" w:hAnsi="Times New Roman"/>
          <w:i/>
          <w:sz w:val="24"/>
        </w:rPr>
        <w:t>Journal of Machine Learning Research</w:t>
      </w:r>
      <w:r>
        <w:rPr>
          <w:rFonts w:ascii="Times New Roman" w:hAnsi="Times New Roman"/>
          <w:sz w:val="24"/>
        </w:rPr>
        <w:t>, 12, pp. 2825-2830.</w:t>
      </w:r>
    </w:p>
    <w:p>
      <w:r>
        <w:rPr>
          <w:rFonts w:ascii="Times New Roman" w:hAnsi="Times New Roman"/>
          <w:sz w:val="24"/>
        </w:rPr>
        <w:t xml:space="preserve">Provost, F. and Fawcett, T. (2013) </w:t>
      </w:r>
      <w:r>
        <w:rPr>
          <w:rFonts w:ascii="Times New Roman" w:hAnsi="Times New Roman"/>
          <w:i/>
          <w:sz w:val="24"/>
        </w:rPr>
        <w:t>Data Science for Business: What You Need to Know about Data Mining and Data-Analytic Thinking</w:t>
      </w:r>
      <w:r>
        <w:rPr>
          <w:rFonts w:ascii="Times New Roman" w:hAnsi="Times New Roman"/>
          <w:sz w:val="24"/>
        </w:rPr>
        <w:t>. Sebastopol, CA: O'Reilly Media.</w:t>
      </w:r>
    </w:p>
    <w:p>
      <w:r>
        <w:rPr>
          <w:rFonts w:ascii="Times New Roman" w:hAnsi="Times New Roman"/>
          <w:sz w:val="24"/>
        </w:rPr>
        <w:t xml:space="preserve">Rubin, D.B. (1976) 'Inference and missing data', </w:t>
      </w:r>
      <w:r>
        <w:rPr>
          <w:rFonts w:ascii="Times New Roman" w:hAnsi="Times New Roman"/>
          <w:i/>
          <w:sz w:val="24"/>
        </w:rPr>
        <w:t>Biometrika</w:t>
      </w:r>
      <w:r>
        <w:rPr>
          <w:rFonts w:ascii="Times New Roman" w:hAnsi="Times New Roman"/>
          <w:sz w:val="24"/>
        </w:rPr>
        <w:t>, 63(3), pp. 581-592. doi:10.1093/biomet/63.3.581.</w:t>
      </w:r>
    </w:p>
    <w:p>
      <w:r>
        <w:rPr>
          <w:rFonts w:ascii="Times New Roman" w:hAnsi="Times New Roman"/>
          <w:sz w:val="24"/>
        </w:rPr>
        <w:t xml:space="preserve">Saito, T. and Rehmsmeier, M. (2015) 'The precision-recall plot is more informative than the ROC plot when evaluating binary classifiers on imbalanced datasets', </w:t>
      </w:r>
      <w:r>
        <w:rPr>
          <w:rFonts w:ascii="Times New Roman" w:hAnsi="Times New Roman"/>
          <w:i/>
          <w:sz w:val="24"/>
        </w:rPr>
        <w:t>PLoS ONE</w:t>
      </w:r>
      <w:r>
        <w:rPr>
          <w:rFonts w:ascii="Times New Roman" w:hAnsi="Times New Roman"/>
          <w:sz w:val="24"/>
        </w:rPr>
        <w:t>, 10(3), e0118432. doi:10.1371/journal.pone.0118432.</w:t>
      </w:r>
    </w:p>
    <w:p>
      <w:r>
        <w:rPr>
          <w:rFonts w:ascii="Times New Roman" w:hAnsi="Times New Roman"/>
          <w:sz w:val="24"/>
        </w:rPr>
        <w:t xml:space="preserve">Sculley, D., Holt, G., Golovin, D., Davydov, E., Phillips, T., Ebner, D., Chaudhary, V., Young, M., Crespo, J.-F. and Dennison, D. (2015) 'Hidden technical debt in machine learning systems', in </w:t>
      </w:r>
      <w:r>
        <w:rPr>
          <w:rFonts w:ascii="Times New Roman" w:hAnsi="Times New Roman"/>
          <w:i/>
          <w:sz w:val="24"/>
        </w:rPr>
        <w:t>Advances in Neural Information Processing Systems 28</w:t>
      </w:r>
      <w:r>
        <w:rPr>
          <w:rFonts w:ascii="Times New Roman" w:hAnsi="Times New Roman"/>
          <w:sz w:val="24"/>
        </w:rPr>
        <w:t>, pp. 2503-2511.</w:t>
      </w:r>
    </w:p>
    <w:p>
      <w:r>
        <w:rPr>
          <w:rFonts w:ascii="Times New Roman" w:hAnsi="Times New Roman"/>
          <w:sz w:val="24"/>
        </w:rPr>
        <w:t xml:space="preserve">Tan, P.-N., Steinbach, M., Karpatne, A. and Kumar, V. (2019) </w:t>
      </w:r>
      <w:r>
        <w:rPr>
          <w:rFonts w:ascii="Times New Roman" w:hAnsi="Times New Roman"/>
          <w:i/>
          <w:sz w:val="24"/>
        </w:rPr>
        <w:t>Introduction to Data Mining</w:t>
      </w:r>
      <w:r>
        <w:rPr>
          <w:rFonts w:ascii="Times New Roman" w:hAnsi="Times New Roman"/>
          <w:sz w:val="24"/>
        </w:rPr>
        <w:t>. 2nd edn. New York: Pearson.</w:t>
      </w:r>
    </w:p>
    <w:p>
      <w:r>
        <w:rPr>
          <w:rFonts w:ascii="Times New Roman" w:hAnsi="Times New Roman"/>
          <w:sz w:val="24"/>
        </w:rPr>
        <w:t xml:space="preserve">Tukey, J.W. (1977) </w:t>
      </w:r>
      <w:r>
        <w:rPr>
          <w:rFonts w:ascii="Times New Roman" w:hAnsi="Times New Roman"/>
          <w:i/>
          <w:sz w:val="24"/>
        </w:rPr>
        <w:t>Exploratory Data Analysis</w:t>
      </w:r>
      <w:r>
        <w:rPr>
          <w:rFonts w:ascii="Times New Roman" w:hAnsi="Times New Roman"/>
          <w:sz w:val="24"/>
        </w:rPr>
        <w:t>. Reading, MA: Addison-Wesley.</w:t>
      </w:r>
    </w:p>
    <w:p>
      <w:r>
        <w:rPr>
          <w:rFonts w:ascii="Times New Roman" w:hAnsi="Times New Roman"/>
          <w:sz w:val="24"/>
        </w:rPr>
        <w:t xml:space="preserve">US Department of Labor (no date) </w:t>
      </w:r>
      <w:r>
        <w:rPr>
          <w:rFonts w:ascii="Times New Roman" w:hAnsi="Times New Roman"/>
          <w:i/>
          <w:sz w:val="24"/>
        </w:rPr>
        <w:t>Copyright information</w:t>
      </w:r>
      <w:r>
        <w:rPr>
          <w:rFonts w:ascii="Times New Roman" w:hAnsi="Times New Roman"/>
          <w:sz w:val="24"/>
        </w:rPr>
        <w:t>. Available at: https://www.dol.gov/general/aboutdol/copyright (Accessed: 14 October 2026).</w:t>
      </w:r>
    </w:p>
    <w:p>
      <w:r>
        <w:rPr>
          <w:rFonts w:ascii="Times New Roman" w:hAnsi="Times New Roman"/>
          <w:sz w:val="24"/>
        </w:rPr>
        <w:t xml:space="preserve">US Department of Labor, Mine Safety and Health Administration (2026a) </w:t>
      </w:r>
      <w:r>
        <w:rPr>
          <w:rFonts w:ascii="Times New Roman" w:hAnsi="Times New Roman"/>
          <w:i/>
          <w:sz w:val="24"/>
        </w:rPr>
        <w:t>Accident Injuries Data Set</w:t>
      </w:r>
      <w:r>
        <w:rPr>
          <w:rFonts w:ascii="Times New Roman" w:hAnsi="Times New Roman"/>
          <w:sz w:val="24"/>
        </w:rPr>
        <w:t xml:space="preserve"> [Dataset]. Available at: https://arlweb.msha.gov/OpenGovernmentData/OGIMSHA.asp (Accessed: 14 October 2026). Public domain (US Government work).</w:t>
      </w:r>
    </w:p>
    <w:p>
      <w:r>
        <w:rPr>
          <w:rFonts w:ascii="Times New Roman" w:hAnsi="Times New Roman"/>
          <w:sz w:val="24"/>
        </w:rPr>
        <w:t xml:space="preserve">US Department of Labor, Mine Safety and Health Administration (2026b) </w:t>
      </w:r>
      <w:r>
        <w:rPr>
          <w:rFonts w:ascii="Times New Roman" w:hAnsi="Times New Roman"/>
          <w:i/>
          <w:sz w:val="24"/>
        </w:rPr>
        <w:t>Mines Data Set and Mines Production Yearly Data Set</w:t>
      </w:r>
      <w:r>
        <w:rPr>
          <w:rFonts w:ascii="Times New Roman" w:hAnsi="Times New Roman"/>
          <w:sz w:val="24"/>
        </w:rPr>
        <w:t xml:space="preserve"> [Datasets]. Available at: https://arlweb.msha.gov/OpenGovernmentData/OGIMSHA.asp (Accessed: 14 October 2026). Public domain (US Government work).</w:t>
      </w:r>
    </w:p>
    <w:p>
      <w:r>
        <w:rPr>
          <w:rFonts w:ascii="Times New Roman" w:hAnsi="Times New Roman"/>
          <w:sz w:val="24"/>
        </w:rPr>
        <w:t xml:space="preserve">van Buuren, S. (2018) </w:t>
      </w:r>
      <w:r>
        <w:rPr>
          <w:rFonts w:ascii="Times New Roman" w:hAnsi="Times New Roman"/>
          <w:i/>
          <w:sz w:val="24"/>
        </w:rPr>
        <w:t>Flexible Imputation of Missing Data</w:t>
      </w:r>
      <w:r>
        <w:rPr>
          <w:rFonts w:ascii="Times New Roman" w:hAnsi="Times New Roman"/>
          <w:sz w:val="24"/>
        </w:rPr>
        <w:t>. 2nd edn. Boca Raton, FL: CRC Press.</w:t>
      </w:r>
    </w:p>
    <w:p>
      <w:r>
        <w:rPr>
          <w:rFonts w:ascii="Times New Roman" w:hAnsi="Times New Roman"/>
          <w:sz w:val="24"/>
        </w:rPr>
        <w:t xml:space="preserve">Waskom, M.L. (2021) 'seaborn: statistical data visualization', </w:t>
      </w:r>
      <w:r>
        <w:rPr>
          <w:rFonts w:ascii="Times New Roman" w:hAnsi="Times New Roman"/>
          <w:i/>
          <w:sz w:val="24"/>
        </w:rPr>
        <w:t>Journal of Open Source Software</w:t>
      </w:r>
      <w:r>
        <w:rPr>
          <w:rFonts w:ascii="Times New Roman" w:hAnsi="Times New Roman"/>
          <w:sz w:val="24"/>
        </w:rPr>
        <w:t>, 6(60), 3021. doi:10.21105/joss.03021.</w:t>
      </w:r>
    </w:p>
    <w:p>
      <w:r>
        <w:rPr>
          <w:rFonts w:ascii="Times New Roman" w:hAnsi="Times New Roman"/>
          <w:sz w:val="24"/>
        </w:rPr>
        <w:t xml:space="preserve">Wolpert, D.H. (1996) 'The lack of a priori distinctions between learning algorithms', </w:t>
      </w:r>
      <w:r>
        <w:rPr>
          <w:rFonts w:ascii="Times New Roman" w:hAnsi="Times New Roman"/>
          <w:i/>
          <w:sz w:val="24"/>
        </w:rPr>
        <w:t>Neural Computation</w:t>
      </w:r>
      <w:r>
        <w:rPr>
          <w:rFonts w:ascii="Times New Roman" w:hAnsi="Times New Roman"/>
          <w:sz w:val="24"/>
        </w:rPr>
        <w:t>, 8(7), pp. 1341-1390. doi:10.1162/neco.1996.8.7.1341.</w:t>
      </w:r>
    </w:p>
    <w:p>
      <w:r>
        <w:rPr>
          <w:rFonts w:ascii="Times New Roman" w:hAnsi="Times New Roman"/>
          <w:sz w:val="24"/>
        </w:rPr>
        <w:t xml:space="preserve">Yedla, A., Kakhki, F.D. and Jannesari, A. (2020) 'Predictive modeling for occupational safety outcomes and days away from work analysis in mining operations', </w:t>
      </w:r>
      <w:r>
        <w:rPr>
          <w:rFonts w:ascii="Times New Roman" w:hAnsi="Times New Roman"/>
          <w:i/>
          <w:sz w:val="24"/>
        </w:rPr>
        <w:t>International Journal of Environmental Research and Public Health</w:t>
      </w:r>
      <w:r>
        <w:rPr>
          <w:rFonts w:ascii="Times New Roman" w:hAnsi="Times New Roman"/>
          <w:sz w:val="24"/>
        </w:rPr>
        <w:t>, 17(19), 7054. doi:10.3390/ijerph17197054.</w:t>
      </w:r>
    </w:p>
    <w:p>
      <w:r>
        <w:br w:type="page"/>
      </w:r>
    </w:p>
    <w:p>
      <w:pPr>
        <w:pStyle w:val="Heading1"/>
      </w:pPr>
      <w:r>
        <w:rPr>
          <w:rFonts w:ascii="Times New Roman" w:hAnsi="Times New Roman"/>
          <w:b/>
          <w:color w:val="000000"/>
          <w:sz w:val="32"/>
        </w:rPr>
        <w:t>Appendix A Additional descriptive statistics</w:t>
      </w:r>
    </w:p>
    <w:p>
      <w:r>
        <w:rPr>
          <w:rFonts w:ascii="Times New Roman" w:hAnsi="Times New Roman"/>
          <w:sz w:val="24"/>
        </w:rPr>
        <w:t>Table 22 gives the statistics of Table 6 for the eight numeric features that Section 2.3 leaves out of the main table, so that all 20 numeric features are described.</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Sample statistics of the remaining eight of the 20 numeric features on the 81,289 training rows, with the same definitions as the main descriptive table of Section 2.3; the trimmed mean cuts 10% from each tail, variance and SD (sample standard deviation) use the n - 1 denominator, and skewness is read against the bands below 0.5 symmetric, 0.5 to 1 moderate and above 1 high. Source: author's analysis of MSHA open data.</w:t>
      </w:r>
    </w:p>
    <w:tbl>
      <w:tblPr>
        <w:tblStyle w:val="TableGrid"/>
        <w:tblW w:type="auto" w:w="0"/>
        <w:jc w:val="center"/>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shd w:val="clear" w:color="auto" w:fill="E7E6E6"/>
          </w:tcPr>
          <w:p>
            <w:pPr>
              <w:jc w:val="left"/>
            </w:pPr>
            <w:r>
              <w:rPr>
                <w:b/>
              </w:rPr>
            </w:r>
            <w:r>
              <w:rPr>
                <w:rFonts w:ascii="Times New Roman" w:hAnsi="Times New Roman"/>
                <w:b/>
                <w:sz w:val="21"/>
              </w:rPr>
              <w:t>Feature (unit)</w:t>
            </w:r>
          </w:p>
        </w:tc>
        <w:tc>
          <w:tcPr>
            <w:tcW w:type="dxa" w:w="694"/>
            <w:shd w:val="clear" w:color="auto" w:fill="E7E6E6"/>
          </w:tcPr>
          <w:p>
            <w:pPr>
              <w:jc w:val="left"/>
            </w:pPr>
            <w:r>
              <w:rPr>
                <w:b/>
              </w:rPr>
            </w:r>
            <w:r>
              <w:rPr>
                <w:rFonts w:ascii="Times New Roman" w:hAnsi="Times New Roman"/>
                <w:b/>
                <w:sz w:val="21"/>
              </w:rPr>
              <w:t>Missing %</w:t>
            </w:r>
          </w:p>
        </w:tc>
        <w:tc>
          <w:tcPr>
            <w:tcW w:type="dxa" w:w="694"/>
            <w:shd w:val="clear" w:color="auto" w:fill="E7E6E6"/>
          </w:tcPr>
          <w:p>
            <w:pPr>
              <w:jc w:val="left"/>
            </w:pPr>
            <w:r>
              <w:rPr>
                <w:b/>
              </w:rPr>
            </w:r>
            <w:r>
              <w:rPr>
                <w:rFonts w:ascii="Times New Roman" w:hAnsi="Times New Roman"/>
                <w:b/>
                <w:sz w:val="21"/>
              </w:rPr>
              <w:t>Mean</w:t>
            </w:r>
          </w:p>
        </w:tc>
        <w:tc>
          <w:tcPr>
            <w:tcW w:type="dxa" w:w="694"/>
            <w:shd w:val="clear" w:color="auto" w:fill="E7E6E6"/>
          </w:tcPr>
          <w:p>
            <w:pPr>
              <w:jc w:val="left"/>
            </w:pPr>
            <w:r>
              <w:rPr>
                <w:b/>
              </w:rPr>
            </w:r>
            <w:r>
              <w:rPr>
                <w:rFonts w:ascii="Times New Roman" w:hAnsi="Times New Roman"/>
                <w:b/>
                <w:sz w:val="21"/>
              </w:rPr>
              <w:t>Median</w:t>
            </w:r>
          </w:p>
        </w:tc>
        <w:tc>
          <w:tcPr>
            <w:tcW w:type="dxa" w:w="694"/>
            <w:shd w:val="clear" w:color="auto" w:fill="E7E6E6"/>
          </w:tcPr>
          <w:p>
            <w:pPr>
              <w:jc w:val="left"/>
            </w:pPr>
            <w:r>
              <w:rPr>
                <w:b/>
              </w:rPr>
            </w:r>
            <w:r>
              <w:rPr>
                <w:rFonts w:ascii="Times New Roman" w:hAnsi="Times New Roman"/>
                <w:b/>
                <w:sz w:val="21"/>
              </w:rPr>
              <w:t>Trimmed mean</w:t>
            </w:r>
          </w:p>
        </w:tc>
        <w:tc>
          <w:tcPr>
            <w:tcW w:type="dxa" w:w="694"/>
            <w:shd w:val="clear" w:color="auto" w:fill="E7E6E6"/>
          </w:tcPr>
          <w:p>
            <w:pPr>
              <w:jc w:val="left"/>
            </w:pPr>
            <w:r>
              <w:rPr>
                <w:b/>
              </w:rPr>
            </w:r>
            <w:r>
              <w:rPr>
                <w:rFonts w:ascii="Times New Roman" w:hAnsi="Times New Roman"/>
                <w:b/>
                <w:sz w:val="21"/>
              </w:rPr>
              <w:t>Variance</w:t>
            </w:r>
          </w:p>
        </w:tc>
        <w:tc>
          <w:tcPr>
            <w:tcW w:type="dxa" w:w="694"/>
            <w:shd w:val="clear" w:color="auto" w:fill="E7E6E6"/>
          </w:tcPr>
          <w:p>
            <w:pPr>
              <w:jc w:val="left"/>
            </w:pPr>
            <w:r>
              <w:rPr>
                <w:b/>
              </w:rPr>
            </w:r>
            <w:r>
              <w:rPr>
                <w:rFonts w:ascii="Times New Roman" w:hAnsi="Times New Roman"/>
                <w:b/>
                <w:sz w:val="21"/>
              </w:rPr>
              <w:t>SD</w:t>
            </w:r>
          </w:p>
        </w:tc>
        <w:tc>
          <w:tcPr>
            <w:tcW w:type="dxa" w:w="694"/>
            <w:shd w:val="clear" w:color="auto" w:fill="E7E6E6"/>
          </w:tcPr>
          <w:p>
            <w:pPr>
              <w:jc w:val="left"/>
            </w:pPr>
            <w:r>
              <w:rPr>
                <w:b/>
              </w:rPr>
            </w:r>
            <w:r>
              <w:rPr>
                <w:rFonts w:ascii="Times New Roman" w:hAnsi="Times New Roman"/>
                <w:b/>
                <w:sz w:val="21"/>
              </w:rPr>
              <w:t>Min</w:t>
            </w:r>
          </w:p>
        </w:tc>
        <w:tc>
          <w:tcPr>
            <w:tcW w:type="dxa" w:w="694"/>
            <w:shd w:val="clear" w:color="auto" w:fill="E7E6E6"/>
          </w:tcPr>
          <w:p>
            <w:pPr>
              <w:jc w:val="left"/>
            </w:pPr>
            <w:r>
              <w:rPr>
                <w:b/>
              </w:rPr>
            </w:r>
            <w:r>
              <w:rPr>
                <w:rFonts w:ascii="Times New Roman" w:hAnsi="Times New Roman"/>
                <w:b/>
                <w:sz w:val="21"/>
              </w:rPr>
              <w:t>Q1</w:t>
            </w:r>
          </w:p>
        </w:tc>
        <w:tc>
          <w:tcPr>
            <w:tcW w:type="dxa" w:w="694"/>
            <w:shd w:val="clear" w:color="auto" w:fill="E7E6E6"/>
          </w:tcPr>
          <w:p>
            <w:pPr>
              <w:jc w:val="left"/>
            </w:pPr>
            <w:r>
              <w:rPr>
                <w:b/>
              </w:rPr>
            </w:r>
            <w:r>
              <w:rPr>
                <w:rFonts w:ascii="Times New Roman" w:hAnsi="Times New Roman"/>
                <w:b/>
                <w:sz w:val="21"/>
              </w:rPr>
              <w:t>Q3</w:t>
            </w:r>
          </w:p>
        </w:tc>
        <w:tc>
          <w:tcPr>
            <w:tcW w:type="dxa" w:w="694"/>
            <w:shd w:val="clear" w:color="auto" w:fill="E7E6E6"/>
          </w:tcPr>
          <w:p>
            <w:pPr>
              <w:jc w:val="left"/>
            </w:pPr>
            <w:r>
              <w:rPr>
                <w:b/>
              </w:rPr>
            </w:r>
            <w:r>
              <w:rPr>
                <w:rFonts w:ascii="Times New Roman" w:hAnsi="Times New Roman"/>
                <w:b/>
                <w:sz w:val="21"/>
              </w:rPr>
              <w:t>Max</w:t>
            </w:r>
          </w:p>
        </w:tc>
        <w:tc>
          <w:tcPr>
            <w:tcW w:type="dxa" w:w="694"/>
            <w:shd w:val="clear" w:color="auto" w:fill="E7E6E6"/>
          </w:tcPr>
          <w:p>
            <w:pPr>
              <w:jc w:val="left"/>
            </w:pPr>
            <w:r>
              <w:rPr>
                <w:b/>
              </w:rPr>
            </w:r>
            <w:r>
              <w:rPr>
                <w:rFonts w:ascii="Times New Roman" w:hAnsi="Times New Roman"/>
                <w:b/>
                <w:sz w:val="21"/>
              </w:rPr>
              <w:t>IQR</w:t>
            </w:r>
          </w:p>
        </w:tc>
        <w:tc>
          <w:tcPr>
            <w:tcW w:type="dxa" w:w="694"/>
            <w:shd w:val="clear" w:color="auto" w:fill="E7E6E6"/>
          </w:tcPr>
          <w:p>
            <w:pPr>
              <w:jc w:val="left"/>
            </w:pPr>
            <w:r>
              <w:rPr>
                <w:b/>
              </w:rPr>
            </w:r>
            <w:r>
              <w:rPr>
                <w:rFonts w:ascii="Times New Roman" w:hAnsi="Times New Roman"/>
                <w:b/>
                <w:sz w:val="21"/>
              </w:rPr>
              <w:t>Skewness</w:t>
            </w:r>
          </w:p>
        </w:tc>
      </w:tr>
      <w:tr>
        <w:tc>
          <w:tcPr>
            <w:tcW w:type="dxa" w:w="694"/>
          </w:tcPr>
          <w:p>
            <w:pPr>
              <w:spacing w:after="0"/>
              <w:jc w:val="left"/>
            </w:pPr>
            <w:r/>
            <w:r>
              <w:rPr>
                <w:rFonts w:ascii="Times New Roman" w:hAnsi="Times New Roman"/>
                <w:sz w:val="21"/>
              </w:rPr>
              <w:t>exper_ratio_job (ratio)</w:t>
            </w:r>
          </w:p>
        </w:tc>
        <w:tc>
          <w:tcPr>
            <w:tcW w:type="dxa" w:w="694"/>
          </w:tcPr>
          <w:p>
            <w:pPr>
              <w:spacing w:after="0"/>
              <w:jc w:val="left"/>
            </w:pPr>
            <w:r/>
            <w:r>
              <w:rPr>
                <w:rFonts w:ascii="Times New Roman" w:hAnsi="Times New Roman"/>
                <w:sz w:val="21"/>
              </w:rPr>
              <w:t>5.2</w:t>
            </w:r>
          </w:p>
        </w:tc>
        <w:tc>
          <w:tcPr>
            <w:tcW w:type="dxa" w:w="694"/>
          </w:tcPr>
          <w:p>
            <w:pPr>
              <w:spacing w:after="0"/>
              <w:jc w:val="left"/>
            </w:pPr>
            <w:r/>
            <w:r>
              <w:rPr>
                <w:rFonts w:ascii="Times New Roman" w:hAnsi="Times New Roman"/>
                <w:sz w:val="21"/>
              </w:rPr>
              <w:t>0.71</w:t>
            </w:r>
          </w:p>
        </w:tc>
        <w:tc>
          <w:tcPr>
            <w:tcW w:type="dxa" w:w="694"/>
          </w:tcPr>
          <w:p>
            <w:pPr>
              <w:spacing w:after="0"/>
              <w:jc w:val="left"/>
            </w:pPr>
            <w:r/>
            <w:r>
              <w:rPr>
                <w:rFonts w:ascii="Times New Roman" w:hAnsi="Times New Roman"/>
                <w:sz w:val="21"/>
              </w:rPr>
              <w:t>0.97</w:t>
            </w:r>
          </w:p>
        </w:tc>
        <w:tc>
          <w:tcPr>
            <w:tcW w:type="dxa" w:w="694"/>
          </w:tcPr>
          <w:p>
            <w:pPr>
              <w:spacing w:after="0"/>
              <w:jc w:val="left"/>
            </w:pPr>
            <w:r/>
            <w:r>
              <w:rPr>
                <w:rFonts w:ascii="Times New Roman" w:hAnsi="Times New Roman"/>
                <w:sz w:val="21"/>
              </w:rPr>
              <w:t>0.75</w:t>
            </w:r>
          </w:p>
        </w:tc>
        <w:tc>
          <w:tcPr>
            <w:tcW w:type="dxa" w:w="694"/>
          </w:tcPr>
          <w:p>
            <w:pPr>
              <w:spacing w:after="0"/>
              <w:jc w:val="left"/>
            </w:pPr>
            <w:r/>
            <w:r>
              <w:rPr>
                <w:rFonts w:ascii="Times New Roman" w:hAnsi="Times New Roman"/>
                <w:sz w:val="21"/>
              </w:rPr>
              <w:t>0.13</w:t>
            </w:r>
          </w:p>
        </w:tc>
        <w:tc>
          <w:tcPr>
            <w:tcW w:type="dxa" w:w="694"/>
          </w:tcPr>
          <w:p>
            <w:pPr>
              <w:spacing w:after="0"/>
              <w:jc w:val="left"/>
            </w:pPr>
            <w:r/>
            <w:r>
              <w:rPr>
                <w:rFonts w:ascii="Times New Roman" w:hAnsi="Times New Roman"/>
                <w:sz w:val="21"/>
              </w:rPr>
              <w:t>0.36</w:t>
            </w:r>
          </w:p>
        </w:tc>
        <w:tc>
          <w:tcPr>
            <w:tcW w:type="dxa" w:w="694"/>
          </w:tcPr>
          <w:p>
            <w:pPr>
              <w:spacing w:after="0"/>
              <w:jc w:val="left"/>
            </w:pPr>
            <w:r/>
            <w:r>
              <w:rPr>
                <w:rFonts w:ascii="Times New Roman" w:hAnsi="Times New Roman"/>
                <w:sz w:val="21"/>
              </w:rPr>
              <w:t>0.00</w:t>
            </w:r>
          </w:p>
        </w:tc>
        <w:tc>
          <w:tcPr>
            <w:tcW w:type="dxa" w:w="694"/>
          </w:tcPr>
          <w:p>
            <w:pPr>
              <w:spacing w:after="0"/>
              <w:jc w:val="left"/>
            </w:pPr>
            <w:r/>
            <w:r>
              <w:rPr>
                <w:rFonts w:ascii="Times New Roman" w:hAnsi="Times New Roman"/>
                <w:sz w:val="21"/>
              </w:rPr>
              <w:t>0.38</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0.62</w:t>
            </w:r>
          </w:p>
        </w:tc>
        <w:tc>
          <w:tcPr>
            <w:tcW w:type="dxa" w:w="694"/>
          </w:tcPr>
          <w:p>
            <w:pPr>
              <w:spacing w:after="0"/>
              <w:jc w:val="left"/>
            </w:pPr>
            <w:r/>
            <w:r>
              <w:rPr>
                <w:rFonts w:ascii="Times New Roman" w:hAnsi="Times New Roman"/>
                <w:sz w:val="21"/>
              </w:rPr>
              <w:t>-0.72</w:t>
            </w:r>
          </w:p>
        </w:tc>
      </w:tr>
      <w:tr>
        <w:tc>
          <w:tcPr>
            <w:tcW w:type="dxa" w:w="694"/>
          </w:tcPr>
          <w:p>
            <w:pPr>
              <w:spacing w:after="0"/>
              <w:jc w:val="left"/>
            </w:pPr>
            <w:r/>
            <w:r>
              <w:rPr>
                <w:rFonts w:ascii="Times New Roman" w:hAnsi="Times New Roman"/>
                <w:sz w:val="21"/>
              </w:rPr>
              <w:t>no_injuries_capped (persons)</w:t>
            </w:r>
          </w:p>
        </w:tc>
        <w:tc>
          <w:tcPr>
            <w:tcW w:type="dxa" w:w="694"/>
          </w:tcPr>
          <w:p>
            <w:pPr>
              <w:spacing w:after="0"/>
              <w:jc w:val="left"/>
            </w:pPr>
            <w:r/>
            <w:r>
              <w:rPr>
                <w:rFonts w:ascii="Times New Roman" w:hAnsi="Times New Roman"/>
                <w:sz w:val="21"/>
              </w:rPr>
              <w:t>0.0</w:t>
            </w:r>
          </w:p>
        </w:tc>
        <w:tc>
          <w:tcPr>
            <w:tcW w:type="dxa" w:w="694"/>
          </w:tcPr>
          <w:p>
            <w:pPr>
              <w:spacing w:after="0"/>
              <w:jc w:val="left"/>
            </w:pPr>
            <w:r/>
            <w:r>
              <w:rPr>
                <w:rFonts w:ascii="Times New Roman" w:hAnsi="Times New Roman"/>
                <w:sz w:val="21"/>
              </w:rPr>
              <w:t>1.02</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1.00</w:t>
            </w:r>
          </w:p>
        </w:tc>
        <w:tc>
          <w:tcPr>
            <w:tcW w:type="dxa" w:w="694"/>
          </w:tcPr>
          <w:p>
            <w:pPr>
              <w:spacing w:after="0"/>
              <w:jc w:val="left"/>
            </w:pPr>
            <w:r/>
            <w:r>
              <w:rPr>
                <w:rFonts w:ascii="Times New Roman" w:hAnsi="Times New Roman"/>
                <w:sz w:val="21"/>
              </w:rPr>
              <w:t>0.05</w:t>
            </w:r>
          </w:p>
        </w:tc>
        <w:tc>
          <w:tcPr>
            <w:tcW w:type="dxa" w:w="694"/>
          </w:tcPr>
          <w:p>
            <w:pPr>
              <w:spacing w:after="0"/>
              <w:jc w:val="left"/>
            </w:pPr>
            <w:r/>
            <w:r>
              <w:rPr>
                <w:rFonts w:ascii="Times New Roman" w:hAnsi="Times New Roman"/>
                <w:sz w:val="21"/>
              </w:rPr>
              <w:t>0.23</w:t>
            </w:r>
          </w:p>
        </w:tc>
        <w:tc>
          <w:tcPr>
            <w:tcW w:type="dxa" w:w="694"/>
          </w:tcPr>
          <w:p>
            <w:pPr>
              <w:spacing w:after="0"/>
              <w:jc w:val="left"/>
            </w:pPr>
            <w:r/>
            <w:r>
              <w:rPr>
                <w:rFonts w:ascii="Times New Roman" w:hAnsi="Times New Roman"/>
                <w:sz w:val="21"/>
              </w:rPr>
              <w:t>1</w:t>
            </w:r>
          </w:p>
        </w:tc>
        <w:tc>
          <w:tcPr>
            <w:tcW w:type="dxa" w:w="694"/>
          </w:tcPr>
          <w:p>
            <w:pPr>
              <w:spacing w:after="0"/>
              <w:jc w:val="left"/>
            </w:pPr>
            <w:r/>
            <w:r>
              <w:rPr>
                <w:rFonts w:ascii="Times New Roman" w:hAnsi="Times New Roman"/>
                <w:sz w:val="21"/>
              </w:rPr>
              <w:t>1</w:t>
            </w:r>
          </w:p>
        </w:tc>
        <w:tc>
          <w:tcPr>
            <w:tcW w:type="dxa" w:w="694"/>
          </w:tcPr>
          <w:p>
            <w:pPr>
              <w:spacing w:after="0"/>
              <w:jc w:val="left"/>
            </w:pPr>
            <w:r/>
            <w:r>
              <w:rPr>
                <w:rFonts w:ascii="Times New Roman" w:hAnsi="Times New Roman"/>
                <w:sz w:val="21"/>
              </w:rPr>
              <w:t>1</w:t>
            </w:r>
          </w:p>
        </w:tc>
        <w:tc>
          <w:tcPr>
            <w:tcW w:type="dxa" w:w="694"/>
          </w:tcPr>
          <w:p>
            <w:pPr>
              <w:spacing w:after="0"/>
              <w:jc w:val="left"/>
            </w:pPr>
            <w:r/>
            <w:r>
              <w:rPr>
                <w:rFonts w:ascii="Times New Roman" w:hAnsi="Times New Roman"/>
                <w:sz w:val="21"/>
              </w:rPr>
              <w:t>9</w:t>
            </w:r>
          </w:p>
        </w:tc>
        <w:tc>
          <w:tcPr>
            <w:tcW w:type="dxa" w:w="694"/>
          </w:tcPr>
          <w:p>
            <w:pPr>
              <w:spacing w:after="0"/>
              <w:jc w:val="left"/>
            </w:pPr>
            <w:r/>
            <w:r>
              <w:rPr>
                <w:rFonts w:ascii="Times New Roman" w:hAnsi="Times New Roman"/>
                <w:sz w:val="21"/>
              </w:rPr>
              <w:t>0</w:t>
            </w:r>
          </w:p>
        </w:tc>
        <w:tc>
          <w:tcPr>
            <w:tcW w:type="dxa" w:w="694"/>
          </w:tcPr>
          <w:p>
            <w:pPr>
              <w:spacing w:after="0"/>
              <w:jc w:val="left"/>
            </w:pPr>
            <w:r/>
            <w:r>
              <w:rPr>
                <w:rFonts w:ascii="Times New Roman" w:hAnsi="Times New Roman"/>
                <w:sz w:val="21"/>
              </w:rPr>
              <w:t>21.94</w:t>
            </w:r>
          </w:p>
        </w:tc>
      </w:tr>
      <w:tr>
        <w:tc>
          <w:tcPr>
            <w:tcW w:type="dxa" w:w="694"/>
          </w:tcPr>
          <w:p>
            <w:pPr>
              <w:spacing w:after="0"/>
              <w:jc w:val="left"/>
            </w:pPr>
            <w:r/>
            <w:r>
              <w:rPr>
                <w:rFonts w:ascii="Times New Roman" w:hAnsi="Times New Roman"/>
                <w:sz w:val="21"/>
              </w:rPr>
              <w:t>accident_hour (hour, 0-23)</w:t>
            </w:r>
          </w:p>
        </w:tc>
        <w:tc>
          <w:tcPr>
            <w:tcW w:type="dxa" w:w="694"/>
          </w:tcPr>
          <w:p>
            <w:pPr>
              <w:spacing w:after="0"/>
              <w:jc w:val="left"/>
            </w:pPr>
            <w:r/>
            <w:r>
              <w:rPr>
                <w:rFonts w:ascii="Times New Roman" w:hAnsi="Times New Roman"/>
                <w:sz w:val="21"/>
              </w:rPr>
              <w:t>3.0</w:t>
            </w:r>
          </w:p>
        </w:tc>
        <w:tc>
          <w:tcPr>
            <w:tcW w:type="dxa" w:w="694"/>
          </w:tcPr>
          <w:p>
            <w:pPr>
              <w:spacing w:after="0"/>
              <w:jc w:val="left"/>
            </w:pPr>
            <w:r/>
            <w:r>
              <w:rPr>
                <w:rFonts w:ascii="Times New Roman" w:hAnsi="Times New Roman"/>
                <w:sz w:val="21"/>
              </w:rPr>
              <w:t>11.7</w:t>
            </w:r>
          </w:p>
        </w:tc>
        <w:tc>
          <w:tcPr>
            <w:tcW w:type="dxa" w:w="694"/>
          </w:tcPr>
          <w:p>
            <w:pPr>
              <w:spacing w:after="0"/>
              <w:jc w:val="left"/>
            </w:pPr>
            <w:r/>
            <w:r>
              <w:rPr>
                <w:rFonts w:ascii="Times New Roman" w:hAnsi="Times New Roman"/>
                <w:sz w:val="21"/>
              </w:rPr>
              <w:t>11.0</w:t>
            </w:r>
          </w:p>
        </w:tc>
        <w:tc>
          <w:tcPr>
            <w:tcW w:type="dxa" w:w="694"/>
          </w:tcPr>
          <w:p>
            <w:pPr>
              <w:spacing w:after="0"/>
              <w:jc w:val="left"/>
            </w:pPr>
            <w:r/>
            <w:r>
              <w:rPr>
                <w:rFonts w:ascii="Times New Roman" w:hAnsi="Times New Roman"/>
                <w:sz w:val="21"/>
              </w:rPr>
              <w:t>11.6</w:t>
            </w:r>
          </w:p>
        </w:tc>
        <w:tc>
          <w:tcPr>
            <w:tcW w:type="dxa" w:w="694"/>
          </w:tcPr>
          <w:p>
            <w:pPr>
              <w:spacing w:after="0"/>
              <w:jc w:val="left"/>
            </w:pPr>
            <w:r/>
            <w:r>
              <w:rPr>
                <w:rFonts w:ascii="Times New Roman" w:hAnsi="Times New Roman"/>
                <w:sz w:val="21"/>
              </w:rPr>
              <w:t>30.7</w:t>
            </w:r>
          </w:p>
        </w:tc>
        <w:tc>
          <w:tcPr>
            <w:tcW w:type="dxa" w:w="694"/>
          </w:tcPr>
          <w:p>
            <w:pPr>
              <w:spacing w:after="0"/>
              <w:jc w:val="left"/>
            </w:pPr>
            <w:r/>
            <w:r>
              <w:rPr>
                <w:rFonts w:ascii="Times New Roman" w:hAnsi="Times New Roman"/>
                <w:sz w:val="21"/>
              </w:rPr>
              <w:t>5.5</w:t>
            </w:r>
          </w:p>
        </w:tc>
        <w:tc>
          <w:tcPr>
            <w:tcW w:type="dxa" w:w="694"/>
          </w:tcPr>
          <w:p>
            <w:pPr>
              <w:spacing w:after="0"/>
              <w:jc w:val="left"/>
            </w:pPr>
            <w:r/>
            <w:r>
              <w:rPr>
                <w:rFonts w:ascii="Times New Roman" w:hAnsi="Times New Roman"/>
                <w:sz w:val="21"/>
              </w:rPr>
              <w:t>0</w:t>
            </w:r>
          </w:p>
        </w:tc>
        <w:tc>
          <w:tcPr>
            <w:tcW w:type="dxa" w:w="694"/>
          </w:tcPr>
          <w:p>
            <w:pPr>
              <w:spacing w:after="0"/>
              <w:jc w:val="left"/>
            </w:pPr>
            <w:r/>
            <w:r>
              <w:rPr>
                <w:rFonts w:ascii="Times New Roman" w:hAnsi="Times New Roman"/>
                <w:sz w:val="21"/>
              </w:rPr>
              <w:t>8</w:t>
            </w:r>
          </w:p>
        </w:tc>
        <w:tc>
          <w:tcPr>
            <w:tcW w:type="dxa" w:w="694"/>
          </w:tcPr>
          <w:p>
            <w:pPr>
              <w:spacing w:after="0"/>
              <w:jc w:val="left"/>
            </w:pPr>
            <w:r/>
            <w:r>
              <w:rPr>
                <w:rFonts w:ascii="Times New Roman" w:hAnsi="Times New Roman"/>
                <w:sz w:val="21"/>
              </w:rPr>
              <w:t>15</w:t>
            </w:r>
          </w:p>
        </w:tc>
        <w:tc>
          <w:tcPr>
            <w:tcW w:type="dxa" w:w="694"/>
          </w:tcPr>
          <w:p>
            <w:pPr>
              <w:spacing w:after="0"/>
              <w:jc w:val="left"/>
            </w:pPr>
            <w:r/>
            <w:r>
              <w:rPr>
                <w:rFonts w:ascii="Times New Roman" w:hAnsi="Times New Roman"/>
                <w:sz w:val="21"/>
              </w:rPr>
              <w:t>23</w:t>
            </w:r>
          </w:p>
        </w:tc>
        <w:tc>
          <w:tcPr>
            <w:tcW w:type="dxa" w:w="694"/>
          </w:tcPr>
          <w:p>
            <w:pPr>
              <w:spacing w:after="0"/>
              <w:jc w:val="left"/>
            </w:pPr>
            <w:r/>
            <w:r>
              <w:rPr>
                <w:rFonts w:ascii="Times New Roman" w:hAnsi="Times New Roman"/>
                <w:sz w:val="21"/>
              </w:rPr>
              <w:t>7</w:t>
            </w:r>
          </w:p>
        </w:tc>
        <w:tc>
          <w:tcPr>
            <w:tcW w:type="dxa" w:w="694"/>
          </w:tcPr>
          <w:p>
            <w:pPr>
              <w:spacing w:after="0"/>
              <w:jc w:val="left"/>
            </w:pPr>
            <w:r/>
            <w:r>
              <w:rPr>
                <w:rFonts w:ascii="Times New Roman" w:hAnsi="Times New Roman"/>
                <w:sz w:val="21"/>
              </w:rPr>
              <w:t>0.06</w:t>
            </w:r>
          </w:p>
        </w:tc>
      </w:tr>
      <w:tr>
        <w:tc>
          <w:tcPr>
            <w:tcW w:type="dxa" w:w="694"/>
          </w:tcPr>
          <w:p>
            <w:pPr>
              <w:spacing w:after="0"/>
              <w:jc w:val="left"/>
            </w:pPr>
            <w:r/>
            <w:r>
              <w:rPr>
                <w:rFonts w:ascii="Times New Roman" w:hAnsi="Times New Roman"/>
                <w:sz w:val="21"/>
              </w:rPr>
              <w:t>shift_begin_hour (hour, 0-23)</w:t>
            </w:r>
          </w:p>
        </w:tc>
        <w:tc>
          <w:tcPr>
            <w:tcW w:type="dxa" w:w="694"/>
          </w:tcPr>
          <w:p>
            <w:pPr>
              <w:spacing w:after="0"/>
              <w:jc w:val="left"/>
            </w:pPr>
            <w:r/>
            <w:r>
              <w:rPr>
                <w:rFonts w:ascii="Times New Roman" w:hAnsi="Times New Roman"/>
                <w:sz w:val="21"/>
              </w:rPr>
              <w:t>0.5</w:t>
            </w:r>
          </w:p>
        </w:tc>
        <w:tc>
          <w:tcPr>
            <w:tcW w:type="dxa" w:w="694"/>
          </w:tcPr>
          <w:p>
            <w:pPr>
              <w:spacing w:after="0"/>
              <w:jc w:val="left"/>
            </w:pPr>
            <w:r/>
            <w:r>
              <w:rPr>
                <w:rFonts w:ascii="Times New Roman" w:hAnsi="Times New Roman"/>
                <w:sz w:val="21"/>
              </w:rPr>
              <w:t>9.7</w:t>
            </w:r>
          </w:p>
        </w:tc>
        <w:tc>
          <w:tcPr>
            <w:tcW w:type="dxa" w:w="694"/>
          </w:tcPr>
          <w:p>
            <w:pPr>
              <w:spacing w:after="0"/>
              <w:jc w:val="left"/>
            </w:pPr>
            <w:r/>
            <w:r>
              <w:rPr>
                <w:rFonts w:ascii="Times New Roman" w:hAnsi="Times New Roman"/>
                <w:sz w:val="21"/>
              </w:rPr>
              <w:t>7.0</w:t>
            </w:r>
          </w:p>
        </w:tc>
        <w:tc>
          <w:tcPr>
            <w:tcW w:type="dxa" w:w="694"/>
          </w:tcPr>
          <w:p>
            <w:pPr>
              <w:spacing w:after="0"/>
              <w:jc w:val="left"/>
            </w:pPr>
            <w:r/>
            <w:r>
              <w:rPr>
                <w:rFonts w:ascii="Times New Roman" w:hAnsi="Times New Roman"/>
                <w:sz w:val="21"/>
              </w:rPr>
              <w:t>9.0</w:t>
            </w:r>
          </w:p>
        </w:tc>
        <w:tc>
          <w:tcPr>
            <w:tcW w:type="dxa" w:w="694"/>
          </w:tcPr>
          <w:p>
            <w:pPr>
              <w:spacing w:after="0"/>
              <w:jc w:val="left"/>
            </w:pPr>
            <w:r/>
            <w:r>
              <w:rPr>
                <w:rFonts w:ascii="Times New Roman" w:hAnsi="Times New Roman"/>
                <w:sz w:val="21"/>
              </w:rPr>
              <w:t>32.5</w:t>
            </w:r>
          </w:p>
        </w:tc>
        <w:tc>
          <w:tcPr>
            <w:tcW w:type="dxa" w:w="694"/>
          </w:tcPr>
          <w:p>
            <w:pPr>
              <w:spacing w:after="0"/>
              <w:jc w:val="left"/>
            </w:pPr>
            <w:r/>
            <w:r>
              <w:rPr>
                <w:rFonts w:ascii="Times New Roman" w:hAnsi="Times New Roman"/>
                <w:sz w:val="21"/>
              </w:rPr>
              <w:t>5.7</w:t>
            </w:r>
          </w:p>
        </w:tc>
        <w:tc>
          <w:tcPr>
            <w:tcW w:type="dxa" w:w="694"/>
          </w:tcPr>
          <w:p>
            <w:pPr>
              <w:spacing w:after="0"/>
              <w:jc w:val="left"/>
            </w:pPr>
            <w:r/>
            <w:r>
              <w:rPr>
                <w:rFonts w:ascii="Times New Roman" w:hAnsi="Times New Roman"/>
                <w:sz w:val="21"/>
              </w:rPr>
              <w:t>0</w:t>
            </w:r>
          </w:p>
        </w:tc>
        <w:tc>
          <w:tcPr>
            <w:tcW w:type="dxa" w:w="694"/>
          </w:tcPr>
          <w:p>
            <w:pPr>
              <w:spacing w:after="0"/>
              <w:jc w:val="left"/>
            </w:pPr>
            <w:r/>
            <w:r>
              <w:rPr>
                <w:rFonts w:ascii="Times New Roman" w:hAnsi="Times New Roman"/>
                <w:sz w:val="21"/>
              </w:rPr>
              <w:t>6</w:t>
            </w:r>
          </w:p>
        </w:tc>
        <w:tc>
          <w:tcPr>
            <w:tcW w:type="dxa" w:w="694"/>
          </w:tcPr>
          <w:p>
            <w:pPr>
              <w:spacing w:after="0"/>
              <w:jc w:val="left"/>
            </w:pPr>
            <w:r/>
            <w:r>
              <w:rPr>
                <w:rFonts w:ascii="Times New Roman" w:hAnsi="Times New Roman"/>
                <w:sz w:val="21"/>
              </w:rPr>
              <w:t>15</w:t>
            </w:r>
          </w:p>
        </w:tc>
        <w:tc>
          <w:tcPr>
            <w:tcW w:type="dxa" w:w="694"/>
          </w:tcPr>
          <w:p>
            <w:pPr>
              <w:spacing w:after="0"/>
              <w:jc w:val="left"/>
            </w:pPr>
            <w:r/>
            <w:r>
              <w:rPr>
                <w:rFonts w:ascii="Times New Roman" w:hAnsi="Times New Roman"/>
                <w:sz w:val="21"/>
              </w:rPr>
              <w:t>23</w:t>
            </w:r>
          </w:p>
        </w:tc>
        <w:tc>
          <w:tcPr>
            <w:tcW w:type="dxa" w:w="694"/>
          </w:tcPr>
          <w:p>
            <w:pPr>
              <w:spacing w:after="0"/>
              <w:jc w:val="left"/>
            </w:pPr>
            <w:r/>
            <w:r>
              <w:rPr>
                <w:rFonts w:ascii="Times New Roman" w:hAnsi="Times New Roman"/>
                <w:sz w:val="21"/>
              </w:rPr>
              <w:t>9</w:t>
            </w:r>
          </w:p>
        </w:tc>
        <w:tc>
          <w:tcPr>
            <w:tcW w:type="dxa" w:w="694"/>
          </w:tcPr>
          <w:p>
            <w:pPr>
              <w:spacing w:after="0"/>
              <w:jc w:val="left"/>
            </w:pPr>
            <w:r/>
            <w:r>
              <w:rPr>
                <w:rFonts w:ascii="Times New Roman" w:hAnsi="Times New Roman"/>
                <w:sz w:val="21"/>
              </w:rPr>
              <w:t>0.96</w:t>
            </w:r>
          </w:p>
        </w:tc>
      </w:tr>
      <w:tr>
        <w:tc>
          <w:tcPr>
            <w:tcW w:type="dxa" w:w="694"/>
          </w:tcPr>
          <w:p>
            <w:pPr>
              <w:spacing w:after="0"/>
              <w:jc w:val="left"/>
            </w:pPr>
            <w:r/>
            <w:r>
              <w:rPr>
                <w:rFonts w:ascii="Times New Roman" w:hAnsi="Times New Roman"/>
                <w:sz w:val="21"/>
              </w:rPr>
              <w:t>latitude (degrees)</w:t>
            </w:r>
          </w:p>
        </w:tc>
        <w:tc>
          <w:tcPr>
            <w:tcW w:type="dxa" w:w="694"/>
          </w:tcPr>
          <w:p>
            <w:pPr>
              <w:spacing w:after="0"/>
              <w:jc w:val="left"/>
            </w:pPr>
            <w:r/>
            <w:r>
              <w:rPr>
                <w:rFonts w:ascii="Times New Roman" w:hAnsi="Times New Roman"/>
                <w:sz w:val="21"/>
              </w:rPr>
              <w:t>0.2</w:t>
            </w:r>
          </w:p>
        </w:tc>
        <w:tc>
          <w:tcPr>
            <w:tcW w:type="dxa" w:w="694"/>
          </w:tcPr>
          <w:p>
            <w:pPr>
              <w:spacing w:after="0"/>
              <w:jc w:val="left"/>
            </w:pPr>
            <w:r/>
            <w:r>
              <w:rPr>
                <w:rFonts w:ascii="Times New Roman" w:hAnsi="Times New Roman"/>
                <w:sz w:val="21"/>
              </w:rPr>
              <w:t>38.4</w:t>
            </w:r>
          </w:p>
        </w:tc>
        <w:tc>
          <w:tcPr>
            <w:tcW w:type="dxa" w:w="694"/>
          </w:tcPr>
          <w:p>
            <w:pPr>
              <w:spacing w:after="0"/>
              <w:jc w:val="left"/>
            </w:pPr>
            <w:r/>
            <w:r>
              <w:rPr>
                <w:rFonts w:ascii="Times New Roman" w:hAnsi="Times New Roman"/>
                <w:sz w:val="21"/>
              </w:rPr>
              <w:t>38.2</w:t>
            </w:r>
          </w:p>
        </w:tc>
        <w:tc>
          <w:tcPr>
            <w:tcW w:type="dxa" w:w="694"/>
          </w:tcPr>
          <w:p>
            <w:pPr>
              <w:spacing w:after="0"/>
              <w:jc w:val="left"/>
            </w:pPr>
            <w:r/>
            <w:r>
              <w:rPr>
                <w:rFonts w:ascii="Times New Roman" w:hAnsi="Times New Roman"/>
                <w:sz w:val="21"/>
              </w:rPr>
              <w:t>38.2</w:t>
            </w:r>
          </w:p>
        </w:tc>
        <w:tc>
          <w:tcPr>
            <w:tcW w:type="dxa" w:w="694"/>
          </w:tcPr>
          <w:p>
            <w:pPr>
              <w:spacing w:after="0"/>
              <w:jc w:val="left"/>
            </w:pPr>
            <w:r/>
            <w:r>
              <w:rPr>
                <w:rFonts w:ascii="Times New Roman" w:hAnsi="Times New Roman"/>
                <w:sz w:val="21"/>
              </w:rPr>
              <w:t>26.2</w:t>
            </w:r>
          </w:p>
        </w:tc>
        <w:tc>
          <w:tcPr>
            <w:tcW w:type="dxa" w:w="694"/>
          </w:tcPr>
          <w:p>
            <w:pPr>
              <w:spacing w:after="0"/>
              <w:jc w:val="left"/>
            </w:pPr>
            <w:r/>
            <w:r>
              <w:rPr>
                <w:rFonts w:ascii="Times New Roman" w:hAnsi="Times New Roman"/>
                <w:sz w:val="21"/>
              </w:rPr>
              <w:t>5.1</w:t>
            </w:r>
          </w:p>
        </w:tc>
        <w:tc>
          <w:tcPr>
            <w:tcW w:type="dxa" w:w="694"/>
          </w:tcPr>
          <w:p>
            <w:pPr>
              <w:spacing w:after="0"/>
              <w:jc w:val="left"/>
            </w:pPr>
            <w:r/>
            <w:r>
              <w:rPr>
                <w:rFonts w:ascii="Times New Roman" w:hAnsi="Times New Roman"/>
                <w:sz w:val="21"/>
              </w:rPr>
              <w:t>18.0</w:t>
            </w:r>
          </w:p>
        </w:tc>
        <w:tc>
          <w:tcPr>
            <w:tcW w:type="dxa" w:w="694"/>
          </w:tcPr>
          <w:p>
            <w:pPr>
              <w:spacing w:after="0"/>
              <w:jc w:val="left"/>
            </w:pPr>
            <w:r/>
            <w:r>
              <w:rPr>
                <w:rFonts w:ascii="Times New Roman" w:hAnsi="Times New Roman"/>
                <w:sz w:val="21"/>
              </w:rPr>
              <w:t>35.9</w:t>
            </w:r>
          </w:p>
        </w:tc>
        <w:tc>
          <w:tcPr>
            <w:tcW w:type="dxa" w:w="694"/>
          </w:tcPr>
          <w:p>
            <w:pPr>
              <w:spacing w:after="0"/>
              <w:jc w:val="left"/>
            </w:pPr>
            <w:r/>
            <w:r>
              <w:rPr>
                <w:rFonts w:ascii="Times New Roman" w:hAnsi="Times New Roman"/>
                <w:sz w:val="21"/>
              </w:rPr>
              <w:t>40.5</w:t>
            </w:r>
          </w:p>
        </w:tc>
        <w:tc>
          <w:tcPr>
            <w:tcW w:type="dxa" w:w="694"/>
          </w:tcPr>
          <w:p>
            <w:pPr>
              <w:spacing w:after="0"/>
              <w:jc w:val="left"/>
            </w:pPr>
            <w:r/>
            <w:r>
              <w:rPr>
                <w:rFonts w:ascii="Times New Roman" w:hAnsi="Times New Roman"/>
                <w:sz w:val="21"/>
              </w:rPr>
              <w:t>68.0</w:t>
            </w:r>
          </w:p>
        </w:tc>
        <w:tc>
          <w:tcPr>
            <w:tcW w:type="dxa" w:w="694"/>
          </w:tcPr>
          <w:p>
            <w:pPr>
              <w:spacing w:after="0"/>
              <w:jc w:val="left"/>
            </w:pPr>
            <w:r/>
            <w:r>
              <w:rPr>
                <w:rFonts w:ascii="Times New Roman" w:hAnsi="Times New Roman"/>
                <w:sz w:val="21"/>
              </w:rPr>
              <w:t>4.6</w:t>
            </w:r>
          </w:p>
        </w:tc>
        <w:tc>
          <w:tcPr>
            <w:tcW w:type="dxa" w:w="694"/>
          </w:tcPr>
          <w:p>
            <w:pPr>
              <w:spacing w:after="0"/>
              <w:jc w:val="left"/>
            </w:pPr>
            <w:r/>
            <w:r>
              <w:rPr>
                <w:rFonts w:ascii="Times New Roman" w:hAnsi="Times New Roman"/>
                <w:sz w:val="21"/>
              </w:rPr>
              <w:t>0.96</w:t>
            </w:r>
          </w:p>
        </w:tc>
      </w:tr>
      <w:tr>
        <w:tc>
          <w:tcPr>
            <w:tcW w:type="dxa" w:w="694"/>
          </w:tcPr>
          <w:p>
            <w:pPr>
              <w:spacing w:after="0"/>
              <w:jc w:val="left"/>
            </w:pPr>
            <w:r/>
            <w:r>
              <w:rPr>
                <w:rFonts w:ascii="Times New Roman" w:hAnsi="Times New Roman"/>
                <w:sz w:val="21"/>
              </w:rPr>
              <w:t>log1p_prev_hours (log1p of hours)</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12.27</w:t>
            </w:r>
          </w:p>
        </w:tc>
        <w:tc>
          <w:tcPr>
            <w:tcW w:type="dxa" w:w="694"/>
          </w:tcPr>
          <w:p>
            <w:pPr>
              <w:spacing w:after="0"/>
              <w:jc w:val="left"/>
            </w:pPr>
            <w:r/>
            <w:r>
              <w:rPr>
                <w:rFonts w:ascii="Times New Roman" w:hAnsi="Times New Roman"/>
                <w:sz w:val="21"/>
              </w:rPr>
              <w:t>12.42</w:t>
            </w:r>
          </w:p>
        </w:tc>
        <w:tc>
          <w:tcPr>
            <w:tcW w:type="dxa" w:w="694"/>
          </w:tcPr>
          <w:p>
            <w:pPr>
              <w:spacing w:after="0"/>
              <w:jc w:val="left"/>
            </w:pPr>
            <w:r/>
            <w:r>
              <w:rPr>
                <w:rFonts w:ascii="Times New Roman" w:hAnsi="Times New Roman"/>
                <w:sz w:val="21"/>
              </w:rPr>
              <w:t>12.36</w:t>
            </w:r>
          </w:p>
        </w:tc>
        <w:tc>
          <w:tcPr>
            <w:tcW w:type="dxa" w:w="694"/>
          </w:tcPr>
          <w:p>
            <w:pPr>
              <w:spacing w:after="0"/>
              <w:jc w:val="left"/>
            </w:pPr>
            <w:r/>
            <w:r>
              <w:rPr>
                <w:rFonts w:ascii="Times New Roman" w:hAnsi="Times New Roman"/>
                <w:sz w:val="21"/>
              </w:rPr>
              <w:t>2.79</w:t>
            </w:r>
          </w:p>
        </w:tc>
        <w:tc>
          <w:tcPr>
            <w:tcW w:type="dxa" w:w="694"/>
          </w:tcPr>
          <w:p>
            <w:pPr>
              <w:spacing w:after="0"/>
              <w:jc w:val="left"/>
            </w:pPr>
            <w:r/>
            <w:r>
              <w:rPr>
                <w:rFonts w:ascii="Times New Roman" w:hAnsi="Times New Roman"/>
                <w:sz w:val="21"/>
              </w:rPr>
              <w:t>1.67</w:t>
            </w:r>
          </w:p>
        </w:tc>
        <w:tc>
          <w:tcPr>
            <w:tcW w:type="dxa" w:w="694"/>
          </w:tcPr>
          <w:p>
            <w:pPr>
              <w:spacing w:after="0"/>
              <w:jc w:val="left"/>
            </w:pPr>
            <w:r/>
            <w:r>
              <w:rPr>
                <w:rFonts w:ascii="Times New Roman" w:hAnsi="Times New Roman"/>
                <w:sz w:val="21"/>
              </w:rPr>
              <w:t>0.69</w:t>
            </w:r>
          </w:p>
        </w:tc>
        <w:tc>
          <w:tcPr>
            <w:tcW w:type="dxa" w:w="694"/>
          </w:tcPr>
          <w:p>
            <w:pPr>
              <w:spacing w:after="0"/>
              <w:jc w:val="left"/>
            </w:pPr>
            <w:r/>
            <w:r>
              <w:rPr>
                <w:rFonts w:ascii="Times New Roman" w:hAnsi="Times New Roman"/>
                <w:sz w:val="21"/>
              </w:rPr>
              <w:t>11.15</w:t>
            </w:r>
          </w:p>
        </w:tc>
        <w:tc>
          <w:tcPr>
            <w:tcW w:type="dxa" w:w="694"/>
          </w:tcPr>
          <w:p>
            <w:pPr>
              <w:spacing w:after="0"/>
              <w:jc w:val="left"/>
            </w:pPr>
            <w:r/>
            <w:r>
              <w:rPr>
                <w:rFonts w:ascii="Times New Roman" w:hAnsi="Times New Roman"/>
                <w:sz w:val="21"/>
              </w:rPr>
              <w:t>13.63</w:t>
            </w:r>
          </w:p>
        </w:tc>
        <w:tc>
          <w:tcPr>
            <w:tcW w:type="dxa" w:w="694"/>
          </w:tcPr>
          <w:p>
            <w:pPr>
              <w:spacing w:after="0"/>
              <w:jc w:val="left"/>
            </w:pPr>
            <w:r/>
            <w:r>
              <w:rPr>
                <w:rFonts w:ascii="Times New Roman" w:hAnsi="Times New Roman"/>
                <w:sz w:val="21"/>
              </w:rPr>
              <w:t>15.86</w:t>
            </w:r>
          </w:p>
        </w:tc>
        <w:tc>
          <w:tcPr>
            <w:tcW w:type="dxa" w:w="694"/>
          </w:tcPr>
          <w:p>
            <w:pPr>
              <w:spacing w:after="0"/>
              <w:jc w:val="left"/>
            </w:pPr>
            <w:r/>
            <w:r>
              <w:rPr>
                <w:rFonts w:ascii="Times New Roman" w:hAnsi="Times New Roman"/>
                <w:sz w:val="21"/>
              </w:rPr>
              <w:t>2.48</w:t>
            </w:r>
          </w:p>
        </w:tc>
        <w:tc>
          <w:tcPr>
            <w:tcW w:type="dxa" w:w="694"/>
          </w:tcPr>
          <w:p>
            <w:pPr>
              <w:spacing w:after="0"/>
              <w:jc w:val="left"/>
            </w:pPr>
            <w:r/>
            <w:r>
              <w:rPr>
                <w:rFonts w:ascii="Times New Roman" w:hAnsi="Times New Roman"/>
                <w:sz w:val="21"/>
              </w:rPr>
              <w:t>-0.55</w:t>
            </w:r>
          </w:p>
        </w:tc>
      </w:tr>
      <w:tr>
        <w:tc>
          <w:tcPr>
            <w:tcW w:type="dxa" w:w="694"/>
          </w:tcPr>
          <w:p>
            <w:pPr>
              <w:spacing w:after="0"/>
              <w:jc w:val="left"/>
            </w:pPr>
            <w:r/>
            <w:r>
              <w:rPr>
                <w:rFonts w:ascii="Times New Roman" w:hAnsi="Times New Roman"/>
                <w:sz w:val="21"/>
              </w:rPr>
              <w:t>prev_hours_per_employee (hours per person)</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2,140.9</w:t>
            </w:r>
          </w:p>
        </w:tc>
        <w:tc>
          <w:tcPr>
            <w:tcW w:type="dxa" w:w="694"/>
          </w:tcPr>
          <w:p>
            <w:pPr>
              <w:spacing w:after="0"/>
              <w:jc w:val="left"/>
            </w:pPr>
            <w:r/>
            <w:r>
              <w:rPr>
                <w:rFonts w:ascii="Times New Roman" w:hAnsi="Times New Roman"/>
                <w:sz w:val="21"/>
              </w:rPr>
              <w:t>2,171.3</w:t>
            </w:r>
          </w:p>
        </w:tc>
        <w:tc>
          <w:tcPr>
            <w:tcW w:type="dxa" w:w="694"/>
          </w:tcPr>
          <w:p>
            <w:pPr>
              <w:spacing w:after="0"/>
              <w:jc w:val="left"/>
            </w:pPr>
            <w:r/>
            <w:r>
              <w:rPr>
                <w:rFonts w:ascii="Times New Roman" w:hAnsi="Times New Roman"/>
                <w:sz w:val="21"/>
              </w:rPr>
              <w:t>2,171.4</w:t>
            </w:r>
          </w:p>
        </w:tc>
        <w:tc>
          <w:tcPr>
            <w:tcW w:type="dxa" w:w="694"/>
          </w:tcPr>
          <w:p>
            <w:pPr>
              <w:spacing w:after="0"/>
              <w:jc w:val="left"/>
            </w:pPr>
            <w:r/>
            <w:r>
              <w:rPr>
                <w:rFonts w:ascii="Times New Roman" w:hAnsi="Times New Roman"/>
                <w:sz w:val="21"/>
              </w:rPr>
              <w:t>171,488</w:t>
            </w:r>
          </w:p>
        </w:tc>
        <w:tc>
          <w:tcPr>
            <w:tcW w:type="dxa" w:w="694"/>
          </w:tcPr>
          <w:p>
            <w:pPr>
              <w:spacing w:after="0"/>
              <w:jc w:val="left"/>
            </w:pPr>
            <w:r/>
            <w:r>
              <w:rPr>
                <w:rFonts w:ascii="Times New Roman" w:hAnsi="Times New Roman"/>
                <w:sz w:val="21"/>
              </w:rPr>
              <w:t>414.1</w:t>
            </w:r>
          </w:p>
        </w:tc>
        <w:tc>
          <w:tcPr>
            <w:tcW w:type="dxa" w:w="694"/>
          </w:tcPr>
          <w:p>
            <w:pPr>
              <w:spacing w:after="0"/>
              <w:jc w:val="left"/>
            </w:pPr>
            <w:r/>
            <w:r>
              <w:rPr>
                <w:rFonts w:ascii="Times New Roman" w:hAnsi="Times New Roman"/>
                <w:sz w:val="21"/>
              </w:rPr>
              <w:t>1.0</w:t>
            </w:r>
          </w:p>
        </w:tc>
        <w:tc>
          <w:tcPr>
            <w:tcW w:type="dxa" w:w="694"/>
          </w:tcPr>
          <w:p>
            <w:pPr>
              <w:spacing w:after="0"/>
              <w:jc w:val="left"/>
            </w:pPr>
            <w:r/>
            <w:r>
              <w:rPr>
                <w:rFonts w:ascii="Times New Roman" w:hAnsi="Times New Roman"/>
                <w:sz w:val="21"/>
              </w:rPr>
              <w:t>1,986.9</w:t>
            </w:r>
          </w:p>
        </w:tc>
        <w:tc>
          <w:tcPr>
            <w:tcW w:type="dxa" w:w="694"/>
          </w:tcPr>
          <w:p>
            <w:pPr>
              <w:spacing w:after="0"/>
              <w:jc w:val="left"/>
            </w:pPr>
            <w:r/>
            <w:r>
              <w:rPr>
                <w:rFonts w:ascii="Times New Roman" w:hAnsi="Times New Roman"/>
                <w:sz w:val="21"/>
              </w:rPr>
              <w:t>2,364.2</w:t>
            </w:r>
          </w:p>
        </w:tc>
        <w:tc>
          <w:tcPr>
            <w:tcW w:type="dxa" w:w="694"/>
          </w:tcPr>
          <w:p>
            <w:pPr>
              <w:spacing w:after="0"/>
              <w:jc w:val="left"/>
            </w:pPr>
            <w:r/>
            <w:r>
              <w:rPr>
                <w:rFonts w:ascii="Times New Roman" w:hAnsi="Times New Roman"/>
                <w:sz w:val="21"/>
              </w:rPr>
              <w:t>4,786.7</w:t>
            </w:r>
          </w:p>
        </w:tc>
        <w:tc>
          <w:tcPr>
            <w:tcW w:type="dxa" w:w="694"/>
          </w:tcPr>
          <w:p>
            <w:pPr>
              <w:spacing w:after="0"/>
              <w:jc w:val="left"/>
            </w:pPr>
            <w:r/>
            <w:r>
              <w:rPr>
                <w:rFonts w:ascii="Times New Roman" w:hAnsi="Times New Roman"/>
                <w:sz w:val="21"/>
              </w:rPr>
              <w:t>377.2</w:t>
            </w:r>
          </w:p>
        </w:tc>
        <w:tc>
          <w:tcPr>
            <w:tcW w:type="dxa" w:w="694"/>
          </w:tcPr>
          <w:p>
            <w:pPr>
              <w:spacing w:after="0"/>
              <w:jc w:val="left"/>
            </w:pPr>
            <w:r/>
            <w:r>
              <w:rPr>
                <w:rFonts w:ascii="Times New Roman" w:hAnsi="Times New Roman"/>
                <w:sz w:val="21"/>
              </w:rPr>
              <w:t>-1.19</w:t>
            </w:r>
          </w:p>
        </w:tc>
      </w:tr>
      <w:tr>
        <w:tc>
          <w:tcPr>
            <w:tcW w:type="dxa" w:w="694"/>
          </w:tcPr>
          <w:p>
            <w:pPr>
              <w:spacing w:after="0"/>
              <w:jc w:val="left"/>
            </w:pPr>
            <w:r/>
            <w:r>
              <w:rPr>
                <w:rFonts w:ascii="Times New Roman" w:hAnsi="Times New Roman"/>
                <w:sz w:val="21"/>
              </w:rPr>
              <w:t>prev_incident_rate_200k (log1p)</w:t>
            </w:r>
          </w:p>
        </w:tc>
        <w:tc>
          <w:tcPr>
            <w:tcW w:type="dxa" w:w="694"/>
          </w:tcPr>
          <w:p>
            <w:pPr>
              <w:spacing w:after="0"/>
              <w:jc w:val="left"/>
            </w:pPr>
            <w:r/>
            <w:r>
              <w:rPr>
                <w:rFonts w:ascii="Times New Roman" w:hAnsi="Times New Roman"/>
                <w:sz w:val="21"/>
              </w:rPr>
              <w:t>1.2</w:t>
            </w:r>
          </w:p>
        </w:tc>
        <w:tc>
          <w:tcPr>
            <w:tcW w:type="dxa" w:w="694"/>
          </w:tcPr>
          <w:p>
            <w:pPr>
              <w:spacing w:after="0"/>
              <w:jc w:val="left"/>
            </w:pPr>
            <w:r/>
            <w:r>
              <w:rPr>
                <w:rFonts w:ascii="Times New Roman" w:hAnsi="Times New Roman"/>
                <w:sz w:val="21"/>
              </w:rPr>
              <w:t>1.51</w:t>
            </w:r>
          </w:p>
        </w:tc>
        <w:tc>
          <w:tcPr>
            <w:tcW w:type="dxa" w:w="694"/>
          </w:tcPr>
          <w:p>
            <w:pPr>
              <w:spacing w:after="0"/>
              <w:jc w:val="left"/>
            </w:pPr>
            <w:r/>
            <w:r>
              <w:rPr>
                <w:rFonts w:ascii="Times New Roman" w:hAnsi="Times New Roman"/>
                <w:sz w:val="21"/>
              </w:rPr>
              <w:t>1.66</w:t>
            </w:r>
          </w:p>
        </w:tc>
        <w:tc>
          <w:tcPr>
            <w:tcW w:type="dxa" w:w="694"/>
          </w:tcPr>
          <w:p>
            <w:pPr>
              <w:spacing w:after="0"/>
              <w:jc w:val="left"/>
            </w:pPr>
            <w:r/>
            <w:r>
              <w:rPr>
                <w:rFonts w:ascii="Times New Roman" w:hAnsi="Times New Roman"/>
                <w:sz w:val="21"/>
              </w:rPr>
              <w:t>1.53</w:t>
            </w:r>
          </w:p>
        </w:tc>
        <w:tc>
          <w:tcPr>
            <w:tcW w:type="dxa" w:w="694"/>
          </w:tcPr>
          <w:p>
            <w:pPr>
              <w:spacing w:after="0"/>
              <w:jc w:val="left"/>
            </w:pPr>
            <w:r/>
            <w:r>
              <w:rPr>
                <w:rFonts w:ascii="Times New Roman" w:hAnsi="Times New Roman"/>
                <w:sz w:val="21"/>
              </w:rPr>
              <w:t>0.83</w:t>
            </w:r>
          </w:p>
        </w:tc>
        <w:tc>
          <w:tcPr>
            <w:tcW w:type="dxa" w:w="694"/>
          </w:tcPr>
          <w:p>
            <w:pPr>
              <w:spacing w:after="0"/>
              <w:jc w:val="left"/>
            </w:pPr>
            <w:r/>
            <w:r>
              <w:rPr>
                <w:rFonts w:ascii="Times New Roman" w:hAnsi="Times New Roman"/>
                <w:sz w:val="21"/>
              </w:rPr>
              <w:t>0.91</w:t>
            </w:r>
          </w:p>
        </w:tc>
        <w:tc>
          <w:tcPr>
            <w:tcW w:type="dxa" w:w="694"/>
          </w:tcPr>
          <w:p>
            <w:pPr>
              <w:spacing w:after="0"/>
              <w:jc w:val="left"/>
            </w:pPr>
            <w:r/>
            <w:r>
              <w:rPr>
                <w:rFonts w:ascii="Times New Roman" w:hAnsi="Times New Roman"/>
                <w:sz w:val="21"/>
              </w:rPr>
              <w:t>0.00</w:t>
            </w:r>
          </w:p>
        </w:tc>
        <w:tc>
          <w:tcPr>
            <w:tcW w:type="dxa" w:w="694"/>
          </w:tcPr>
          <w:p>
            <w:pPr>
              <w:spacing w:after="0"/>
              <w:jc w:val="left"/>
            </w:pPr>
            <w:r/>
            <w:r>
              <w:rPr>
                <w:rFonts w:ascii="Times New Roman" w:hAnsi="Times New Roman"/>
                <w:sz w:val="21"/>
              </w:rPr>
              <w:t>0.97</w:t>
            </w:r>
          </w:p>
        </w:tc>
        <w:tc>
          <w:tcPr>
            <w:tcW w:type="dxa" w:w="694"/>
          </w:tcPr>
          <w:p>
            <w:pPr>
              <w:spacing w:after="0"/>
              <w:jc w:val="left"/>
            </w:pPr>
            <w:r/>
            <w:r>
              <w:rPr>
                <w:rFonts w:ascii="Times New Roman" w:hAnsi="Times New Roman"/>
                <w:sz w:val="21"/>
              </w:rPr>
              <w:t>2.18</w:t>
            </w:r>
          </w:p>
        </w:tc>
        <w:tc>
          <w:tcPr>
            <w:tcW w:type="dxa" w:w="694"/>
          </w:tcPr>
          <w:p>
            <w:pPr>
              <w:spacing w:after="0"/>
              <w:jc w:val="left"/>
            </w:pPr>
            <w:r/>
            <w:r>
              <w:rPr>
                <w:rFonts w:ascii="Times New Roman" w:hAnsi="Times New Roman"/>
                <w:sz w:val="21"/>
              </w:rPr>
              <w:t>3.93</w:t>
            </w:r>
          </w:p>
        </w:tc>
        <w:tc>
          <w:tcPr>
            <w:tcW w:type="dxa" w:w="694"/>
          </w:tcPr>
          <w:p>
            <w:pPr>
              <w:spacing w:after="0"/>
              <w:jc w:val="left"/>
            </w:pPr>
            <w:r/>
            <w:r>
              <w:rPr>
                <w:rFonts w:ascii="Times New Roman" w:hAnsi="Times New Roman"/>
                <w:sz w:val="21"/>
              </w:rPr>
              <w:t>1.20</w:t>
            </w:r>
          </w:p>
        </w:tc>
        <w:tc>
          <w:tcPr>
            <w:tcW w:type="dxa" w:w="694"/>
          </w:tcPr>
          <w:p>
            <w:pPr>
              <w:spacing w:after="0"/>
              <w:jc w:val="left"/>
            </w:pPr>
            <w:r/>
            <w:r>
              <w:rPr>
                <w:rFonts w:ascii="Times New Roman" w:hAnsi="Times New Roman"/>
                <w:sz w:val="21"/>
              </w:rPr>
              <w:t>-0.27</w:t>
            </w:r>
          </w:p>
        </w:tc>
      </w:tr>
    </w:tbl>
    <w:p>
      <w:pPr>
        <w:spacing w:after="80"/>
      </w:pPr>
    </w:p>
    <w:p>
      <w:r>
        <w:br w:type="page"/>
      </w:r>
    </w:p>
    <w:p>
      <w:pPr>
        <w:pStyle w:val="Heading1"/>
      </w:pPr>
      <w:r>
        <w:rPr>
          <w:rFonts w:ascii="Times New Roman" w:hAnsi="Times New Roman"/>
          <w:b/>
          <w:color w:val="000000"/>
          <w:sz w:val="32"/>
        </w:rPr>
        <w:t>Appendix B Model explanations</w:t>
      </w:r>
    </w:p>
    <w:p>
      <w:r>
        <w:rPr>
          <w:rFonts w:ascii="Times New Roman" w:hAnsi="Times New Roman"/>
          <w:sz w:val="24"/>
        </w:rPr>
        <w:t>Table 23 lists the encoded columns with the largest mean absolute SHAP values for HGB, the values that Section 4.5 compares with the logistic coefficients of Figure 19. Cuts and finger or thumb injuries rank first and fourth, and both carry negative logistic coefficients.</w:t>
      </w:r>
    </w:p>
    <w:p>
      <w:pPr>
        <w:pStyle w:val="Caption"/>
        <w:keepNext/>
      </w:pPr>
      <w:r>
        <w:rPr>
          <w:rFonts w:ascii="Times New Roman" w:hAnsi="Times New Roman"/>
          <w:sz w:val="22"/>
        </w:rPr>
        <w:t xml:space="preserve">Table </w:t>
      </w:r>
      <w:r>
        <w:rPr>
          <w:rFonts w:ascii="Times New Roman" w:hAnsi="Times New Roman"/>
          <w:sz w:val="24"/>
        </w:rPr>
        <w:fldChar w:fldCharType="begin" w:dirty="true"/>
        <w:instrText xml:space="preserve"> SEQ Table \* ARABIC </w:instrText>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2"/>
        </w:rPr>
        <w:t xml:space="preserve">. </w:t>
      </w:r>
      <w:r>
        <w:rPr>
          <w:rFonts w:ascii="Times New Roman" w:hAnsi="Times New Roman"/>
          <w:sz w:val="22"/>
        </w:rPr>
        <w:t>Mean absolute SHAP value of the 15 encoded columns with the largest values for HGB, computed by TreeExplainer on 500 seeded test reports in log-odds units, beside the coefficient of the same column in the tuned logistic regression fitted on the training split (numeric inputs standardised); one-hot columns are labelled with their MSHA codebook meaning. Source: author's analysis of MSHA open data.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E7E6E6"/>
          </w:tcPr>
          <w:p>
            <w:pPr>
              <w:jc w:val="left"/>
            </w:pPr>
            <w:r>
              <w:rPr>
                <w:b/>
              </w:rPr>
            </w:r>
            <w:r>
              <w:rPr>
                <w:rFonts w:ascii="Times New Roman" w:hAnsi="Times New Roman"/>
                <w:b/>
                <w:sz w:val="21"/>
              </w:rPr>
              <w:t>Rank</w:t>
            </w:r>
          </w:p>
        </w:tc>
        <w:tc>
          <w:tcPr>
            <w:tcW w:type="dxa" w:w="1805"/>
            <w:shd w:val="clear" w:color="auto" w:fill="E7E6E6"/>
          </w:tcPr>
          <w:p>
            <w:pPr>
              <w:jc w:val="left"/>
            </w:pPr>
            <w:r>
              <w:rPr>
                <w:b/>
              </w:rPr>
            </w:r>
            <w:r>
              <w:rPr>
                <w:rFonts w:ascii="Times New Roman" w:hAnsi="Times New Roman"/>
                <w:b/>
                <w:sz w:val="21"/>
              </w:rPr>
              <w:t>Encoded column</w:t>
            </w:r>
          </w:p>
        </w:tc>
        <w:tc>
          <w:tcPr>
            <w:tcW w:type="dxa" w:w="1805"/>
            <w:shd w:val="clear" w:color="auto" w:fill="E7E6E6"/>
          </w:tcPr>
          <w:p>
            <w:pPr>
              <w:jc w:val="left"/>
            </w:pPr>
            <w:r>
              <w:rPr>
                <w:b/>
              </w:rPr>
            </w:r>
            <w:r>
              <w:rPr>
                <w:rFonts w:ascii="Times New Roman" w:hAnsi="Times New Roman"/>
                <w:b/>
                <w:sz w:val="21"/>
              </w:rPr>
              <w:t>Meaning</w:t>
            </w:r>
          </w:p>
        </w:tc>
        <w:tc>
          <w:tcPr>
            <w:tcW w:type="dxa" w:w="1805"/>
            <w:shd w:val="clear" w:color="auto" w:fill="E7E6E6"/>
          </w:tcPr>
          <w:p>
            <w:pPr>
              <w:jc w:val="left"/>
            </w:pPr>
            <w:r>
              <w:rPr>
                <w:b/>
              </w:rPr>
            </w:r>
            <w:r>
              <w:rPr>
                <w:rFonts w:ascii="Times New Roman" w:hAnsi="Times New Roman"/>
                <w:b/>
                <w:sz w:val="21"/>
              </w:rPr>
              <w:t>Mean absolute SHAP value (log-odds)</w:t>
            </w:r>
          </w:p>
        </w:tc>
        <w:tc>
          <w:tcPr>
            <w:tcW w:type="dxa" w:w="1805"/>
            <w:shd w:val="clear" w:color="auto" w:fill="E7E6E6"/>
          </w:tcPr>
          <w:p>
            <w:pPr>
              <w:jc w:val="left"/>
            </w:pPr>
            <w:r>
              <w:rPr>
                <w:b/>
              </w:rPr>
            </w:r>
            <w:r>
              <w:rPr>
                <w:rFonts w:ascii="Times New Roman" w:hAnsi="Times New Roman"/>
                <w:b/>
                <w:sz w:val="21"/>
              </w:rPr>
              <w:t>Logistic regression coefficient</w:t>
            </w:r>
          </w:p>
        </w:tc>
      </w:tr>
      <w:tr>
        <w:tc>
          <w:tcPr>
            <w:tcW w:type="dxa" w:w="1805"/>
          </w:tcPr>
          <w:p>
            <w:pPr>
              <w:spacing w:after="0"/>
              <w:jc w:val="left"/>
            </w:pPr>
            <w:r/>
            <w:r>
              <w:rPr>
                <w:rFonts w:ascii="Times New Roman" w:hAnsi="Times New Roman"/>
                <w:sz w:val="21"/>
              </w:rPr>
              <w:t>1</w:t>
            </w:r>
          </w:p>
        </w:tc>
        <w:tc>
          <w:tcPr>
            <w:tcW w:type="dxa" w:w="1805"/>
          </w:tcPr>
          <w:p>
            <w:pPr>
              <w:spacing w:after="0"/>
              <w:jc w:val="left"/>
            </w:pPr>
            <w:r/>
            <w:r>
              <w:rPr>
                <w:rFonts w:ascii="Times New Roman" w:hAnsi="Times New Roman"/>
                <w:sz w:val="21"/>
              </w:rPr>
              <w:t>NATURE_INJURY_CD_180</w:t>
            </w:r>
          </w:p>
        </w:tc>
        <w:tc>
          <w:tcPr>
            <w:tcW w:type="dxa" w:w="1805"/>
          </w:tcPr>
          <w:p>
            <w:pPr>
              <w:spacing w:after="0"/>
              <w:jc w:val="left"/>
            </w:pPr>
            <w:r/>
            <w:r>
              <w:rPr>
                <w:rFonts w:ascii="Times New Roman" w:hAnsi="Times New Roman"/>
                <w:sz w:val="21"/>
              </w:rPr>
              <w:t>Nature of the injury: cut, lacer, punct-opn wound</w:t>
            </w:r>
          </w:p>
        </w:tc>
        <w:tc>
          <w:tcPr>
            <w:tcW w:type="dxa" w:w="1805"/>
          </w:tcPr>
          <w:p>
            <w:pPr>
              <w:spacing w:after="0"/>
              <w:jc w:val="left"/>
            </w:pPr>
            <w:r/>
            <w:r>
              <w:rPr>
                <w:rFonts w:ascii="Times New Roman" w:hAnsi="Times New Roman"/>
                <w:sz w:val="21"/>
              </w:rPr>
              <w:t>0.575</w:t>
            </w:r>
          </w:p>
        </w:tc>
        <w:tc>
          <w:tcPr>
            <w:tcW w:type="dxa" w:w="1805"/>
          </w:tcPr>
          <w:p>
            <w:pPr>
              <w:spacing w:after="0"/>
              <w:jc w:val="left"/>
            </w:pPr>
            <w:r/>
            <w:r>
              <w:rPr>
                <w:rFonts w:ascii="Times New Roman" w:hAnsi="Times New Roman"/>
                <w:sz w:val="21"/>
              </w:rPr>
              <w:t>-1.555</w:t>
            </w:r>
          </w:p>
        </w:tc>
      </w:tr>
      <w:tr>
        <w:tc>
          <w:tcPr>
            <w:tcW w:type="dxa" w:w="1805"/>
          </w:tcPr>
          <w:p>
            <w:pPr>
              <w:spacing w:after="0"/>
              <w:jc w:val="left"/>
            </w:pPr>
            <w:r/>
            <w:r>
              <w:rPr>
                <w:rFonts w:ascii="Times New Roman" w:hAnsi="Times New Roman"/>
                <w:sz w:val="21"/>
              </w:rPr>
              <w:t>2</w:t>
            </w:r>
          </w:p>
        </w:tc>
        <w:tc>
          <w:tcPr>
            <w:tcW w:type="dxa" w:w="1805"/>
          </w:tcPr>
          <w:p>
            <w:pPr>
              <w:spacing w:after="0"/>
              <w:jc w:val="left"/>
            </w:pPr>
            <w:r/>
            <w:r>
              <w:rPr>
                <w:rFonts w:ascii="Times New Roman" w:hAnsi="Times New Roman"/>
                <w:sz w:val="21"/>
              </w:rPr>
              <w:t>prev_lost_time_share</w:t>
            </w:r>
          </w:p>
        </w:tc>
        <w:tc>
          <w:tcPr>
            <w:tcW w:type="dxa" w:w="1805"/>
          </w:tcPr>
          <w:p>
            <w:pPr>
              <w:spacing w:after="0"/>
              <w:jc w:val="left"/>
            </w:pPr>
            <w:r/>
            <w:r>
              <w:rPr>
                <w:rFonts w:ascii="Times New Roman" w:hAnsi="Times New Roman"/>
                <w:sz w:val="21"/>
              </w:rPr>
              <w:t>Lost-time share of the mine's previous-year cases (ratio)</w:t>
            </w:r>
          </w:p>
        </w:tc>
        <w:tc>
          <w:tcPr>
            <w:tcW w:type="dxa" w:w="1805"/>
          </w:tcPr>
          <w:p>
            <w:pPr>
              <w:spacing w:after="0"/>
              <w:jc w:val="left"/>
            </w:pPr>
            <w:r/>
            <w:r>
              <w:rPr>
                <w:rFonts w:ascii="Times New Roman" w:hAnsi="Times New Roman"/>
                <w:sz w:val="21"/>
              </w:rPr>
              <w:t>0.365</w:t>
            </w:r>
          </w:p>
        </w:tc>
        <w:tc>
          <w:tcPr>
            <w:tcW w:type="dxa" w:w="1805"/>
          </w:tcPr>
          <w:p>
            <w:pPr>
              <w:spacing w:after="0"/>
              <w:jc w:val="left"/>
            </w:pPr>
            <w:r/>
            <w:r>
              <w:rPr>
                <w:rFonts w:ascii="Times New Roman" w:hAnsi="Times New Roman"/>
                <w:sz w:val="21"/>
              </w:rPr>
              <w:t>0.356</w:t>
            </w:r>
          </w:p>
        </w:tc>
      </w:tr>
      <w:tr>
        <w:tc>
          <w:tcPr>
            <w:tcW w:type="dxa" w:w="1805"/>
          </w:tcPr>
          <w:p>
            <w:pPr>
              <w:spacing w:after="0"/>
              <w:jc w:val="left"/>
            </w:pPr>
            <w:r/>
            <w:r>
              <w:rPr>
                <w:rFonts w:ascii="Times New Roman" w:hAnsi="Times New Roman"/>
                <w:sz w:val="21"/>
              </w:rPr>
              <w:t>3</w:t>
            </w:r>
          </w:p>
        </w:tc>
        <w:tc>
          <w:tcPr>
            <w:tcW w:type="dxa" w:w="1805"/>
          </w:tcPr>
          <w:p>
            <w:pPr>
              <w:spacing w:after="0"/>
              <w:jc w:val="left"/>
            </w:pPr>
            <w:r/>
            <w:r>
              <w:rPr>
                <w:rFonts w:ascii="Times New Roman" w:hAnsi="Times New Roman"/>
                <w:sz w:val="21"/>
              </w:rPr>
              <w:t>COAL_METAL_IND_C</w:t>
            </w:r>
          </w:p>
        </w:tc>
        <w:tc>
          <w:tcPr>
            <w:tcW w:type="dxa" w:w="1805"/>
          </w:tcPr>
          <w:p>
            <w:pPr>
              <w:spacing w:after="0"/>
              <w:jc w:val="left"/>
            </w:pPr>
            <w:r/>
            <w:r>
              <w:rPr>
                <w:rFonts w:ascii="Times New Roman" w:hAnsi="Times New Roman"/>
                <w:sz w:val="21"/>
              </w:rPr>
              <w:t>Sector (coal or metal/non-metal): coal</w:t>
            </w:r>
          </w:p>
        </w:tc>
        <w:tc>
          <w:tcPr>
            <w:tcW w:type="dxa" w:w="1805"/>
          </w:tcPr>
          <w:p>
            <w:pPr>
              <w:spacing w:after="0"/>
              <w:jc w:val="left"/>
            </w:pPr>
            <w:r/>
            <w:r>
              <w:rPr>
                <w:rFonts w:ascii="Times New Roman" w:hAnsi="Times New Roman"/>
                <w:sz w:val="21"/>
              </w:rPr>
              <w:t>0.350</w:t>
            </w:r>
          </w:p>
        </w:tc>
        <w:tc>
          <w:tcPr>
            <w:tcW w:type="dxa" w:w="1805"/>
          </w:tcPr>
          <w:p>
            <w:pPr>
              <w:spacing w:after="0"/>
              <w:jc w:val="left"/>
            </w:pPr>
            <w:r/>
            <w:r>
              <w:rPr>
                <w:rFonts w:ascii="Times New Roman" w:hAnsi="Times New Roman"/>
                <w:sz w:val="21"/>
              </w:rPr>
              <w:t>0.258</w:t>
            </w:r>
          </w:p>
        </w:tc>
      </w:tr>
      <w:tr>
        <w:tc>
          <w:tcPr>
            <w:tcW w:type="dxa" w:w="1805"/>
          </w:tcPr>
          <w:p>
            <w:pPr>
              <w:spacing w:after="0"/>
              <w:jc w:val="left"/>
            </w:pPr>
            <w:r/>
            <w:r>
              <w:rPr>
                <w:rFonts w:ascii="Times New Roman" w:hAnsi="Times New Roman"/>
                <w:sz w:val="21"/>
              </w:rPr>
              <w:t>4</w:t>
            </w:r>
          </w:p>
        </w:tc>
        <w:tc>
          <w:tcPr>
            <w:tcW w:type="dxa" w:w="1805"/>
          </w:tcPr>
          <w:p>
            <w:pPr>
              <w:spacing w:after="0"/>
              <w:jc w:val="left"/>
            </w:pPr>
            <w:r/>
            <w:r>
              <w:rPr>
                <w:rFonts w:ascii="Times New Roman" w:hAnsi="Times New Roman"/>
                <w:sz w:val="21"/>
              </w:rPr>
              <w:t>INJ_BODY_PART_CD_340</w:t>
            </w:r>
          </w:p>
        </w:tc>
        <w:tc>
          <w:tcPr>
            <w:tcW w:type="dxa" w:w="1805"/>
          </w:tcPr>
          <w:p>
            <w:pPr>
              <w:spacing w:after="0"/>
              <w:jc w:val="left"/>
            </w:pPr>
            <w:r/>
            <w:r>
              <w:rPr>
                <w:rFonts w:ascii="Times New Roman" w:hAnsi="Times New Roman"/>
                <w:sz w:val="21"/>
              </w:rPr>
              <w:t>Body part injured: finger(s)/thumb</w:t>
            </w:r>
          </w:p>
        </w:tc>
        <w:tc>
          <w:tcPr>
            <w:tcW w:type="dxa" w:w="1805"/>
          </w:tcPr>
          <w:p>
            <w:pPr>
              <w:spacing w:after="0"/>
              <w:jc w:val="left"/>
            </w:pPr>
            <w:r/>
            <w:r>
              <w:rPr>
                <w:rFonts w:ascii="Times New Roman" w:hAnsi="Times New Roman"/>
                <w:sz w:val="21"/>
              </w:rPr>
              <w:t>0.206</w:t>
            </w:r>
          </w:p>
        </w:tc>
        <w:tc>
          <w:tcPr>
            <w:tcW w:type="dxa" w:w="1805"/>
          </w:tcPr>
          <w:p>
            <w:pPr>
              <w:spacing w:after="0"/>
              <w:jc w:val="left"/>
            </w:pPr>
            <w:r/>
            <w:r>
              <w:rPr>
                <w:rFonts w:ascii="Times New Roman" w:hAnsi="Times New Roman"/>
                <w:sz w:val="21"/>
              </w:rPr>
              <w:t>-0.882</w:t>
            </w:r>
          </w:p>
        </w:tc>
      </w:tr>
      <w:tr>
        <w:tc>
          <w:tcPr>
            <w:tcW w:type="dxa" w:w="1805"/>
          </w:tcPr>
          <w:p>
            <w:pPr>
              <w:spacing w:after="0"/>
              <w:jc w:val="left"/>
            </w:pPr>
            <w:r/>
            <w:r>
              <w:rPr>
                <w:rFonts w:ascii="Times New Roman" w:hAnsi="Times New Roman"/>
                <w:sz w:val="21"/>
              </w:rPr>
              <w:t>5</w:t>
            </w:r>
          </w:p>
        </w:tc>
        <w:tc>
          <w:tcPr>
            <w:tcW w:type="dxa" w:w="1805"/>
          </w:tcPr>
          <w:p>
            <w:pPr>
              <w:spacing w:after="0"/>
              <w:jc w:val="left"/>
            </w:pPr>
            <w:r/>
            <w:r>
              <w:rPr>
                <w:rFonts w:ascii="Times New Roman" w:hAnsi="Times New Roman"/>
                <w:sz w:val="21"/>
              </w:rPr>
              <w:t>longitude</w:t>
            </w:r>
          </w:p>
        </w:tc>
        <w:tc>
          <w:tcPr>
            <w:tcW w:type="dxa" w:w="1805"/>
          </w:tcPr>
          <w:p>
            <w:pPr>
              <w:spacing w:after="0"/>
              <w:jc w:val="left"/>
            </w:pPr>
            <w:r/>
            <w:r>
              <w:rPr>
                <w:rFonts w:ascii="Times New Roman" w:hAnsi="Times New Roman"/>
                <w:sz w:val="21"/>
              </w:rPr>
              <w:t>Longitude (degrees east)</w:t>
            </w:r>
          </w:p>
        </w:tc>
        <w:tc>
          <w:tcPr>
            <w:tcW w:type="dxa" w:w="1805"/>
          </w:tcPr>
          <w:p>
            <w:pPr>
              <w:spacing w:after="0"/>
              <w:jc w:val="left"/>
            </w:pPr>
            <w:r/>
            <w:r>
              <w:rPr>
                <w:rFonts w:ascii="Times New Roman" w:hAnsi="Times New Roman"/>
                <w:sz w:val="21"/>
              </w:rPr>
              <w:t>0.082</w:t>
            </w:r>
          </w:p>
        </w:tc>
        <w:tc>
          <w:tcPr>
            <w:tcW w:type="dxa" w:w="1805"/>
          </w:tcPr>
          <w:p>
            <w:pPr>
              <w:spacing w:after="0"/>
              <w:jc w:val="left"/>
            </w:pPr>
            <w:r/>
            <w:r>
              <w:rPr>
                <w:rFonts w:ascii="Times New Roman" w:hAnsi="Times New Roman"/>
                <w:sz w:val="21"/>
              </w:rPr>
              <w:t>0.103</w:t>
            </w:r>
          </w:p>
        </w:tc>
      </w:tr>
      <w:tr>
        <w:tc>
          <w:tcPr>
            <w:tcW w:type="dxa" w:w="1805"/>
          </w:tcPr>
          <w:p>
            <w:pPr>
              <w:spacing w:after="0"/>
              <w:jc w:val="left"/>
            </w:pPr>
            <w:r/>
            <w:r>
              <w:rPr>
                <w:rFonts w:ascii="Times New Roman" w:hAnsi="Times New Roman"/>
                <w:sz w:val="21"/>
              </w:rPr>
              <w:t>6</w:t>
            </w:r>
          </w:p>
        </w:tc>
        <w:tc>
          <w:tcPr>
            <w:tcW w:type="dxa" w:w="1805"/>
          </w:tcPr>
          <w:p>
            <w:pPr>
              <w:spacing w:after="0"/>
              <w:jc w:val="left"/>
            </w:pPr>
            <w:r/>
            <w:r>
              <w:rPr>
                <w:rFonts w:ascii="Times New Roman" w:hAnsi="Times New Roman"/>
                <w:sz w:val="21"/>
              </w:rPr>
              <w:t>NATURE_INJURY_CD_100</w:t>
            </w:r>
          </w:p>
        </w:tc>
        <w:tc>
          <w:tcPr>
            <w:tcW w:type="dxa" w:w="1805"/>
          </w:tcPr>
          <w:p>
            <w:pPr>
              <w:spacing w:after="0"/>
              <w:jc w:val="left"/>
            </w:pPr>
            <w:r/>
            <w:r>
              <w:rPr>
                <w:rFonts w:ascii="Times New Roman" w:hAnsi="Times New Roman"/>
                <w:sz w:val="21"/>
              </w:rPr>
              <w:t>Nature of the injury: amputation or enucleation</w:t>
            </w:r>
          </w:p>
        </w:tc>
        <w:tc>
          <w:tcPr>
            <w:tcW w:type="dxa" w:w="1805"/>
          </w:tcPr>
          <w:p>
            <w:pPr>
              <w:spacing w:after="0"/>
              <w:jc w:val="left"/>
            </w:pPr>
            <w:r/>
            <w:r>
              <w:rPr>
                <w:rFonts w:ascii="Times New Roman" w:hAnsi="Times New Roman"/>
                <w:sz w:val="21"/>
              </w:rPr>
              <w:t>0.073</w:t>
            </w:r>
          </w:p>
        </w:tc>
        <w:tc>
          <w:tcPr>
            <w:tcW w:type="dxa" w:w="1805"/>
          </w:tcPr>
          <w:p>
            <w:pPr>
              <w:spacing w:after="0"/>
              <w:jc w:val="left"/>
            </w:pPr>
            <w:r/>
            <w:r>
              <w:rPr>
                <w:rFonts w:ascii="Times New Roman" w:hAnsi="Times New Roman"/>
                <w:sz w:val="21"/>
              </w:rPr>
              <w:t>5.605</w:t>
            </w:r>
          </w:p>
        </w:tc>
      </w:tr>
      <w:tr>
        <w:tc>
          <w:tcPr>
            <w:tcW w:type="dxa" w:w="1805"/>
          </w:tcPr>
          <w:p>
            <w:pPr>
              <w:spacing w:after="0"/>
              <w:jc w:val="left"/>
            </w:pPr>
            <w:r/>
            <w:r>
              <w:rPr>
                <w:rFonts w:ascii="Times New Roman" w:hAnsi="Times New Roman"/>
                <w:sz w:val="21"/>
              </w:rPr>
              <w:t>7</w:t>
            </w:r>
          </w:p>
        </w:tc>
        <w:tc>
          <w:tcPr>
            <w:tcW w:type="dxa" w:w="1805"/>
          </w:tcPr>
          <w:p>
            <w:pPr>
              <w:spacing w:after="0"/>
              <w:jc w:val="left"/>
            </w:pPr>
            <w:r/>
            <w:r>
              <w:rPr>
                <w:rFonts w:ascii="Times New Roman" w:hAnsi="Times New Roman"/>
                <w:sz w:val="21"/>
              </w:rPr>
              <w:t>NATURE_INJURY_CD_220</w:t>
            </w:r>
          </w:p>
        </w:tc>
        <w:tc>
          <w:tcPr>
            <w:tcW w:type="dxa" w:w="1805"/>
          </w:tcPr>
          <w:p>
            <w:pPr>
              <w:spacing w:after="0"/>
              <w:jc w:val="left"/>
            </w:pPr>
            <w:r/>
            <w:r>
              <w:rPr>
                <w:rFonts w:ascii="Times New Roman" w:hAnsi="Times New Roman"/>
                <w:sz w:val="21"/>
              </w:rPr>
              <w:t>Nature of the injury: fracture, chip</w:t>
            </w:r>
          </w:p>
        </w:tc>
        <w:tc>
          <w:tcPr>
            <w:tcW w:type="dxa" w:w="1805"/>
          </w:tcPr>
          <w:p>
            <w:pPr>
              <w:spacing w:after="0"/>
              <w:jc w:val="left"/>
            </w:pPr>
            <w:r/>
            <w:r>
              <w:rPr>
                <w:rFonts w:ascii="Times New Roman" w:hAnsi="Times New Roman"/>
                <w:sz w:val="21"/>
              </w:rPr>
              <w:t>0.068</w:t>
            </w:r>
          </w:p>
        </w:tc>
        <w:tc>
          <w:tcPr>
            <w:tcW w:type="dxa" w:w="1805"/>
          </w:tcPr>
          <w:p>
            <w:pPr>
              <w:spacing w:after="0"/>
              <w:jc w:val="left"/>
            </w:pPr>
            <w:r/>
            <w:r>
              <w:rPr>
                <w:rFonts w:ascii="Times New Roman" w:hAnsi="Times New Roman"/>
                <w:sz w:val="21"/>
              </w:rPr>
              <w:t>0.061</w:t>
            </w:r>
          </w:p>
        </w:tc>
      </w:tr>
      <w:tr>
        <w:tc>
          <w:tcPr>
            <w:tcW w:type="dxa" w:w="1805"/>
          </w:tcPr>
          <w:p>
            <w:pPr>
              <w:spacing w:after="0"/>
              <w:jc w:val="left"/>
            </w:pPr>
            <w:r/>
            <w:r>
              <w:rPr>
                <w:rFonts w:ascii="Times New Roman" w:hAnsi="Times New Roman"/>
                <w:sz w:val="21"/>
              </w:rPr>
              <w:t>8</w:t>
            </w:r>
          </w:p>
        </w:tc>
        <w:tc>
          <w:tcPr>
            <w:tcW w:type="dxa" w:w="1805"/>
          </w:tcPr>
          <w:p>
            <w:pPr>
              <w:spacing w:after="0"/>
              <w:jc w:val="left"/>
            </w:pPr>
            <w:r/>
            <w:r>
              <w:rPr>
                <w:rFonts w:ascii="Times New Roman" w:hAnsi="Times New Roman"/>
                <w:sz w:val="21"/>
              </w:rPr>
              <w:t>INJ_BODY_PART_CD_130</w:t>
            </w:r>
          </w:p>
        </w:tc>
        <w:tc>
          <w:tcPr>
            <w:tcW w:type="dxa" w:w="1805"/>
          </w:tcPr>
          <w:p>
            <w:pPr>
              <w:spacing w:after="0"/>
              <w:jc w:val="left"/>
            </w:pPr>
            <w:r/>
            <w:r>
              <w:rPr>
                <w:rFonts w:ascii="Times New Roman" w:hAnsi="Times New Roman"/>
                <w:sz w:val="21"/>
              </w:rPr>
              <w:t>Body part injured: eye(s) optic nerve/vison</w:t>
            </w:r>
          </w:p>
        </w:tc>
        <w:tc>
          <w:tcPr>
            <w:tcW w:type="dxa" w:w="1805"/>
          </w:tcPr>
          <w:p>
            <w:pPr>
              <w:spacing w:after="0"/>
              <w:jc w:val="left"/>
            </w:pPr>
            <w:r/>
            <w:r>
              <w:rPr>
                <w:rFonts w:ascii="Times New Roman" w:hAnsi="Times New Roman"/>
                <w:sz w:val="21"/>
              </w:rPr>
              <w:t>0.067</w:t>
            </w:r>
          </w:p>
        </w:tc>
        <w:tc>
          <w:tcPr>
            <w:tcW w:type="dxa" w:w="1805"/>
          </w:tcPr>
          <w:p>
            <w:pPr>
              <w:spacing w:after="0"/>
              <w:jc w:val="left"/>
            </w:pPr>
            <w:r/>
            <w:r>
              <w:rPr>
                <w:rFonts w:ascii="Times New Roman" w:hAnsi="Times New Roman"/>
                <w:sz w:val="21"/>
              </w:rPr>
              <w:t>-0.452</w:t>
            </w:r>
          </w:p>
        </w:tc>
      </w:tr>
      <w:tr>
        <w:tc>
          <w:tcPr>
            <w:tcW w:type="dxa" w:w="1805"/>
          </w:tcPr>
          <w:p>
            <w:pPr>
              <w:spacing w:after="0"/>
              <w:jc w:val="left"/>
            </w:pPr>
            <w:r/>
            <w:r>
              <w:rPr>
                <w:rFonts w:ascii="Times New Roman" w:hAnsi="Times New Roman"/>
                <w:sz w:val="21"/>
              </w:rPr>
              <w:t>9</w:t>
            </w:r>
          </w:p>
        </w:tc>
        <w:tc>
          <w:tcPr>
            <w:tcW w:type="dxa" w:w="1805"/>
          </w:tcPr>
          <w:p>
            <w:pPr>
              <w:spacing w:after="0"/>
              <w:jc w:val="left"/>
            </w:pPr>
            <w:r/>
            <w:r>
              <w:rPr>
                <w:rFonts w:ascii="Times New Roman" w:hAnsi="Times New Roman"/>
                <w:sz w:val="21"/>
              </w:rPr>
              <w:t>INJ_BODY_PART_CD_142</w:t>
            </w:r>
          </w:p>
        </w:tc>
        <w:tc>
          <w:tcPr>
            <w:tcW w:type="dxa" w:w="1805"/>
          </w:tcPr>
          <w:p>
            <w:pPr>
              <w:spacing w:after="0"/>
              <w:jc w:val="left"/>
            </w:pPr>
            <w:r/>
            <w:r>
              <w:rPr>
                <w:rFonts w:ascii="Times New Roman" w:hAnsi="Times New Roman"/>
                <w:sz w:val="21"/>
              </w:rPr>
              <w:t>Body part injured: mouth/lip/teeth/tongue/throat/taste</w:t>
            </w:r>
          </w:p>
        </w:tc>
        <w:tc>
          <w:tcPr>
            <w:tcW w:type="dxa" w:w="1805"/>
          </w:tcPr>
          <w:p>
            <w:pPr>
              <w:spacing w:after="0"/>
              <w:jc w:val="left"/>
            </w:pPr>
            <w:r/>
            <w:r>
              <w:rPr>
                <w:rFonts w:ascii="Times New Roman" w:hAnsi="Times New Roman"/>
                <w:sz w:val="21"/>
              </w:rPr>
              <w:t>0.059</w:t>
            </w:r>
          </w:p>
        </w:tc>
        <w:tc>
          <w:tcPr>
            <w:tcW w:type="dxa" w:w="1805"/>
          </w:tcPr>
          <w:p>
            <w:pPr>
              <w:spacing w:after="0"/>
              <w:jc w:val="left"/>
            </w:pPr>
            <w:r/>
            <w:r>
              <w:rPr>
                <w:rFonts w:ascii="Times New Roman" w:hAnsi="Times New Roman"/>
                <w:sz w:val="21"/>
              </w:rPr>
              <w:t>-2.421</w:t>
            </w:r>
          </w:p>
        </w:tc>
      </w:tr>
      <w:tr>
        <w:tc>
          <w:tcPr>
            <w:tcW w:type="dxa" w:w="1805"/>
          </w:tcPr>
          <w:p>
            <w:pPr>
              <w:spacing w:after="0"/>
              <w:jc w:val="left"/>
            </w:pPr>
            <w:r/>
            <w:r>
              <w:rPr>
                <w:rFonts w:ascii="Times New Roman" w:hAnsi="Times New Roman"/>
                <w:sz w:val="21"/>
              </w:rPr>
              <w:t>10</w:t>
            </w:r>
          </w:p>
        </w:tc>
        <w:tc>
          <w:tcPr>
            <w:tcW w:type="dxa" w:w="1805"/>
          </w:tcPr>
          <w:p>
            <w:pPr>
              <w:spacing w:after="0"/>
              <w:jc w:val="left"/>
            </w:pPr>
            <w:r/>
            <w:r>
              <w:rPr>
                <w:rFonts w:ascii="Times New Roman" w:hAnsi="Times New Roman"/>
                <w:sz w:val="21"/>
              </w:rPr>
              <w:t>prev_incidents</w:t>
            </w:r>
          </w:p>
        </w:tc>
        <w:tc>
          <w:tcPr>
            <w:tcW w:type="dxa" w:w="1805"/>
          </w:tcPr>
          <w:p>
            <w:pPr>
              <w:spacing w:after="0"/>
              <w:jc w:val="left"/>
            </w:pPr>
            <w:r/>
            <w:r>
              <w:rPr>
                <w:rFonts w:ascii="Times New Roman" w:hAnsi="Times New Roman"/>
                <w:sz w:val="21"/>
              </w:rPr>
              <w:t>Incidents reported at the mine in the previous year (count)</w:t>
            </w:r>
          </w:p>
        </w:tc>
        <w:tc>
          <w:tcPr>
            <w:tcW w:type="dxa" w:w="1805"/>
          </w:tcPr>
          <w:p>
            <w:pPr>
              <w:spacing w:after="0"/>
              <w:jc w:val="left"/>
            </w:pPr>
            <w:r/>
            <w:r>
              <w:rPr>
                <w:rFonts w:ascii="Times New Roman" w:hAnsi="Times New Roman"/>
                <w:sz w:val="21"/>
              </w:rPr>
              <w:t>0.050</w:t>
            </w:r>
          </w:p>
        </w:tc>
        <w:tc>
          <w:tcPr>
            <w:tcW w:type="dxa" w:w="1805"/>
          </w:tcPr>
          <w:p>
            <w:pPr>
              <w:spacing w:after="0"/>
              <w:jc w:val="left"/>
            </w:pPr>
            <w:r/>
            <w:r>
              <w:rPr>
                <w:rFonts w:ascii="Times New Roman" w:hAnsi="Times New Roman"/>
                <w:sz w:val="21"/>
              </w:rPr>
              <w:t>0.179</w:t>
            </w:r>
          </w:p>
        </w:tc>
      </w:tr>
      <w:tr>
        <w:tc>
          <w:tcPr>
            <w:tcW w:type="dxa" w:w="1805"/>
          </w:tcPr>
          <w:p>
            <w:pPr>
              <w:spacing w:after="0"/>
              <w:jc w:val="left"/>
            </w:pPr>
            <w:r/>
            <w:r>
              <w:rPr>
                <w:rFonts w:ascii="Times New Roman" w:hAnsi="Times New Roman"/>
                <w:sz w:val="21"/>
              </w:rPr>
              <w:t>11</w:t>
            </w:r>
          </w:p>
        </w:tc>
        <w:tc>
          <w:tcPr>
            <w:tcW w:type="dxa" w:w="1805"/>
          </w:tcPr>
          <w:p>
            <w:pPr>
              <w:spacing w:after="0"/>
              <w:jc w:val="left"/>
            </w:pPr>
            <w:r/>
            <w:r>
              <w:rPr>
                <w:rFonts w:ascii="Times New Roman" w:hAnsi="Times New Roman"/>
                <w:sz w:val="21"/>
              </w:rPr>
              <w:t>prev_employees</w:t>
            </w:r>
          </w:p>
        </w:tc>
        <w:tc>
          <w:tcPr>
            <w:tcW w:type="dxa" w:w="1805"/>
          </w:tcPr>
          <w:p>
            <w:pPr>
              <w:spacing w:after="0"/>
              <w:jc w:val="left"/>
            </w:pPr>
            <w:r/>
            <w:r>
              <w:rPr>
                <w:rFonts w:ascii="Times New Roman" w:hAnsi="Times New Roman"/>
                <w:sz w:val="21"/>
              </w:rPr>
              <w:t>Average employees at the mine in the previous year (persons)</w:t>
            </w:r>
          </w:p>
        </w:tc>
        <w:tc>
          <w:tcPr>
            <w:tcW w:type="dxa" w:w="1805"/>
          </w:tcPr>
          <w:p>
            <w:pPr>
              <w:spacing w:after="0"/>
              <w:jc w:val="left"/>
            </w:pPr>
            <w:r/>
            <w:r>
              <w:rPr>
                <w:rFonts w:ascii="Times New Roman" w:hAnsi="Times New Roman"/>
                <w:sz w:val="21"/>
              </w:rPr>
              <w:t>0.048</w:t>
            </w:r>
          </w:p>
        </w:tc>
        <w:tc>
          <w:tcPr>
            <w:tcW w:type="dxa" w:w="1805"/>
          </w:tcPr>
          <w:p>
            <w:pPr>
              <w:spacing w:after="0"/>
              <w:jc w:val="left"/>
            </w:pPr>
            <w:r/>
            <w:r>
              <w:rPr>
                <w:rFonts w:ascii="Times New Roman" w:hAnsi="Times New Roman"/>
                <w:sz w:val="21"/>
              </w:rPr>
              <w:t>-0.166</w:t>
            </w:r>
          </w:p>
        </w:tc>
      </w:tr>
      <w:tr>
        <w:tc>
          <w:tcPr>
            <w:tcW w:type="dxa" w:w="1805"/>
          </w:tcPr>
          <w:p>
            <w:pPr>
              <w:spacing w:after="0"/>
              <w:jc w:val="left"/>
            </w:pPr>
            <w:r/>
            <w:r>
              <w:rPr>
                <w:rFonts w:ascii="Times New Roman" w:hAnsi="Times New Roman"/>
                <w:sz w:val="21"/>
              </w:rPr>
              <w:t>12</w:t>
            </w:r>
          </w:p>
        </w:tc>
        <w:tc>
          <w:tcPr>
            <w:tcW w:type="dxa" w:w="1805"/>
          </w:tcPr>
          <w:p>
            <w:pPr>
              <w:spacing w:after="0"/>
              <w:jc w:val="left"/>
            </w:pPr>
            <w:r/>
            <w:r>
              <w:rPr>
                <w:rFonts w:ascii="Times New Roman" w:hAnsi="Times New Roman"/>
                <w:sz w:val="21"/>
              </w:rPr>
              <w:t>immed_reportable</w:t>
            </w:r>
          </w:p>
        </w:tc>
        <w:tc>
          <w:tcPr>
            <w:tcW w:type="dxa" w:w="1805"/>
          </w:tcPr>
          <w:p>
            <w:pPr>
              <w:spacing w:after="0"/>
              <w:jc w:val="left"/>
            </w:pPr>
            <w:r/>
            <w:r>
              <w:rPr>
                <w:rFonts w:ascii="Times New Roman" w:hAnsi="Times New Roman"/>
                <w:sz w:val="21"/>
              </w:rPr>
              <w:t>Immediately reportable accident type (flag)</w:t>
            </w:r>
          </w:p>
        </w:tc>
        <w:tc>
          <w:tcPr>
            <w:tcW w:type="dxa" w:w="1805"/>
          </w:tcPr>
          <w:p>
            <w:pPr>
              <w:spacing w:after="0"/>
              <w:jc w:val="left"/>
            </w:pPr>
            <w:r/>
            <w:r>
              <w:rPr>
                <w:rFonts w:ascii="Times New Roman" w:hAnsi="Times New Roman"/>
                <w:sz w:val="21"/>
              </w:rPr>
              <w:t>0.048</w:t>
            </w:r>
          </w:p>
        </w:tc>
        <w:tc>
          <w:tcPr>
            <w:tcW w:type="dxa" w:w="1805"/>
          </w:tcPr>
          <w:p>
            <w:pPr>
              <w:spacing w:after="0"/>
              <w:jc w:val="left"/>
            </w:pPr>
            <w:r/>
            <w:r>
              <w:rPr>
                <w:rFonts w:ascii="Times New Roman" w:hAnsi="Times New Roman"/>
                <w:sz w:val="21"/>
              </w:rPr>
              <w:t>0.873</w:t>
            </w:r>
          </w:p>
        </w:tc>
      </w:tr>
      <w:tr>
        <w:tc>
          <w:tcPr>
            <w:tcW w:type="dxa" w:w="1805"/>
          </w:tcPr>
          <w:p>
            <w:pPr>
              <w:spacing w:after="0"/>
              <w:jc w:val="left"/>
            </w:pPr>
            <w:r/>
            <w:r>
              <w:rPr>
                <w:rFonts w:ascii="Times New Roman" w:hAnsi="Times New Roman"/>
                <w:sz w:val="21"/>
              </w:rPr>
              <w:t>13</w:t>
            </w:r>
          </w:p>
        </w:tc>
        <w:tc>
          <w:tcPr>
            <w:tcW w:type="dxa" w:w="1805"/>
          </w:tcPr>
          <w:p>
            <w:pPr>
              <w:spacing w:after="0"/>
              <w:jc w:val="left"/>
            </w:pPr>
            <w:r/>
            <w:r>
              <w:rPr>
                <w:rFonts w:ascii="Times New Roman" w:hAnsi="Times New Roman"/>
                <w:sz w:val="21"/>
              </w:rPr>
              <w:t>prev_lost_time_rate_200k</w:t>
            </w:r>
          </w:p>
        </w:tc>
        <w:tc>
          <w:tcPr>
            <w:tcW w:type="dxa" w:w="1805"/>
          </w:tcPr>
          <w:p>
            <w:pPr>
              <w:spacing w:after="0"/>
              <w:jc w:val="left"/>
            </w:pPr>
            <w:r/>
            <w:r>
              <w:rPr>
                <w:rFonts w:ascii="Times New Roman" w:hAnsi="Times New Roman"/>
                <w:sz w:val="21"/>
              </w:rPr>
              <w:t>log(1 + lost-time cases per 200,000 employee-hours, previous year)</w:t>
            </w:r>
          </w:p>
        </w:tc>
        <w:tc>
          <w:tcPr>
            <w:tcW w:type="dxa" w:w="1805"/>
          </w:tcPr>
          <w:p>
            <w:pPr>
              <w:spacing w:after="0"/>
              <w:jc w:val="left"/>
            </w:pPr>
            <w:r/>
            <w:r>
              <w:rPr>
                <w:rFonts w:ascii="Times New Roman" w:hAnsi="Times New Roman"/>
                <w:sz w:val="21"/>
              </w:rPr>
              <w:t>0.043</w:t>
            </w:r>
          </w:p>
        </w:tc>
        <w:tc>
          <w:tcPr>
            <w:tcW w:type="dxa" w:w="1805"/>
          </w:tcPr>
          <w:p>
            <w:pPr>
              <w:spacing w:after="0"/>
              <w:jc w:val="left"/>
            </w:pPr>
            <w:r/>
            <w:r>
              <w:rPr>
                <w:rFonts w:ascii="Times New Roman" w:hAnsi="Times New Roman"/>
                <w:sz w:val="21"/>
              </w:rPr>
              <w:t>0.081</w:t>
            </w:r>
          </w:p>
        </w:tc>
      </w:tr>
      <w:tr>
        <w:tc>
          <w:tcPr>
            <w:tcW w:type="dxa" w:w="1805"/>
          </w:tcPr>
          <w:p>
            <w:pPr>
              <w:spacing w:after="0"/>
              <w:jc w:val="left"/>
            </w:pPr>
            <w:r/>
            <w:r>
              <w:rPr>
                <w:rFonts w:ascii="Times New Roman" w:hAnsi="Times New Roman"/>
                <w:sz w:val="21"/>
              </w:rPr>
              <w:t>14</w:t>
            </w:r>
          </w:p>
        </w:tc>
        <w:tc>
          <w:tcPr>
            <w:tcW w:type="dxa" w:w="1805"/>
          </w:tcPr>
          <w:p>
            <w:pPr>
              <w:spacing w:after="0"/>
              <w:jc w:val="left"/>
            </w:pPr>
            <w:r/>
            <w:r>
              <w:rPr>
                <w:rFonts w:ascii="Times New Roman" w:hAnsi="Times New Roman"/>
                <w:sz w:val="21"/>
              </w:rPr>
              <w:t>INJ_BODY_PART_CD_330</w:t>
            </w:r>
          </w:p>
        </w:tc>
        <w:tc>
          <w:tcPr>
            <w:tcW w:type="dxa" w:w="1805"/>
          </w:tcPr>
          <w:p>
            <w:pPr>
              <w:spacing w:after="0"/>
              <w:jc w:val="left"/>
            </w:pPr>
            <w:r/>
            <w:r>
              <w:rPr>
                <w:rFonts w:ascii="Times New Roman" w:hAnsi="Times New Roman"/>
                <w:sz w:val="21"/>
              </w:rPr>
              <w:t>Body part injured: hand (not wrist or fingers)</w:t>
            </w:r>
          </w:p>
        </w:tc>
        <w:tc>
          <w:tcPr>
            <w:tcW w:type="dxa" w:w="1805"/>
          </w:tcPr>
          <w:p>
            <w:pPr>
              <w:spacing w:after="0"/>
              <w:jc w:val="left"/>
            </w:pPr>
            <w:r/>
            <w:r>
              <w:rPr>
                <w:rFonts w:ascii="Times New Roman" w:hAnsi="Times New Roman"/>
                <w:sz w:val="21"/>
              </w:rPr>
              <w:t>0.038</w:t>
            </w:r>
          </w:p>
        </w:tc>
        <w:tc>
          <w:tcPr>
            <w:tcW w:type="dxa" w:w="1805"/>
          </w:tcPr>
          <w:p>
            <w:pPr>
              <w:spacing w:after="0"/>
              <w:jc w:val="left"/>
            </w:pPr>
            <w:r/>
            <w:r>
              <w:rPr>
                <w:rFonts w:ascii="Times New Roman" w:hAnsi="Times New Roman"/>
                <w:sz w:val="21"/>
              </w:rPr>
              <w:t>-0.502</w:t>
            </w:r>
          </w:p>
        </w:tc>
      </w:tr>
      <w:tr>
        <w:tc>
          <w:tcPr>
            <w:tcW w:type="dxa" w:w="1805"/>
          </w:tcPr>
          <w:p>
            <w:pPr>
              <w:spacing w:after="0"/>
              <w:jc w:val="left"/>
            </w:pPr>
            <w:r/>
            <w:r>
              <w:rPr>
                <w:rFonts w:ascii="Times New Roman" w:hAnsi="Times New Roman"/>
                <w:sz w:val="21"/>
              </w:rPr>
              <w:t>15</w:t>
            </w:r>
          </w:p>
        </w:tc>
        <w:tc>
          <w:tcPr>
            <w:tcW w:type="dxa" w:w="1805"/>
          </w:tcPr>
          <w:p>
            <w:pPr>
              <w:spacing w:after="0"/>
              <w:jc w:val="left"/>
            </w:pPr>
            <w:r/>
            <w:r>
              <w:rPr>
                <w:rFonts w:ascii="Times New Roman" w:hAnsi="Times New Roman"/>
                <w:sz w:val="21"/>
              </w:rPr>
              <w:t>NATURE_INJURY_CD_330</w:t>
            </w:r>
          </w:p>
        </w:tc>
        <w:tc>
          <w:tcPr>
            <w:tcW w:type="dxa" w:w="1805"/>
          </w:tcPr>
          <w:p>
            <w:pPr>
              <w:spacing w:after="0"/>
              <w:jc w:val="left"/>
            </w:pPr>
            <w:r/>
            <w:r>
              <w:rPr>
                <w:rFonts w:ascii="Times New Roman" w:hAnsi="Times New Roman"/>
                <w:sz w:val="21"/>
              </w:rPr>
              <w:t>Nature of the injury: sprain, strain rupt disc</w:t>
            </w:r>
          </w:p>
        </w:tc>
        <w:tc>
          <w:tcPr>
            <w:tcW w:type="dxa" w:w="1805"/>
          </w:tcPr>
          <w:p>
            <w:pPr>
              <w:spacing w:after="0"/>
              <w:jc w:val="left"/>
            </w:pPr>
            <w:r/>
            <w:r>
              <w:rPr>
                <w:rFonts w:ascii="Times New Roman" w:hAnsi="Times New Roman"/>
                <w:sz w:val="21"/>
              </w:rPr>
              <w:t>0.038</w:t>
            </w:r>
          </w:p>
        </w:tc>
        <w:tc>
          <w:tcPr>
            <w:tcW w:type="dxa" w:w="1805"/>
          </w:tcPr>
          <w:p>
            <w:pPr>
              <w:spacing w:after="0"/>
              <w:jc w:val="left"/>
            </w:pPr>
            <w:r/>
            <w:r>
              <w:rPr>
                <w:rFonts w:ascii="Times New Roman" w:hAnsi="Times New Roman"/>
                <w:sz w:val="21"/>
              </w:rPr>
              <w:t>-0.319</w:t>
            </w:r>
          </w:p>
        </w:tc>
      </w:tr>
    </w:tbl>
    <w:p>
      <w:pPr>
        <w:spacing w:after="80"/>
      </w:pP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4"/>
      </w:rPr>
      <w:fldChar w:fldCharType="begin" w:dirty="true"/>
      <w:instrText xml:space="preserve"> PAGE </w:instrText>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0"/>
      </w:rPr>
      <w:t xml:space="preserve"> of </w:t>
    </w:r>
    <w:r>
      <w:rPr>
        <w:rFonts w:ascii="Times New Roman" w:hAnsi="Times New Roman"/>
        <w:sz w:val="24"/>
      </w:rPr>
      <w:fldChar w:fldCharType="begin" w:dirty="true"/>
      <w:instrText xml:space="preserve"> NUMPAGES </w:instrText>
      <w:fldChar w:fldCharType="separate"/>
    </w:r>
    <w:r>
      <w:rPr>
        <w:rFonts w:ascii="Times New Roman" w:hAnsi="Times New Roman"/>
        <w:sz w:val="24"/>
      </w:rPr>
      <w:t>1</w: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sz w:val="20"/>
      </w:rPr>
      <w:t>Student ID: 13130    6COSC017C Machine Learning and Data Analytics, CW1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left"/>
    </w:pPr>
    <w:rPr>
      <w:rFonts w:ascii="Times New Roman" w:hAnsi="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lost-time mine injuries from MSHA open data</dc:title>
  <dc:subject>6COSC017C Coursework 1 (50% of the module mark)</dc:subject>
  <dc:creator>13130</dc:creator>
  <cp:keywords/>
  <dc:description/>
  <cp:lastModifiedBy>13130</cp:lastModifiedBy>
  <cp:revision>1</cp:revision>
  <dcterms:created xsi:type="dcterms:W3CDTF">2013-12-23T23:15:00Z</dcterms:created>
  <dcterms:modified xsi:type="dcterms:W3CDTF">2013-12-23T23:15:00Z</dcterms:modified>
  <cp:category/>
</cp:coreProperties>
</file>