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7,360</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Pr>
        <w:spacing w:after="40"/>
        <w:ind w:left="454" w:hanging="454"/>
      </w:pPr>
      <w:r>
        <w:rPr>
          <w:rFonts w:ascii="Times New Roman" w:hAnsi="Times New Roman"/>
          <w:sz w:val="24"/>
        </w:rPr>
        <w:t>Figure 21. Data explorer page of the deployed application, with the three source tables, their keys and licence, the joined base table size and tabs for the joins, the target, a filterable sample and the data dictionary. Source: screenshot of the deployed application.</w:t>
      </w:r>
    </w:p>
    <w:p>
      <w:pPr>
        <w:spacing w:after="40"/>
        <w:ind w:left="454" w:hanging="454"/>
      </w:pPr>
      <w:r>
        <w:rPr>
          <w:rFonts w:ascii="Times New Roman" w:hAnsi="Times New Roman"/>
          <w:sz w:val="24"/>
        </w:rPr>
        <w:t>Figure 22. Exploratory analysis page, with tabs for the summary statistics, distributions by class, correlation heatmaps, associations with the target and missingness, drawn from the training rows only. Source: screenshot of the deployed application.</w:t>
      </w:r>
    </w:p>
    <w:p>
      <w:pPr>
        <w:spacing w:after="40"/>
        <w:ind w:left="454" w:hanging="454"/>
      </w:pPr>
      <w:r>
        <w:rPr>
          <w:rFonts w:ascii="Times New Roman" w:hAnsi="Times New Roman"/>
          <w:sz w:val="24"/>
        </w:rPr>
        <w:t>Figure 23. Preprocessing page, where the imputer, scaler, encoder and outlier rule can be changed and the ColumnTransformer is refitted on a sample of training rows, showing the transformed shape, column count and timing. Source: screenshot of the deployed application.</w:t>
      </w:r>
    </w:p>
    <w:p>
      <w:pPr>
        <w:spacing w:after="40"/>
        <w:ind w:left="454" w:hanging="454"/>
      </w:pPr>
      <w:r>
        <w:rPr>
          <w:rFonts w:ascii="Times New Roman" w:hAnsi="Times New Roman"/>
          <w:sz w:val="24"/>
        </w:rPr>
        <w:t>Figure 24. Model training page, which tunes a chosen algorithm live on a sample of training rows with grouped cross-validation and compares the result with the full-run search tables. Source: screenshot of the deployed application.</w:t>
      </w:r>
    </w:p>
    <w:p>
      <w:pPr>
        <w:spacing w:after="40"/>
        <w:ind w:left="454" w:hanging="454"/>
      </w:pPr>
      <w:r>
        <w:rPr>
          <w:rFonts w:ascii="Times New Roman" w:hAnsi="Times New Roman"/>
          <w:sz w:val="24"/>
        </w:rPr>
        <w:t>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spacing w:after="40"/>
        <w:ind w:left="454" w:hanging="454"/>
      </w:pPr>
      <w:r>
        <w:rPr>
          <w:rFonts w:ascii="Times New Roman" w:hAnsi="Times New Roman"/>
          <w:sz w:val="24"/>
        </w:rPr>
        <w:t>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spacing w:after="40"/>
        <w:ind w:left="454" w:hanging="454"/>
      </w:pPr>
      <w:r>
        <w:rPr>
          <w:rFonts w:ascii="Times New Roman" w:hAnsi="Times New Roman"/>
          <w:sz w:val="24"/>
        </w:rPr>
        <w:t>Figure 27. About page, with the business question, data provenance and licence, the reproduction commands, the run manifest and the limits and ethics notes. Source: screenshot of the deployed application.</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Pr>
        <w:spacing w:after="40"/>
        <w:ind w:left="454" w:hanging="454"/>
      </w:pPr>
      <w:r>
        <w:rPr>
          <w:rFonts w:ascii="Times New Roman" w:hAnsi="Times New Roman"/>
          <w:sz w:val="24"/>
        </w:rPr>
        <w:t>Table 24. Commits on the main branch, oldest first, with their dates and the teaching-week milestone each message names; later weekly commits follow the plan in the repository. Source: git log of the repository.</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on 10 October 2026.</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 xml:space="preserve">The application at https://mlda-cw1-8han4medy3o7d8izzcywbm.streamlit.app serves the committed artefacts of the study through seven pages. Figure 21, Figure 22, Figure 23, Figure 24, Figure 25, Figure 26 and Figure 27 were captured from the live deployment on 15 October 2026 at a 1,400-pixel viewport. Every page imports the same </w:t>
      </w:r>
      <w:r>
        <w:rPr>
          <w:rFonts w:ascii="Consolas" w:hAnsi="Consolas"/>
          <w:sz w:val="24"/>
        </w:rPr>
        <w:t>mlda</w:t>
      </w:r>
      <w:r>
        <w:rPr>
          <w:rFonts w:ascii="Times New Roman" w:hAnsi="Times New Roman"/>
          <w:sz w:val="24"/>
        </w:rPr>
        <w:t xml:space="preserve"> package as the notebook, so the numbers shown are the ones in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24 lists every commit on the main branch at the time of writing, oldest first, with the teaching-week milestone named in each message; the weekly plan in the repository schedules the remaining commits until the deadline.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Commits on the main branch, oldest first, with their dates and the teaching-week milestone each message names; later weekly commits follow the plan in the repository. Source: git log of the repository.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 - uv-managed Python 3.12, pyproject + uv.lock, exported requirements, MIT licence, CI, Dockerfile, project docs</w:t>
            </w:r>
          </w:p>
        </w:tc>
      </w:tr>
      <w:t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(paths, seed, pinned sources with SHA-256), CLI entry points and checksum-verified download tool</w:t>
            </w:r>
          </w:p>
        </w:tc>
      </w:tr>
      <w:t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(latin-1, placeholder codes to NA, NUMBER/DATE conversion) with 300-row fixtures and tests</w:t>
            </w:r>
          </w:p>
        </w:tc>
      </w:tr>
      <w:t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 extraction via mlda-download</w:t>
            </w:r>
          </w:p>
        </w:tc>
      </w:tr>
      <w:t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 (Markdown sections to docx with cover sheet, ID header, page numbers, TOC and SEQ captions, cross-references)</w:t>
            </w:r>
          </w:p>
        </w:tc>
      </w:tr>
      <w:t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(logistic regression, KNN, Gaussian Naive Bayes, SVM, trees, ensembles, MLP) with GridSearchCV and StratifiedGroupKFold tuning</w:t>
            </w:r>
          </w:p>
        </w:tc>
      </w:tr>
      <w:t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 with persistence, explanations and sensitivity analyses</w:t>
            </w:r>
          </w:p>
        </w:tc>
      </w:tr>
      <w:t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 with the data dictionary, descriptive statistics, association and decision-log tables;</w:t>
            </w:r>
          </w:p>
        </w:tc>
      </w:tr>
      <w:t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 (processed tables, split indices, tuned models with manifest, CV tables, test and out-of-fold predictions, metric</w:t>
            </w:r>
          </w:p>
        </w:tc>
      </w:tr>
      <w:t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 that bundles the tracked repository, rendered report and notebook export and refuses forbidden strings</w:t>
            </w:r>
          </w:p>
        </w:tc>
      </w:tr>
      <w:t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 weekly plan to the deadline; keep the training log; Docker conte</w:t>
            </w:r>
          </w:p>
        </w:tc>
      </w:tr>
      <w:t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 (load and join, EDA, preparation, training with GridSearchCV, evaluation, deployment notes) with its nbformat genera</w:t>
            </w:r>
          </w:p>
        </w:tc>
      </w:tr>
      <w:t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 (data explorer, exploratory analysis, preprocessing choices, live model training, inference, evaluation dashboard, about</w:t>
            </w:r>
          </w:p>
        </w:tc>
      </w:tr>
      <w:t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 rendered report docx; constant-baseline operating rows; figure legends; test fixtures a</w:t>
            </w:r>
          </w:p>
        </w:tc>
      </w:tr>
      <w:t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 (25 questions with spoken answers, where to show each, weak points)</w:t>
            </w:r>
          </w:p>
        </w:tc>
      </w:tr>
      <w:t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 - final-model rule stated as pre-fixed, capacity labelled an assumption, S5 reported in both forms, follow-up checks (wide</w:t>
            </w:r>
          </w:p>
        </w:tc>
      </w:tr>
      <w:t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 render.yaml, Docker port handling, commit-history export and optional repository bundle in the submission</w:t>
            </w:r>
          </w:p>
        </w:tc>
      </w:tr>
      <w:t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