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rFonts w:ascii="Times New Roman" w:hAnsi="Times New Roman"/>
          <w:b w:val="0"/>
          <w:sz w:val="28"/>
        </w:rPr>
        <w:t>Westminster International University in Tashkent</w:t>
      </w:r>
    </w:p>
    <w:p>
      <w:pPr>
        <w:spacing w:after="720"/>
        <w:jc w:val="center"/>
      </w:pPr>
      <w:r>
        <w:rPr>
          <w:rFonts w:ascii="Times New Roman" w:hAnsi="Times New Roman"/>
          <w:b w:val="0"/>
          <w:sz w:val="24"/>
        </w:rPr>
        <w:t>BSc (Hons) Business Information Systems</w:t>
      </w:r>
    </w:p>
    <w:p>
      <w:pPr>
        <w:spacing w:after="120"/>
        <w:jc w:val="center"/>
      </w:pPr>
      <w:r>
        <w:rPr>
          <w:rFonts w:ascii="Times New Roman" w:hAnsi="Times New Roman"/>
          <w:b/>
          <w:sz w:val="28"/>
        </w:rPr>
        <w:t>6COSC017C Machine Learning and Data Analytics</w:t>
      </w:r>
    </w:p>
    <w:p>
      <w:pPr>
        <w:spacing w:after="720"/>
        <w:jc w:val="center"/>
      </w:pPr>
      <w:r>
        <w:rPr>
          <w:rFonts w:ascii="Times New Roman" w:hAnsi="Times New Roman"/>
          <w:b w:val="0"/>
          <w:sz w:val="26"/>
        </w:rPr>
        <w:t>Coursework 1 (50% of the module mark)</w:t>
      </w:r>
    </w:p>
    <w:p>
      <w:pPr>
        <w:spacing w:after="120"/>
        <w:jc w:val="center"/>
      </w:pPr>
      <w:r>
        <w:rPr>
          <w:rFonts w:ascii="Times New Roman" w:hAnsi="Times New Roman"/>
          <w:b/>
          <w:sz w:val="36"/>
        </w:rPr>
        <w:t>Predicting lost-time mine injuries from MSHA open data</w:t>
      </w:r>
    </w:p>
    <w:p>
      <w:pPr>
        <w:spacing w:after="960"/>
        <w:jc w:val="center"/>
      </w:pPr>
      <w:r>
        <w:rPr>
          <w:rFonts w:ascii="Times New Roman" w:hAnsi="Times New Roman"/>
          <w:b w:val="0"/>
          <w:sz w:val="26"/>
        </w:rPr>
        <w:t>An end-to-end machine learning study with a deployed decision-support application</w:t>
      </w:r>
    </w:p>
    <w:p>
      <w:pPr>
        <w:spacing w:after="80"/>
        <w:jc w:val="center"/>
      </w:pPr>
      <w:r>
        <w:rPr>
          <w:rFonts w:ascii="Times New Roman" w:hAnsi="Times New Roman"/>
          <w:b w:val="0"/>
          <w:sz w:val="24"/>
        </w:rPr>
        <w:t>Student ID: 13130</w:t>
      </w:r>
    </w:p>
    <w:p>
      <w:pPr>
        <w:spacing w:after="80"/>
        <w:jc w:val="center"/>
      </w:pPr>
      <w:r>
        <w:rPr>
          <w:rFonts w:ascii="Times New Roman" w:hAnsi="Times New Roman"/>
          <w:b w:val="0"/>
          <w:sz w:val="24"/>
        </w:rPr>
        <w:t>Marker: Ruslan Isaev</w:t>
      </w:r>
    </w:p>
    <w:p>
      <w:pPr>
        <w:spacing w:after="80"/>
        <w:jc w:val="center"/>
      </w:pPr>
      <w:r>
        <w:rPr>
          <w:rFonts w:ascii="Times New Roman" w:hAnsi="Times New Roman"/>
          <w:b w:val="0"/>
          <w:sz w:val="24"/>
        </w:rPr>
        <w:t>Submission date: December 2026</w:t>
      </w:r>
    </w:p>
    <w:p>
      <w:pPr>
        <w:spacing w:after="80"/>
        <w:jc w:val="center"/>
      </w:pPr>
      <w:r>
        <w:rPr>
          <w:rFonts w:ascii="Times New Roman" w:hAnsi="Times New Roman"/>
          <w:b w:val="0"/>
          <w:sz w:val="24"/>
        </w:rPr>
        <w:t>Word count (executive summary and sections 1 to 5 with headings; tables, captions, references and appendices excluded): 7,360</w:t>
      </w:r>
    </w:p>
    <w:p>
      <w:pPr>
        <w:spacing w:after="80"/>
        <w:jc w:val="center"/>
      </w:pPr>
      <w:r>
        <w:rPr>
          <w:rFonts w:ascii="Times New Roman" w:hAnsi="Times New Roman"/>
          <w:b w:val="0"/>
          <w:sz w:val="24"/>
        </w:rPr>
        <w:t>Repository: https://github.com/wiut13130/mlda-cw1</w:t>
      </w:r>
    </w:p>
    <w:p>
      <w:pPr>
        <w:spacing w:after="80"/>
        <w:jc w:val="center"/>
      </w:pPr>
      <w:r>
        <w:rPr>
          <w:rFonts w:ascii="Times New Roman" w:hAnsi="Times New Roman"/>
          <w:b w:val="0"/>
          <w:sz w:val="24"/>
        </w:rPr>
        <w:t>Deployed application: https://mlda-cw1-8han4medy3o7d8izzcywbm.streamlit.app</w:t>
      </w:r>
    </w:p>
    <w:p>
      <w:r>
        <w:br w:type="page"/>
      </w:r>
    </w:p>
    <w:p>
      <w:r>
        <w:rPr>
          <w:rFonts w:ascii="Times New Roman" w:hAnsi="Times New Roman"/>
          <w:b/>
          <w:sz w:val="32"/>
        </w:rPr>
        <w:t>Table of contents</w:t>
      </w:r>
    </w:p>
    <w:p>
      <w:r>
        <w:rPr>
          <w:rFonts w:ascii="Times New Roman" w:hAnsi="Times New Roman"/>
          <w:sz w:val="24"/>
        </w:rPr>
        <w:fldChar w:fldCharType="begin" w:dirty="true"/>
        <w:instrText xml:space="preserve"> TOC \o "1-3" \h \z \u </w:instrText>
        <w:fldChar w:fldCharType="separate"/>
      </w:r>
      <w:r>
        <w:rPr>
          <w:rFonts w:ascii="Times New Roman" w:hAnsi="Times New Roman"/>
          <w:sz w:val="24"/>
        </w:rPr>
        <w:t>Right-click and choose Update Field (or press F9) to fill the table of contents.</w:t>
      </w:r>
      <w:r>
        <w:rPr>
          <w:rFonts w:ascii="Times New Roman" w:hAnsi="Times New Roman"/>
          <w:sz w:val="24"/>
        </w:rPr>
        <w:fldChar w:fldCharType="end"/>
      </w:r>
    </w:p>
    <w:p/>
    <w:p>
      <w:r>
        <w:rPr>
          <w:rFonts w:ascii="Times New Roman" w:hAnsi="Times New Roman"/>
          <w:b/>
          <w:sz w:val="28"/>
        </w:rPr>
        <w:t>List of figures</w:t>
      </w:r>
    </w:p>
    <w:p>
      <w:pPr>
        <w:spacing w:after="40"/>
        <w:ind w:left="454" w:hanging="454"/>
      </w:pPr>
      <w:r>
        <w:rPr>
          <w:rFonts w:ascii="Times New Roman" w:hAnsi="Times New Roman"/>
          <w:sz w:val="24"/>
        </w:rPr>
        <w:t>Figure 1. Counts and shares of non-lost-time and lost-time cases for all 101,609 in-scope rows before the split, drawn as a bar chart because two class sizes are compared. Source: author's analysis of MSHA open data.</w:t>
      </w:r>
    </w:p>
    <w:p>
      <w:pPr>
        <w:spacing w:after="40"/>
        <w:ind w:left="454" w:hanging="454"/>
      </w:pPr>
      <w:r>
        <w:rPr>
          <w:rFonts w:ascii="Times New Roman" w:hAnsi="Times New Roman"/>
          <w:sz w:val="24"/>
        </w:rPr>
        <w:t>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spacing w:after="40"/>
        <w:ind w:left="454" w:hanging="454"/>
      </w:pPr>
      <w:r>
        <w:rPr>
          <w:rFonts w:ascii="Times New Roman" w:hAnsi="Times New Roman"/>
          <w:sz w:val="24"/>
        </w:rPr>
        <w:t>Figure 3. Pearson (left) and Spearman (right) correlation matrices of the 20 numeric features on the training split, drawn as heatmaps on one diverging scale centred at zero so that the two coefficients can be compared cell by cell. Source: author's analysis of MSHA open data.</w:t>
      </w:r>
    </w:p>
    <w:p>
      <w:pPr>
        <w:spacing w:after="40"/>
        <w:ind w:left="454" w:hanging="454"/>
      </w:pPr>
      <w:r>
        <w:rPr>
          <w:rFonts w:ascii="Times New Roman" w:hAnsi="Times New Roman"/>
          <w:sz w:val="24"/>
        </w:rPr>
        <w:t>Figure 4. Density histograms (30 bins) with kernel density estimates of the 20 numeric features by outcome class on all 81,289 training rows, drawn as densities so that classes of unequal size share one scale. Source: author's analysis of MSHA open data.</w:t>
      </w:r>
    </w:p>
    <w:p>
      <w:pPr>
        <w:spacing w:after="40"/>
        <w:ind w:left="454" w:hanging="454"/>
      </w:pPr>
      <w:r>
        <w:rPr>
          <w:rFonts w:ascii="Times New Roman" w:hAnsi="Times New Roman"/>
          <w:sz w:val="24"/>
        </w:rPr>
        <w:t>Figure 5. Box plots of the 20 numeric features by outcome class on all 81,289 training rows, with whiskers at 1.5 times the IQR and outlier points omitted, chosen because medians and quartiles are the comparison that skewed features need. Source: author's analysis of MSHA open data.</w:t>
      </w:r>
    </w:p>
    <w:p>
      <w:pPr>
        <w:spacing w:after="40"/>
        <w:ind w:left="454" w:hanging="454"/>
      </w:pPr>
      <w:r>
        <w:rPr>
          <w:rFonts w:ascii="Times New Roman" w:hAnsi="Times New Roman"/>
          <w:sz w:val="24"/>
        </w:rPr>
        <w:t>Figure 6. Corner pair plot of the five numeric features with the largest absolute point-biserial correlation, for 5,000 seeded training rows without missing values, coloured by outcome to show pairwise structure and class overlap. Source: author's analysis of MSHA open data.</w:t>
      </w:r>
    </w:p>
    <w:p>
      <w:pPr>
        <w:spacing w:after="40"/>
        <w:ind w:left="454" w:hanging="454"/>
      </w:pPr>
      <w:r>
        <w:rPr>
          <w:rFonts w:ascii="Times New Roman" w:hAnsi="Times New Roman"/>
          <w:sz w:val="24"/>
        </w:rPr>
        <w:t>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pPr>
        <w:spacing w:after="40"/>
        <w:ind w:left="454" w:hanging="454"/>
      </w:pPr>
      <w:r>
        <w:rPr>
          <w:rFonts w:ascii="Times New Roman" w:hAnsi="Times New Roman"/>
          <w:sz w:val="24"/>
        </w:rPr>
        <w:t>Figure 8. Percentage of missing values in the 30 most incomplete columns of the joined base table on the training rows, ranked as bars so that structural and sporadic gaps can be told apart. Source: author's analysis of MSHA open data.</w:t>
      </w:r>
    </w:p>
    <w:p>
      <w:pPr>
        <w:spacing w:after="40"/>
        <w:ind w:left="454" w:hanging="454"/>
      </w:pPr>
      <w:r>
        <w:rPr>
          <w:rFonts w:ascii="Times New Roman" w:hAnsi="Times New Roman"/>
          <w:sz w:val="24"/>
        </w:rPr>
        <w:t>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pPr>
        <w:spacing w:after="40"/>
        <w:ind w:left="454" w:hanging="454"/>
      </w:pPr>
      <w:r>
        <w:rPr>
          <w:rFonts w:ascii="Times New Roman" w:hAnsi="Times New Roman"/>
          <w:sz w:val="24"/>
        </w:rPr>
        <w:t>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pPr>
        <w:spacing w:after="40"/>
        <w:ind w:left="454" w:hanging="454"/>
      </w:pPr>
      <w:r>
        <w:rPr>
          <w:rFonts w:ascii="Times New Roman" w:hAnsi="Times New Roman"/>
          <w:sz w:val="24"/>
        </w:rPr>
        <w:t>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spacing w:after="40"/>
        <w:ind w:left="454" w:hanging="454"/>
      </w:pPr>
      <w:r>
        <w:rPr>
          <w:rFonts w:ascii="Times New Roman" w:hAnsi="Times New Roman"/>
          <w:sz w:val="24"/>
        </w:rPr>
        <w:t>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spacing w:after="40"/>
        <w:ind w:left="454" w:hanging="454"/>
      </w:pPr>
      <w:r>
        <w:rPr>
          <w:rFonts w:ascii="Times New Roman" w:hAnsi="Times New Roman"/>
          <w:sz w:val="24"/>
        </w:rPr>
        <w:t>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pPr>
        <w:spacing w:after="40"/>
        <w:ind w:left="454" w:hanging="454"/>
      </w:pPr>
      <w:r>
        <w:rPr>
          <w:rFonts w:ascii="Times New Roman" w:hAnsi="Times New Roman"/>
          <w:sz w:val="24"/>
        </w:rPr>
        <w:t>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spacing w:after="40"/>
        <w:ind w:left="454" w:hanging="454"/>
      </w:pPr>
      <w:r>
        <w:rPr>
          <w:rFonts w:ascii="Times New Roman" w:hAnsi="Times New Roman"/>
          <w:sz w:val="24"/>
        </w:rPr>
        <w:t>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pPr>
        <w:spacing w:after="40"/>
        <w:ind w:left="454" w:hanging="454"/>
      </w:pPr>
      <w:r>
        <w:rPr>
          <w:rFonts w:ascii="Times New Roman" w:hAnsi="Times New Roman"/>
          <w:sz w:val="24"/>
        </w:rPr>
        <w:t>Figure 16. ROC curves of the eight tuned models and the lookup baseline on the 20,320 test reports, with test ROC-AUC in the legend and the chance diagonal dotted; ROC space is shown because it does not depend on prevalence. Source: author's analysis of MSHA open data.</w:t>
      </w:r>
    </w:p>
    <w:p>
      <w:pPr>
        <w:spacing w:after="40"/>
        <w:ind w:left="454" w:hanging="454"/>
      </w:pPr>
      <w:r>
        <w:rPr>
          <w:rFonts w:ascii="Times New Roman" w:hAnsi="Times New Roman"/>
          <w:sz w:val="24"/>
        </w:rPr>
        <w:t>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spacing w:after="40"/>
        <w:ind w:left="454" w:hanging="454"/>
      </w:pPr>
      <w:r>
        <w:rPr>
          <w:rFonts w:ascii="Times New Roman" w:hAnsi="Times New Roman"/>
          <w:sz w:val="24"/>
        </w:rPr>
        <w:t>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spacing w:after="40"/>
        <w:ind w:left="454" w:hanging="454"/>
      </w:pPr>
      <w:r>
        <w:rPr>
          <w:rFonts w:ascii="Times New Roman" w:hAnsi="Times New Roman"/>
          <w:sz w:val="24"/>
        </w:rPr>
        <w:t>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spacing w:after="40"/>
        <w:ind w:left="454" w:hanging="454"/>
      </w:pPr>
      <w:r>
        <w:rPr>
          <w:rFonts w:ascii="Times New Roman" w:hAnsi="Times New Roman"/>
          <w:sz w:val="24"/>
        </w:rPr>
        <w:t>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pPr>
        <w:spacing w:after="40"/>
        <w:ind w:left="454" w:hanging="454"/>
      </w:pPr>
      <w:r>
        <w:rPr>
          <w:rFonts w:ascii="Times New Roman" w:hAnsi="Times New Roman"/>
          <w:sz w:val="24"/>
        </w:rPr>
        <w:t>Figure 21. Data explorer page of the deployed application, with the three source tables, their keys and licence, the joined base table size and tabs for the joins, the target, a filterable sample and the data dictionary. Source: screenshot of the deployed application.</w:t>
      </w:r>
    </w:p>
    <w:p>
      <w:pPr>
        <w:spacing w:after="40"/>
        <w:ind w:left="454" w:hanging="454"/>
      </w:pPr>
      <w:r>
        <w:rPr>
          <w:rFonts w:ascii="Times New Roman" w:hAnsi="Times New Roman"/>
          <w:sz w:val="24"/>
        </w:rPr>
        <w:t>Figure 22. Exploratory analysis page, with tabs for the summary statistics, distributions by class, correlation heatmaps, associations with the target and missingness, drawn from the training rows only. Source: screenshot of the deployed application.</w:t>
      </w:r>
    </w:p>
    <w:p>
      <w:pPr>
        <w:spacing w:after="40"/>
        <w:ind w:left="454" w:hanging="454"/>
      </w:pPr>
      <w:r>
        <w:rPr>
          <w:rFonts w:ascii="Times New Roman" w:hAnsi="Times New Roman"/>
          <w:sz w:val="24"/>
        </w:rPr>
        <w:t>Figure 23. Preprocessing page, where the imputer, scaler, encoder and outlier rule can be changed and the ColumnTransformer is refitted on a sample of training rows, showing the transformed shape, column count and timing. Source: screenshot of the deployed application.</w:t>
      </w:r>
    </w:p>
    <w:p>
      <w:pPr>
        <w:spacing w:after="40"/>
        <w:ind w:left="454" w:hanging="454"/>
      </w:pPr>
      <w:r>
        <w:rPr>
          <w:rFonts w:ascii="Times New Roman" w:hAnsi="Times New Roman"/>
          <w:sz w:val="24"/>
        </w:rPr>
        <w:t>Figure 24. Model training page, which tunes a chosen algorithm live on a sample of training rows with grouped cross-validation and compares the result with the full-run search tables. Source: screenshot of the deployed application.</w:t>
      </w:r>
    </w:p>
    <w:p>
      <w:pPr>
        <w:spacing w:after="40"/>
        <w:ind w:left="454" w:hanging="454"/>
      </w:pPr>
      <w:r>
        <w:rPr>
          <w:rFonts w:ascii="Times New Roman" w:hAnsi="Times New Roman"/>
          <w:sz w:val="24"/>
        </w:rPr>
        <w:t>Figure 25. 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w:t>
      </w:r>
    </w:p>
    <w:p>
      <w:pPr>
        <w:spacing w:after="40"/>
        <w:ind w:left="454" w:hanging="454"/>
      </w:pPr>
      <w:r>
        <w:rPr>
          <w:rFonts w:ascii="Times New Roman" w:hAnsi="Times New Roman"/>
          <w:sz w:val="24"/>
        </w:rPr>
        <w:t>Figure 26. Evaluation page, the dashboard of held-out results: metric cards against the success criteria, the comparison tables, curves, a threshold explorer with expected cost, the statistical tests, the sensitivity checks and feature importance. Source: screenshot of the deployed application.</w:t>
      </w:r>
    </w:p>
    <w:p>
      <w:pPr>
        <w:spacing w:after="40"/>
        <w:ind w:left="454" w:hanging="454"/>
      </w:pPr>
      <w:r>
        <w:rPr>
          <w:rFonts w:ascii="Times New Roman" w:hAnsi="Times New Roman"/>
          <w:sz w:val="24"/>
        </w:rPr>
        <w:t>Figure 27. About page, with the business question, data provenance and licence, the reproduction commands, the run manifest and the limits and ethics notes. Source: screenshot of the deployed application.</w:t>
      </w:r>
    </w:p>
    <w:p/>
    <w:p>
      <w:r>
        <w:rPr>
          <w:rFonts w:ascii="Times New Roman" w:hAnsi="Times New Roman"/>
          <w:b/>
          <w:sz w:val="28"/>
        </w:rPr>
        <w:t>List of tables</w:t>
      </w:r>
    </w:p>
    <w:p>
      <w:pPr>
        <w:spacing w:after="40"/>
        <w:ind w:left="454" w:hanging="454"/>
      </w:pPr>
      <w:r>
        <w:rPr>
          <w:rFonts w:ascii="Times New Roman" w:hAnsi="Times New Roman"/>
          <w:sz w:val="24"/>
        </w:rPr>
        <w:t>Table 1. 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p>
      <w:pPr>
        <w:spacing w:after="40"/>
        <w:ind w:left="454" w:hanging="454"/>
      </w:pPr>
      <w:r>
        <w:rPr>
          <w:rFonts w:ascii="Times New Roman" w:hAnsi="Times New Roman"/>
          <w:sz w:val="24"/>
        </w:rPr>
        <w:t>Table 2. Mapping of MSHA degree-of-injury codes to the lost_time target, with row counts and prevalence on all in-scope reports of 2010-2025 before the train/test split, and the two alternative labels that were assessed. Source: author's analysis of MSHA open data.</w:t>
      </w:r>
    </w:p>
    <w:p>
      <w:pPr>
        <w:spacing w:after="40"/>
        <w:ind w:left="454" w:hanging="454"/>
      </w:pPr>
      <w:r>
        <w:rPr>
          <w:rFonts w:ascii="Times New Roman" w:hAnsi="Times New Roman"/>
          <w:sz w:val="24"/>
        </w:rPr>
        <w:t>Table 3. 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p>
      <w:pPr>
        <w:spacing w:after="40"/>
        <w:ind w:left="454" w:hanging="454"/>
      </w:pPr>
      <w:r>
        <w:rPr>
          <w:rFonts w:ascii="Times New Roman" w:hAnsi="Times New Roman"/>
          <w:sz w:val="24"/>
        </w:rPr>
        <w:t>Table 4. 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p>
      <w:pPr>
        <w:spacing w:after="40"/>
        <w:ind w:left="454" w:hanging="454"/>
      </w:pPr>
      <w:r>
        <w:rPr>
          <w:rFonts w:ascii="Times New Roman" w:hAnsi="Times New Roman"/>
          <w:sz w:val="24"/>
        </w:rPr>
        <w:t>Table 5. 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p>
      <w:pPr>
        <w:spacing w:after="40"/>
        <w:ind w:left="454" w:hanging="454"/>
      </w:pPr>
      <w:r>
        <w:rPr>
          <w:rFonts w:ascii="Times New Roman" w:hAnsi="Times New Roman"/>
          <w:sz w:val="24"/>
        </w:rPr>
        <w:t>Table 6. 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7. 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p>
      <w:pPr>
        <w:spacing w:after="40"/>
        <w:ind w:left="454" w:hanging="454"/>
      </w:pPr>
      <w:r>
        <w:rPr>
          <w:rFonts w:ascii="Times New Roman" w:hAnsi="Times New Roman"/>
          <w:sz w:val="24"/>
        </w:rPr>
        <w:t>Table 8. 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p>
      <w:pPr>
        <w:spacing w:after="40"/>
        <w:ind w:left="454" w:hanging="454"/>
      </w:pPr>
      <w:r>
        <w:rPr>
          <w:rFonts w:ascii="Times New Roman" w:hAnsi="Times New Roman"/>
          <w:sz w:val="24"/>
        </w:rPr>
        <w:t>Table 9. 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p>
      <w:pPr>
        <w:spacing w:after="40"/>
        <w:ind w:left="454" w:hanging="454"/>
      </w:pPr>
      <w:r>
        <w:rPr>
          <w:rFonts w:ascii="Times New Roman" w:hAnsi="Times New Roman"/>
          <w:sz w:val="24"/>
        </w:rPr>
        <w:t>Table 10. 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p>
      <w:pPr>
        <w:spacing w:after="40"/>
        <w:ind w:left="454" w:hanging="454"/>
      </w:pPr>
      <w:r>
        <w:rPr>
          <w:rFonts w:ascii="Times New Roman" w:hAnsi="Times New Roman"/>
          <w:sz w:val="24"/>
        </w:rPr>
        <w:t>Table 11. 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p>
      <w:pPr>
        <w:spacing w:after="40"/>
        <w:ind w:left="454" w:hanging="454"/>
      </w:pPr>
      <w:r>
        <w:rPr>
          <w:rFonts w:ascii="Times New Roman" w:hAnsi="Times New Roman"/>
          <w:sz w:val="24"/>
        </w:rPr>
        <w:t>Table 12. 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p>
      <w:pPr>
        <w:spacing w:after="40"/>
        <w:ind w:left="454" w:hanging="454"/>
      </w:pPr>
      <w:r>
        <w:rPr>
          <w:rFonts w:ascii="Times New Roman" w:hAnsi="Times New Roman"/>
          <w:sz w:val="24"/>
        </w:rPr>
        <w:t>Table 13. 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p>
      <w:pPr>
        <w:spacing w:after="40"/>
        <w:ind w:left="454" w:hanging="454"/>
      </w:pPr>
      <w:r>
        <w:rPr>
          <w:rFonts w:ascii="Times New Roman" w:hAnsi="Times New Roman"/>
          <w:sz w:val="24"/>
        </w:rPr>
        <w:t>Table 14. 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p>
      <w:pPr>
        <w:spacing w:after="40"/>
        <w:ind w:left="454" w:hanging="454"/>
      </w:pPr>
      <w:r>
        <w:rPr>
          <w:rFonts w:ascii="Times New Roman" w:hAnsi="Times New Roman"/>
          <w:sz w:val="24"/>
        </w:rPr>
        <w:t>Table 15. 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p>
      <w:pPr>
        <w:spacing w:after="40"/>
        <w:ind w:left="454" w:hanging="454"/>
      </w:pPr>
      <w:r>
        <w:rPr>
          <w:rFonts w:ascii="Times New Roman" w:hAnsi="Times New Roman"/>
          <w:sz w:val="24"/>
        </w:rPr>
        <w:t>Table 16. 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p>
      <w:pPr>
        <w:spacing w:after="40"/>
        <w:ind w:left="454" w:hanging="454"/>
      </w:pPr>
      <w:r>
        <w:rPr>
          <w:rFonts w:ascii="Times New Roman" w:hAnsi="Times New Roman"/>
          <w:sz w:val="24"/>
        </w:rPr>
        <w:t>Table 17. 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p>
      <w:pPr>
        <w:spacing w:after="40"/>
        <w:ind w:left="454" w:hanging="454"/>
      </w:pPr>
      <w:r>
        <w:rPr>
          <w:rFonts w:ascii="Times New Roman" w:hAnsi="Times New Roman"/>
          <w:sz w:val="24"/>
        </w:rPr>
        <w:t>Table 18. 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p>
      <w:pPr>
        <w:spacing w:after="40"/>
        <w:ind w:left="454" w:hanging="454"/>
      </w:pPr>
      <w:r>
        <w:rPr>
          <w:rFonts w:ascii="Times New Roman" w:hAnsi="Times New Roman"/>
          <w:sz w:val="24"/>
        </w:rPr>
        <w:t>Table 19. Model card of the HGB pipeline, after Mitchell et al. (2019), with metrics on the 20,320 test reports at the capacity threshold unless stated otherwise. Source: author's analysis of MSHA open data.</w:t>
      </w:r>
    </w:p>
    <w:p>
      <w:pPr>
        <w:spacing w:after="40"/>
        <w:ind w:left="454" w:hanging="454"/>
      </w:pPr>
      <w:r>
        <w:rPr>
          <w:rFonts w:ascii="Times New Roman" w:hAnsi="Times New Roman"/>
          <w:sz w:val="24"/>
        </w:rPr>
        <w:t>Table 20. 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p>
      <w:pPr>
        <w:spacing w:after="40"/>
        <w:ind w:left="454" w:hanging="454"/>
      </w:pPr>
      <w:r>
        <w:rPr>
          <w:rFonts w:ascii="Times New Roman" w:hAnsi="Times New Roman"/>
          <w:sz w:val="24"/>
        </w:rPr>
        <w:t>Table 21. 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p>
      <w:pPr>
        <w:spacing w:after="40"/>
        <w:ind w:left="454" w:hanging="454"/>
      </w:pPr>
      <w:r>
        <w:rPr>
          <w:rFonts w:ascii="Times New Roman" w:hAnsi="Times New Roman"/>
          <w:sz w:val="24"/>
        </w:rPr>
        <w:t>Table 22. 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p>
      <w:pPr>
        <w:spacing w:after="40"/>
        <w:ind w:left="454" w:hanging="454"/>
      </w:pPr>
      <w:r>
        <w:rPr>
          <w:rFonts w:ascii="Times New Roman" w:hAnsi="Times New Roman"/>
          <w:sz w:val="24"/>
        </w:rPr>
        <w:t>Table 23. 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p>
      <w:pPr>
        <w:spacing w:after="40"/>
        <w:ind w:left="454" w:hanging="454"/>
      </w:pPr>
      <w:r>
        <w:rPr>
          <w:rFonts w:ascii="Times New Roman" w:hAnsi="Times New Roman"/>
          <w:sz w:val="24"/>
        </w:rPr>
        <w:t>Table 24. Commits on the main branch, oldest first, with their dates and the teaching-week milestone each message names; later weekly commits follow the plan in the repository. Source: git log of the repository.</w:t>
      </w:r>
    </w:p>
    <w:p/>
    <w:p>
      <w:r>
        <w:br w:type="page"/>
      </w:r>
    </w:p>
    <w:p>
      <w:r>
        <w:rPr>
          <w:rFonts w:ascii="Times New Roman" w:hAnsi="Times New Roman"/>
          <w:b/>
          <w:sz w:val="28"/>
        </w:rPr>
        <w:t>Abbreviations</w:t>
      </w:r>
    </w:p>
    <w:tbl>
      <w:tblPr>
        <w:tblStyle w:val="TableGrid"/>
        <w:tblW w:type="auto" w:w="0"/>
        <w:tblLook w:firstColumn="1" w:firstRow="1" w:lastColumn="0" w:lastRow="0" w:noHBand="0" w:noVBand="1" w:val="04A0"/>
      </w:tblPr>
      <w:tblGrid>
        <w:gridCol w:w="4513"/>
        <w:gridCol w:w="4513"/>
      </w:tblGrid>
      <w:tr>
        <w:tc>
          <w:tcPr>
            <w:tcW w:type="dxa" w:w="4513"/>
          </w:tcPr>
          <w:p>
            <w:pPr>
              <w:spacing w:after="0"/>
            </w:pPr>
            <w:r/>
            <w:r>
              <w:rPr>
                <w:rFonts w:ascii="Times New Roman" w:hAnsi="Times New Roman"/>
                <w:sz w:val="22"/>
              </w:rPr>
              <w:t>ARIMA</w:t>
            </w:r>
          </w:p>
        </w:tc>
        <w:tc>
          <w:tcPr>
            <w:tcW w:type="dxa" w:w="4513"/>
          </w:tcPr>
          <w:p>
            <w:pPr>
              <w:spacing w:after="0"/>
            </w:pPr>
            <w:r/>
            <w:r>
              <w:rPr>
                <w:rFonts w:ascii="Times New Roman" w:hAnsi="Times New Roman"/>
                <w:sz w:val="22"/>
              </w:rPr>
              <w:t>Autoregressive integrated moving average (a time-series model)</w:t>
            </w:r>
          </w:p>
        </w:tc>
      </w:tr>
      <w:tr>
        <w:tc>
          <w:tcPr>
            <w:tcW w:type="dxa" w:w="4513"/>
          </w:tcPr>
          <w:p>
            <w:pPr>
              <w:spacing w:after="0"/>
            </w:pPr>
            <w:r/>
            <w:r>
              <w:rPr>
                <w:rFonts w:ascii="Times New Roman" w:hAnsi="Times New Roman"/>
                <w:sz w:val="22"/>
              </w:rPr>
              <w:t>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CART</w:t>
            </w:r>
          </w:p>
        </w:tc>
        <w:tc>
          <w:tcPr>
            <w:tcW w:type="dxa" w:w="4513"/>
          </w:tcPr>
          <w:p>
            <w:pPr>
              <w:spacing w:after="0"/>
            </w:pPr>
            <w:r/>
            <w:r>
              <w:rPr>
                <w:rFonts w:ascii="Times New Roman" w:hAnsi="Times New Roman"/>
                <w:sz w:val="22"/>
              </w:rPr>
              <w:t>Classification and regression trees (the decision-tree algorithm of scikit-learn)</w:t>
            </w:r>
          </w:p>
        </w:tc>
      </w:tr>
      <w:tr>
        <w:tc>
          <w:tcPr>
            <w:tcW w:type="dxa" w:w="4513"/>
          </w:tcPr>
          <w:p>
            <w:pPr>
              <w:spacing w:after="0"/>
            </w:pPr>
            <w:r/>
            <w:r>
              <w:rPr>
                <w:rFonts w:ascii="Times New Roman" w:hAnsi="Times New Roman"/>
                <w:sz w:val="22"/>
              </w:rPr>
              <w:t>CV</w:t>
            </w:r>
          </w:p>
        </w:tc>
        <w:tc>
          <w:tcPr>
            <w:tcW w:type="dxa" w:w="4513"/>
          </w:tcPr>
          <w:p>
            <w:pPr>
              <w:spacing w:after="0"/>
            </w:pPr>
            <w:r/>
            <w:r>
              <w:rPr>
                <w:rFonts w:ascii="Times New Roman" w:hAnsi="Times New Roman"/>
                <w:sz w:val="22"/>
              </w:rPr>
              <w:t>Cross-validation</w:t>
            </w:r>
          </w:p>
        </w:tc>
      </w:tr>
      <w:tr>
        <w:tc>
          <w:tcPr>
            <w:tcW w:type="dxa" w:w="4513"/>
          </w:tcPr>
          <w:p>
            <w:pPr>
              <w:spacing w:after="0"/>
            </w:pPr>
            <w:r/>
            <w:r>
              <w:rPr>
                <w:rFonts w:ascii="Times New Roman" w:hAnsi="Times New Roman"/>
                <w:sz w:val="22"/>
              </w:rPr>
              <w:t>DART</w:t>
            </w:r>
          </w:p>
        </w:tc>
        <w:tc>
          <w:tcPr>
            <w:tcW w:type="dxa" w:w="4513"/>
          </w:tcPr>
          <w:p>
            <w:pPr>
              <w:spacing w:after="0"/>
            </w:pPr>
            <w:r/>
            <w:r>
              <w:rPr>
                <w:rFonts w:ascii="Times New Roman" w:hAnsi="Times New Roman"/>
                <w:sz w:val="22"/>
              </w:rPr>
              <w:t>Days away, restricted or transferred (an injury-severity grouping used by US regulators)</w:t>
            </w:r>
          </w:p>
        </w:tc>
      </w:tr>
      <w:tr>
        <w:tc>
          <w:tcPr>
            <w:tcW w:type="dxa" w:w="4513"/>
          </w:tcPr>
          <w:p>
            <w:pPr>
              <w:spacing w:after="0"/>
            </w:pPr>
            <w:r/>
            <w:r>
              <w:rPr>
                <w:rFonts w:ascii="Times New Roman" w:hAnsi="Times New Roman"/>
                <w:sz w:val="22"/>
              </w:rPr>
              <w:t>EDA</w:t>
            </w:r>
          </w:p>
        </w:tc>
        <w:tc>
          <w:tcPr>
            <w:tcW w:type="dxa" w:w="4513"/>
          </w:tcPr>
          <w:p>
            <w:pPr>
              <w:spacing w:after="0"/>
            </w:pPr>
            <w:r/>
            <w:r>
              <w:rPr>
                <w:rFonts w:ascii="Times New Roman" w:hAnsi="Times New Roman"/>
                <w:sz w:val="22"/>
              </w:rPr>
              <w:t>Exploratory data analysis</w:t>
            </w:r>
          </w:p>
        </w:tc>
      </w:tr>
      <w:tr>
        <w:tc>
          <w:tcPr>
            <w:tcW w:type="dxa" w:w="4513"/>
          </w:tcPr>
          <w:p>
            <w:pPr>
              <w:spacing w:after="0"/>
            </w:pPr>
            <w:r/>
            <w:r>
              <w:rPr>
                <w:rFonts w:ascii="Times New Roman" w:hAnsi="Times New Roman"/>
                <w:sz w:val="22"/>
              </w:rPr>
              <w:t>FN / FP</w:t>
            </w:r>
          </w:p>
        </w:tc>
        <w:tc>
          <w:tcPr>
            <w:tcW w:type="dxa" w:w="4513"/>
          </w:tcPr>
          <w:p>
            <w:pPr>
              <w:spacing w:after="0"/>
            </w:pPr>
            <w:r/>
            <w:r>
              <w:rPr>
                <w:rFonts w:ascii="Times New Roman" w:hAnsi="Times New Roman"/>
                <w:sz w:val="22"/>
              </w:rPr>
              <w:t>False negative / false positive</w:t>
            </w:r>
          </w:p>
        </w:tc>
      </w:tr>
      <w:tr>
        <w:tc>
          <w:tcPr>
            <w:tcW w:type="dxa" w:w="4513"/>
          </w:tcPr>
          <w:p>
            <w:pPr>
              <w:spacing w:after="0"/>
            </w:pPr>
            <w:r/>
            <w:r>
              <w:rPr>
                <w:rFonts w:ascii="Times New Roman" w:hAnsi="Times New Roman"/>
                <w:sz w:val="22"/>
              </w:rPr>
              <w:t>HGB</w:t>
            </w:r>
          </w:p>
        </w:tc>
        <w:tc>
          <w:tcPr>
            <w:tcW w:type="dxa" w:w="4513"/>
          </w:tcPr>
          <w:p>
            <w:pPr>
              <w:spacing w:after="0"/>
            </w:pPr>
            <w:r/>
            <w:r>
              <w:rPr>
                <w:rFonts w:ascii="Times New Roman" w:hAnsi="Times New Roman"/>
                <w:sz w:val="22"/>
              </w:rPr>
              <w:t>Histogram-based gradient boosting (scikit-learn HistGradientBoostingClassifier), the selected model</w:t>
            </w:r>
          </w:p>
        </w:tc>
      </w:tr>
      <w:tr>
        <w:tc>
          <w:tcPr>
            <w:tcW w:type="dxa" w:w="4513"/>
          </w:tcPr>
          <w:p>
            <w:pPr>
              <w:spacing w:after="0"/>
            </w:pPr>
            <w:r/>
            <w:r>
              <w:rPr>
                <w:rFonts w:ascii="Times New Roman" w:hAnsi="Times New Roman"/>
                <w:sz w:val="22"/>
              </w:rPr>
              <w:t>IQR</w:t>
            </w:r>
          </w:p>
        </w:tc>
        <w:tc>
          <w:tcPr>
            <w:tcW w:type="dxa" w:w="4513"/>
          </w:tcPr>
          <w:p>
            <w:pPr>
              <w:spacing w:after="0"/>
            </w:pPr>
            <w:r/>
            <w:r>
              <w:rPr>
                <w:rFonts w:ascii="Times New Roman" w:hAnsi="Times New Roman"/>
                <w:sz w:val="22"/>
              </w:rPr>
              <w:t>Interquartile range</w:t>
            </w:r>
          </w:p>
        </w:tc>
      </w:tr>
      <w:tr>
        <w:tc>
          <w:tcPr>
            <w:tcW w:type="dxa" w:w="4513"/>
          </w:tcPr>
          <w:p>
            <w:pPr>
              <w:spacing w:after="0"/>
            </w:pPr>
            <w:r/>
            <w:r>
              <w:rPr>
                <w:rFonts w:ascii="Times New Roman" w:hAnsi="Times New Roman"/>
                <w:sz w:val="22"/>
              </w:rPr>
              <w:t>KNN</w:t>
            </w:r>
          </w:p>
        </w:tc>
        <w:tc>
          <w:tcPr>
            <w:tcW w:type="dxa" w:w="4513"/>
          </w:tcPr>
          <w:p>
            <w:pPr>
              <w:spacing w:after="0"/>
            </w:pPr>
            <w:r/>
            <w:r>
              <w:rPr>
                <w:rFonts w:ascii="Times New Roman" w:hAnsi="Times New Roman"/>
                <w:sz w:val="22"/>
              </w:rPr>
              <w:t>K-nearest neighbours</w:t>
            </w:r>
          </w:p>
        </w:tc>
      </w:tr>
      <w:tr>
        <w:tc>
          <w:tcPr>
            <w:tcW w:type="dxa" w:w="4513"/>
          </w:tcPr>
          <w:p>
            <w:pPr>
              <w:spacing w:after="0"/>
            </w:pPr>
            <w:r/>
            <w:r>
              <w:rPr>
                <w:rFonts w:ascii="Times New Roman" w:hAnsi="Times New Roman"/>
                <w:sz w:val="22"/>
              </w:rPr>
              <w:t>MAR</w:t>
            </w:r>
          </w:p>
        </w:tc>
        <w:tc>
          <w:tcPr>
            <w:tcW w:type="dxa" w:w="4513"/>
          </w:tcPr>
          <w:p>
            <w:pPr>
              <w:spacing w:after="0"/>
            </w:pPr>
            <w:r/>
            <w:r>
              <w:rPr>
                <w:rFonts w:ascii="Times New Roman" w:hAnsi="Times New Roman"/>
                <w:sz w:val="22"/>
              </w:rPr>
              <w:t>Missing at random</w:t>
            </w:r>
          </w:p>
        </w:tc>
      </w:tr>
      <w:tr>
        <w:tc>
          <w:tcPr>
            <w:tcW w:type="dxa" w:w="4513"/>
          </w:tcPr>
          <w:p>
            <w:pPr>
              <w:spacing w:after="0"/>
            </w:pPr>
            <w:r/>
            <w:r>
              <w:rPr>
                <w:rFonts w:ascii="Times New Roman" w:hAnsi="Times New Roman"/>
                <w:sz w:val="22"/>
              </w:rPr>
              <w:t>MCAR</w:t>
            </w:r>
          </w:p>
        </w:tc>
        <w:tc>
          <w:tcPr>
            <w:tcW w:type="dxa" w:w="4513"/>
          </w:tcPr>
          <w:p>
            <w:pPr>
              <w:spacing w:after="0"/>
            </w:pPr>
            <w:r/>
            <w:r>
              <w:rPr>
                <w:rFonts w:ascii="Times New Roman" w:hAnsi="Times New Roman"/>
                <w:sz w:val="22"/>
              </w:rPr>
              <w:t>Missing completely at random</w:t>
            </w:r>
          </w:p>
        </w:tc>
      </w:tr>
      <w:tr>
        <w:tc>
          <w:tcPr>
            <w:tcW w:type="dxa" w:w="4513"/>
          </w:tcPr>
          <w:p>
            <w:pPr>
              <w:spacing w:after="0"/>
            </w:pPr>
            <w:r/>
            <w:r>
              <w:rPr>
                <w:rFonts w:ascii="Times New Roman" w:hAnsi="Times New Roman"/>
                <w:sz w:val="22"/>
              </w:rPr>
              <w:t>MCC</w:t>
            </w:r>
          </w:p>
        </w:tc>
        <w:tc>
          <w:tcPr>
            <w:tcW w:type="dxa" w:w="4513"/>
          </w:tcPr>
          <w:p>
            <w:pPr>
              <w:spacing w:after="0"/>
            </w:pPr>
            <w:r/>
            <w:r>
              <w:rPr>
                <w:rFonts w:ascii="Times New Roman" w:hAnsi="Times New Roman"/>
                <w:sz w:val="22"/>
              </w:rPr>
              <w:t>Matthews correlation coefficient</w:t>
            </w:r>
          </w:p>
        </w:tc>
      </w:tr>
      <w:tr>
        <w:tc>
          <w:tcPr>
            <w:tcW w:type="dxa" w:w="4513"/>
          </w:tcPr>
          <w:p>
            <w:pPr>
              <w:spacing w:after="0"/>
            </w:pPr>
            <w:r/>
            <w:r>
              <w:rPr>
                <w:rFonts w:ascii="Times New Roman" w:hAnsi="Times New Roman"/>
                <w:sz w:val="22"/>
              </w:rPr>
              <w:t>MLP</w:t>
            </w:r>
          </w:p>
        </w:tc>
        <w:tc>
          <w:tcPr>
            <w:tcW w:type="dxa" w:w="4513"/>
          </w:tcPr>
          <w:p>
            <w:pPr>
              <w:spacing w:after="0"/>
            </w:pPr>
            <w:r/>
            <w:r>
              <w:rPr>
                <w:rFonts w:ascii="Times New Roman" w:hAnsi="Times New Roman"/>
                <w:sz w:val="22"/>
              </w:rPr>
              <w:t>Multilayer perceptron</w:t>
            </w:r>
          </w:p>
        </w:tc>
      </w:tr>
      <w:tr>
        <w:tc>
          <w:tcPr>
            <w:tcW w:type="dxa" w:w="4513"/>
          </w:tcPr>
          <w:p>
            <w:pPr>
              <w:spacing w:after="0"/>
            </w:pPr>
            <w:r/>
            <w:r>
              <w:rPr>
                <w:rFonts w:ascii="Times New Roman" w:hAnsi="Times New Roman"/>
                <w:sz w:val="22"/>
              </w:rPr>
              <w:t>MSHA</w:t>
            </w:r>
          </w:p>
        </w:tc>
        <w:tc>
          <w:tcPr>
            <w:tcW w:type="dxa" w:w="4513"/>
          </w:tcPr>
          <w:p>
            <w:pPr>
              <w:spacing w:after="0"/>
            </w:pPr>
            <w:r/>
            <w:r>
              <w:rPr>
                <w:rFonts w:ascii="Times New Roman" w:hAnsi="Times New Roman"/>
                <w:sz w:val="22"/>
              </w:rPr>
              <w:t>Mine Safety and Health Administration (US Department of Labor)</w:t>
            </w:r>
          </w:p>
        </w:tc>
      </w:tr>
      <w:tr>
        <w:tc>
          <w:tcPr>
            <w:tcW w:type="dxa" w:w="4513"/>
          </w:tcPr>
          <w:p>
            <w:pPr>
              <w:spacing w:after="0"/>
            </w:pPr>
            <w:r/>
            <w:r>
              <w:rPr>
                <w:rFonts w:ascii="Times New Roman" w:hAnsi="Times New Roman"/>
                <w:sz w:val="22"/>
              </w:rPr>
              <w:t>NCCI</w:t>
            </w:r>
          </w:p>
        </w:tc>
        <w:tc>
          <w:tcPr>
            <w:tcW w:type="dxa" w:w="4513"/>
          </w:tcPr>
          <w:p>
            <w:pPr>
              <w:spacing w:after="0"/>
            </w:pPr>
            <w:r/>
            <w:r>
              <w:rPr>
                <w:rFonts w:ascii="Times New Roman" w:hAnsi="Times New Roman"/>
                <w:sz w:val="22"/>
              </w:rPr>
              <w:t>National Council on Compensation Insurance</w:t>
            </w:r>
          </w:p>
        </w:tc>
      </w:tr>
      <w:tr>
        <w:tc>
          <w:tcPr>
            <w:tcW w:type="dxa" w:w="4513"/>
          </w:tcPr>
          <w:p>
            <w:pPr>
              <w:spacing w:after="0"/>
            </w:pPr>
            <w:r/>
            <w:r>
              <w:rPr>
                <w:rFonts w:ascii="Times New Roman" w:hAnsi="Times New Roman"/>
                <w:sz w:val="22"/>
              </w:rPr>
              <w:t>PR-AUC</w:t>
            </w:r>
          </w:p>
        </w:tc>
        <w:tc>
          <w:tcPr>
            <w:tcW w:type="dxa" w:w="4513"/>
          </w:tcPr>
          <w:p>
            <w:pPr>
              <w:spacing w:after="0"/>
            </w:pPr>
            <w:r/>
            <w:r>
              <w:rPr>
                <w:rFonts w:ascii="Times New Roman" w:hAnsi="Times New Roman"/>
                <w:sz w:val="22"/>
              </w:rPr>
              <w:t>Area under the precision-recall curve (average precision)</w:t>
            </w:r>
          </w:p>
        </w:tc>
      </w:tr>
      <w:tr>
        <w:tc>
          <w:tcPr>
            <w:tcW w:type="dxa" w:w="4513"/>
          </w:tcPr>
          <w:p>
            <w:pPr>
              <w:spacing w:after="0"/>
            </w:pPr>
            <w:r/>
            <w:r>
              <w:rPr>
                <w:rFonts w:ascii="Times New Roman" w:hAnsi="Times New Roman"/>
                <w:sz w:val="22"/>
              </w:rPr>
              <w:t>RBF</w:t>
            </w:r>
          </w:p>
        </w:tc>
        <w:tc>
          <w:tcPr>
            <w:tcW w:type="dxa" w:w="4513"/>
          </w:tcPr>
          <w:p>
            <w:pPr>
              <w:spacing w:after="0"/>
            </w:pPr>
            <w:r/>
            <w:r>
              <w:rPr>
                <w:rFonts w:ascii="Times New Roman" w:hAnsi="Times New Roman"/>
                <w:sz w:val="22"/>
              </w:rPr>
              <w:t>Radial basis function (the SVM kernel)</w:t>
            </w:r>
          </w:p>
        </w:tc>
      </w:tr>
      <w:tr>
        <w:tc>
          <w:tcPr>
            <w:tcW w:type="dxa" w:w="4513"/>
          </w:tcPr>
          <w:p>
            <w:pPr>
              <w:spacing w:after="0"/>
            </w:pPr>
            <w:r/>
            <w:r>
              <w:rPr>
                <w:rFonts w:ascii="Times New Roman" w:hAnsi="Times New Roman"/>
                <w:sz w:val="22"/>
              </w:rPr>
              <w:t>ReLU</w:t>
            </w:r>
          </w:p>
        </w:tc>
        <w:tc>
          <w:tcPr>
            <w:tcW w:type="dxa" w:w="4513"/>
          </w:tcPr>
          <w:p>
            <w:pPr>
              <w:spacing w:after="0"/>
            </w:pPr>
            <w:r/>
            <w:r>
              <w:rPr>
                <w:rFonts w:ascii="Times New Roman" w:hAnsi="Times New Roman"/>
                <w:sz w:val="22"/>
              </w:rPr>
              <w:t>Rectified linear unit (the MLP activation)</w:t>
            </w:r>
          </w:p>
        </w:tc>
      </w:tr>
      <w:tr>
        <w:tc>
          <w:tcPr>
            <w:tcW w:type="dxa" w:w="4513"/>
          </w:tcPr>
          <w:p>
            <w:pPr>
              <w:spacing w:after="0"/>
            </w:pPr>
            <w:r/>
            <w:r>
              <w:rPr>
                <w:rFonts w:ascii="Times New Roman" w:hAnsi="Times New Roman"/>
                <w:sz w:val="22"/>
              </w:rPr>
              <w:t>ROC</w:t>
            </w:r>
          </w:p>
        </w:tc>
        <w:tc>
          <w:tcPr>
            <w:tcW w:type="dxa" w:w="4513"/>
          </w:tcPr>
          <w:p>
            <w:pPr>
              <w:spacing w:after="0"/>
            </w:pPr>
            <w:r/>
            <w:r>
              <w:rPr>
                <w:rFonts w:ascii="Times New Roman" w:hAnsi="Times New Roman"/>
                <w:sz w:val="22"/>
              </w:rPr>
              <w:t>Receiver operating characteristic</w:t>
            </w:r>
          </w:p>
        </w:tc>
      </w:tr>
      <w:tr>
        <w:tc>
          <w:tcPr>
            <w:tcW w:type="dxa" w:w="4513"/>
          </w:tcPr>
          <w:p>
            <w:pPr>
              <w:spacing w:after="0"/>
            </w:pPr>
            <w:r/>
            <w:r>
              <w:rPr>
                <w:rFonts w:ascii="Times New Roman" w:hAnsi="Times New Roman"/>
                <w:sz w:val="22"/>
              </w:rPr>
              <w:t>ROC-AUC</w:t>
            </w:r>
          </w:p>
        </w:tc>
        <w:tc>
          <w:tcPr>
            <w:tcW w:type="dxa" w:w="4513"/>
          </w:tcPr>
          <w:p>
            <w:pPr>
              <w:spacing w:after="0"/>
            </w:pPr>
            <w:r/>
            <w:r>
              <w:rPr>
                <w:rFonts w:ascii="Times New Roman" w:hAnsi="Times New Roman"/>
                <w:sz w:val="22"/>
              </w:rPr>
              <w:t>Area under the receiver operating characteristic curve</w:t>
            </w:r>
          </w:p>
        </w:tc>
      </w:tr>
      <w:tr>
        <w:tc>
          <w:tcPr>
            <w:tcW w:type="dxa" w:w="4513"/>
          </w:tcPr>
          <w:p>
            <w:pPr>
              <w:spacing w:after="0"/>
            </w:pPr>
            <w:r/>
            <w:r>
              <w:rPr>
                <w:rFonts w:ascii="Times New Roman" w:hAnsi="Times New Roman"/>
                <w:sz w:val="22"/>
              </w:rPr>
              <w:t>SD</w:t>
            </w:r>
          </w:p>
        </w:tc>
        <w:tc>
          <w:tcPr>
            <w:tcW w:type="dxa" w:w="4513"/>
          </w:tcPr>
          <w:p>
            <w:pPr>
              <w:spacing w:after="0"/>
            </w:pPr>
            <w:r/>
            <w:r>
              <w:rPr>
                <w:rFonts w:ascii="Times New Roman" w:hAnsi="Times New Roman"/>
                <w:sz w:val="22"/>
              </w:rPr>
              <w:t>Sample standard deviation</w:t>
            </w:r>
          </w:p>
        </w:tc>
      </w:tr>
      <w:tr>
        <w:tc>
          <w:tcPr>
            <w:tcW w:type="dxa" w:w="4513"/>
          </w:tcPr>
          <w:p>
            <w:pPr>
              <w:spacing w:after="0"/>
            </w:pPr>
            <w:r/>
            <w:r>
              <w:rPr>
                <w:rFonts w:ascii="Times New Roman" w:hAnsi="Times New Roman"/>
                <w:sz w:val="22"/>
              </w:rPr>
              <w:t>SHAP</w:t>
            </w:r>
          </w:p>
        </w:tc>
        <w:tc>
          <w:tcPr>
            <w:tcW w:type="dxa" w:w="4513"/>
          </w:tcPr>
          <w:p>
            <w:pPr>
              <w:spacing w:after="0"/>
            </w:pPr>
            <w:r/>
            <w:r>
              <w:rPr>
                <w:rFonts w:ascii="Times New Roman" w:hAnsi="Times New Roman"/>
                <w:sz w:val="22"/>
              </w:rPr>
              <w:t>Shapley additive explanations (per-feature contributions to a prediction)</w:t>
            </w:r>
          </w:p>
        </w:tc>
      </w:tr>
      <w:tr>
        <w:tc>
          <w:tcPr>
            <w:tcW w:type="dxa" w:w="4513"/>
          </w:tcPr>
          <w:p>
            <w:pPr>
              <w:spacing w:after="0"/>
            </w:pPr>
            <w:r/>
            <w:r>
              <w:rPr>
                <w:rFonts w:ascii="Times New Roman" w:hAnsi="Times New Roman"/>
                <w:sz w:val="22"/>
              </w:rPr>
              <w:t>SMOTE</w:t>
            </w:r>
          </w:p>
        </w:tc>
        <w:tc>
          <w:tcPr>
            <w:tcW w:type="dxa" w:w="4513"/>
          </w:tcPr>
          <w:p>
            <w:pPr>
              <w:spacing w:after="0"/>
            </w:pPr>
            <w:r/>
            <w:r>
              <w:rPr>
                <w:rFonts w:ascii="Times New Roman" w:hAnsi="Times New Roman"/>
                <w:sz w:val="22"/>
              </w:rPr>
              <w:t>Synthetic minority over-sampling technique</w:t>
            </w:r>
          </w:p>
        </w:tc>
      </w:tr>
      <w:tr>
        <w:tc>
          <w:tcPr>
            <w:tcW w:type="dxa" w:w="4513"/>
          </w:tcPr>
          <w:p>
            <w:pPr>
              <w:spacing w:after="0"/>
            </w:pPr>
            <w:r/>
            <w:r>
              <w:rPr>
                <w:rFonts w:ascii="Times New Roman" w:hAnsi="Times New Roman"/>
                <w:sz w:val="22"/>
              </w:rPr>
              <w:t>SVM</w:t>
            </w:r>
          </w:p>
        </w:tc>
        <w:tc>
          <w:tcPr>
            <w:tcW w:type="dxa" w:w="4513"/>
          </w:tcPr>
          <w:p>
            <w:pPr>
              <w:spacing w:after="0"/>
            </w:pPr>
            <w:r/>
            <w:r>
              <w:rPr>
                <w:rFonts w:ascii="Times New Roman" w:hAnsi="Times New Roman"/>
                <w:sz w:val="22"/>
              </w:rPr>
              <w:t>Support vector machine</w:t>
            </w:r>
          </w:p>
        </w:tc>
      </w:tr>
      <w:tr>
        <w:tc>
          <w:tcPr>
            <w:tcW w:type="dxa" w:w="4513"/>
          </w:tcPr>
          <w:p>
            <w:pPr>
              <w:spacing w:after="0"/>
            </w:pPr>
            <w:r/>
            <w:r>
              <w:rPr>
                <w:rFonts w:ascii="Times New Roman" w:hAnsi="Times New Roman"/>
                <w:sz w:val="22"/>
              </w:rPr>
              <w:t>TNR</w:t>
            </w:r>
          </w:p>
        </w:tc>
        <w:tc>
          <w:tcPr>
            <w:tcW w:type="dxa" w:w="4513"/>
          </w:tcPr>
          <w:p>
            <w:pPr>
              <w:spacing w:after="0"/>
            </w:pPr>
            <w:r/>
            <w:r>
              <w:rPr>
                <w:rFonts w:ascii="Times New Roman" w:hAnsi="Times New Roman"/>
                <w:sz w:val="22"/>
              </w:rPr>
              <w:t>True negative rate (specificity)</w:t>
            </w:r>
          </w:p>
        </w:tc>
      </w:tr>
      <w:tr>
        <w:tc>
          <w:tcPr>
            <w:tcW w:type="dxa" w:w="4513"/>
          </w:tcPr>
          <w:p>
            <w:pPr>
              <w:spacing w:after="0"/>
            </w:pPr>
            <w:r/>
            <w:r>
              <w:rPr>
                <w:rFonts w:ascii="Times New Roman" w:hAnsi="Times New Roman"/>
                <w:sz w:val="22"/>
              </w:rPr>
              <w:t>TP / TN</w:t>
            </w:r>
          </w:p>
        </w:tc>
        <w:tc>
          <w:tcPr>
            <w:tcW w:type="dxa" w:w="4513"/>
          </w:tcPr>
          <w:p>
            <w:pPr>
              <w:spacing w:after="0"/>
            </w:pPr>
            <w:r/>
            <w:r>
              <w:rPr>
                <w:rFonts w:ascii="Times New Roman" w:hAnsi="Times New Roman"/>
                <w:sz w:val="22"/>
              </w:rPr>
              <w:t>True positive / true negative</w:t>
            </w:r>
          </w:p>
        </w:tc>
      </w:tr>
      <w:tr>
        <w:tc>
          <w:tcPr>
            <w:tcW w:type="dxa" w:w="4513"/>
          </w:tcPr>
          <w:p>
            <w:pPr>
              <w:spacing w:after="0"/>
            </w:pPr>
            <w:r/>
            <w:r>
              <w:rPr>
                <w:rFonts w:ascii="Times New Roman" w:hAnsi="Times New Roman"/>
                <w:sz w:val="22"/>
              </w:rPr>
              <w:t>TPR</w:t>
            </w:r>
          </w:p>
        </w:tc>
        <w:tc>
          <w:tcPr>
            <w:tcW w:type="dxa" w:w="4513"/>
          </w:tcPr>
          <w:p>
            <w:pPr>
              <w:spacing w:after="0"/>
            </w:pPr>
            <w:r/>
            <w:r>
              <w:rPr>
                <w:rFonts w:ascii="Times New Roman" w:hAnsi="Times New Roman"/>
                <w:sz w:val="22"/>
              </w:rPr>
              <w:t>True positive rate (recall)</w:t>
            </w:r>
          </w:p>
        </w:tc>
      </w:tr>
      <w:tr>
        <w:tc>
          <w:tcPr>
            <w:tcW w:type="dxa" w:w="4513"/>
          </w:tcPr>
          <w:p>
            <w:pPr>
              <w:spacing w:after="0"/>
            </w:pPr>
            <w:r/>
            <w:r>
              <w:rPr>
                <w:rFonts w:ascii="Times New Roman" w:hAnsi="Times New Roman"/>
                <w:sz w:val="22"/>
              </w:rPr>
              <w:t>VIF</w:t>
            </w:r>
          </w:p>
        </w:tc>
        <w:tc>
          <w:tcPr>
            <w:tcW w:type="dxa" w:w="4513"/>
          </w:tcPr>
          <w:p>
            <w:pPr>
              <w:spacing w:after="0"/>
            </w:pPr>
            <w:r/>
            <w:r>
              <w:rPr>
                <w:rFonts w:ascii="Times New Roman" w:hAnsi="Times New Roman"/>
                <w:sz w:val="22"/>
              </w:rPr>
              <w:t>Variance inflation factor</w:t>
            </w:r>
          </w:p>
        </w:tc>
      </w:tr>
    </w:tbl>
    <w:p>
      <w:r>
        <w:br w:type="page"/>
      </w:r>
    </w:p>
    <w:p>
      <w:pPr>
        <w:pStyle w:val="Heading1"/>
      </w:pPr>
      <w:r>
        <w:rPr>
          <w:rFonts w:ascii="Times New Roman" w:hAnsi="Times New Roman"/>
          <w:b/>
          <w:color w:val="000000"/>
          <w:sz w:val="32"/>
        </w:rPr>
        <w:t>Executive summary</w:t>
      </w:r>
    </w:p>
    <w:p>
      <w:r>
        <w:rPr>
          <w:rFonts w:ascii="Times New Roman" w:hAnsi="Times New Roman"/>
          <w:sz w:val="24"/>
        </w:rPr>
        <w:t>The business question is whether a mine injury report can be classified at filing as a lost-time case, one needing an indemnity reserve and a return-to-work plan. The study used 101,609 injury reports filed with the US Mine Safety and Health Administration in 2010-2025, joined to mine attributes and previous-year hours and case history. Eight algorithms were tuned with mine-year-grouped cross-validation, and histogram-based gradient boosting was selected.</w:t>
      </w:r>
    </w:p>
    <w:p>
      <w:r>
        <w:rPr>
          <w:rFonts w:ascii="Times New Roman" w:hAnsi="Times New Roman"/>
          <w:sz w:val="24"/>
        </w:rPr>
        <w:t>It reaches a held-out test recall of 0.943 and a precision of 0.599 at the capacity threshold, which flags about three cases in four, with a PR-AUC of 0.841. I recommend that workers'-compensation insurers and self-insured operators rank new claims by this score for early review, with an adjuster confirming each flag. Because the label also records whether the operator offered restricted duty, results are reported by sector, and the score should not rank mines for inspection.</w:t>
      </w:r>
    </w:p>
    <w:p>
      <w:r>
        <w:br w:type="page"/>
      </w:r>
    </w:p>
    <w:p>
      <w:pPr>
        <w:pStyle w:val="Heading1"/>
      </w:pPr>
      <w:r>
        <w:rPr>
          <w:rFonts w:ascii="Times New Roman" w:hAnsi="Times New Roman"/>
          <w:b/>
          <w:color w:val="000000"/>
          <w:sz w:val="32"/>
        </w:rPr>
        <w:t>1 Introduction</w:t>
      </w:r>
    </w:p>
    <w:p>
      <w:pPr>
        <w:pStyle w:val="Heading2"/>
      </w:pPr>
      <w:r>
        <w:rPr>
          <w:rFonts w:ascii="Times New Roman" w:hAnsi="Times New Roman"/>
          <w:b/>
          <w:color w:val="000000"/>
          <w:sz w:val="28"/>
        </w:rPr>
        <w:t>1.1 Business case</w:t>
      </w:r>
    </w:p>
    <w:p>
      <w:r>
        <w:rPr>
          <w:rFonts w:ascii="Times New Roman" w:hAnsi="Times New Roman"/>
          <w:sz w:val="24"/>
        </w:rPr>
        <w:t>The operator's safety officer files every reportable US mine injury on Mine Safety and Health Administration (MSHA) Form 7000-1 within ten working days (Legal Information Institute, no date a). The workers'-compensation insurer or self-insured operator then decides whether to open an indemnity reserve, a return-to-work plan and medical case management. Federal surveillance counted 3,604 non-fatal lost-time injuries at US mines in 2024 (National Institute for Occupational Safety and Health, no date); in-scope reports here averaged about 5,000 a year from 2020. The form also records the degree of injury, filed for 45.0% of in-scope reports once the worker was back (Table 21); the score serves the earlier decision at first notice and uses only circumstance, worker and mine fields.</w:t>
      </w:r>
    </w:p>
    <w:p>
      <w:r>
        <w:rPr>
          <w:rFonts w:ascii="Times New Roman" w:hAnsi="Times New Roman"/>
          <w:sz w:val="24"/>
        </w:rPr>
        <w:t>Table 1 prices the two errors. A false negative delays the reserve, return-to-work plan and medical management, and late-reported claims cost more (Business Insurance, 2015); a false positive costs a needless review. Their ratio is assumed and varied. With almost half the reports positive, reviewing everything is cheapest from about 10:1, so review capacity sets the threshold and the model is judged on ranking. Capacity, about three cases in four, is an assumption without a public source, so Table 20 also flags half and five in six of the filings.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Item</w:t>
            </w:r>
          </w:p>
        </w:tc>
        <w:tc>
          <w:tcPr>
            <w:tcW w:type="dxa" w:w="2256"/>
            <w:shd w:val="clear" w:color="auto" w:fill="E7E6E6"/>
          </w:tcPr>
          <w:p>
            <w:pPr>
              <w:jc w:val="left"/>
            </w:pPr>
            <w:r>
              <w:rPr>
                <w:b/>
              </w:rPr>
            </w:r>
            <w:r>
              <w:rPr>
                <w:rFonts w:ascii="Times New Roman" w:hAnsi="Times New Roman"/>
                <w:b/>
                <w:sz w:val="22"/>
              </w:rPr>
              <w:t>Meaning at filing</w:t>
            </w:r>
          </w:p>
        </w:tc>
        <w:tc>
          <w:tcPr>
            <w:tcW w:type="dxa" w:w="2256"/>
            <w:shd w:val="clear" w:color="auto" w:fill="E7E6E6"/>
          </w:tcPr>
          <w:p>
            <w:pPr>
              <w:jc w:val="left"/>
            </w:pPr>
            <w:r>
              <w:rPr>
                <w:b/>
              </w:rPr>
            </w:r>
            <w:r>
              <w:rPr>
                <w:rFonts w:ascii="Times New Roman" w:hAnsi="Times New Roman"/>
                <w:b/>
                <w:sz w:val="22"/>
              </w:rPr>
              <w:t>Value used</w:t>
            </w:r>
          </w:p>
        </w:tc>
        <w:tc>
          <w:tcPr>
            <w:tcW w:type="dxa" w:w="2256"/>
            <w:shd w:val="clear" w:color="auto" w:fill="E7E6E6"/>
          </w:tcPr>
          <w:p>
            <w:pPr>
              <w:jc w:val="left"/>
            </w:pPr>
            <w:r>
              <w:rPr>
                <w:b/>
              </w:rPr>
            </w:r>
            <w:r>
              <w:rPr>
                <w:rFonts w:ascii="Times New Roman" w:hAnsi="Times New Roman"/>
                <w:b/>
                <w:sz w:val="22"/>
              </w:rPr>
              <w:t>Evidence and status</w:t>
            </w:r>
          </w:p>
        </w:tc>
      </w:tr>
      <w:tr>
        <w:tc>
          <w:tcPr>
            <w:tcW w:type="dxa" w:w="2256"/>
          </w:tcPr>
          <w:p>
            <w:pPr>
              <w:spacing w:after="0"/>
              <w:jc w:val="left"/>
            </w:pPr>
            <w:r/>
            <w:r>
              <w:rPr>
                <w:rFonts w:ascii="Times New Roman" w:hAnsi="Times New Roman"/>
                <w:sz w:val="22"/>
              </w:rPr>
              <w:t>False positive (C_FP)</w:t>
            </w:r>
          </w:p>
        </w:tc>
        <w:tc>
          <w:tcPr>
            <w:tcW w:type="dxa" w:w="2256"/>
          </w:tcPr>
          <w:p>
            <w:pPr>
              <w:spacing w:after="0"/>
              <w:jc w:val="left"/>
            </w:pPr>
            <w:r/>
            <w:r>
              <w:rPr>
                <w:rFonts w:ascii="Times New Roman" w:hAnsi="Times New Roman"/>
                <w:sz w:val="22"/>
              </w:rPr>
              <w:t>a case flagged for early review that ends as restricted duty or medical treatment only</w:t>
            </w:r>
          </w:p>
        </w:tc>
        <w:tc>
          <w:tcPr>
            <w:tcW w:type="dxa" w:w="2256"/>
          </w:tcPr>
          <w:p>
            <w:pPr>
              <w:spacing w:after="0"/>
              <w:jc w:val="left"/>
            </w:pPr>
            <w:r/>
            <w:r>
              <w:rPr>
                <w:rFonts w:ascii="Times New Roman" w:hAnsi="Times New Roman"/>
                <w:sz w:val="22"/>
              </w:rPr>
              <w:t>USD 200 (range 105 to 260)</w:t>
            </w:r>
          </w:p>
        </w:tc>
        <w:tc>
          <w:tcPr>
            <w:tcW w:type="dxa" w:w="2256"/>
          </w:tcPr>
          <w:p>
            <w:pPr>
              <w:spacing w:after="0"/>
              <w:jc w:val="left"/>
            </w:pPr>
            <w:r/>
            <w:r>
              <w:rPr>
                <w:rFonts w:ascii="Times New Roman" w:hAnsi="Times New Roman"/>
                <w:sz w:val="22"/>
              </w:rPr>
              <w:t>2 to 4 claims-adjuster hours at the median wage of USD 37.51 per hour, loaded by 1.4, plus about 1 hour of safety-officer time (Bureau of Labor Statistics, 2025)</w:t>
            </w:r>
          </w:p>
        </w:tc>
      </w:tr>
      <w:tr>
        <w:tc>
          <w:tcPr>
            <w:tcW w:type="dxa" w:w="2256"/>
          </w:tcPr>
          <w:p>
            <w:pPr>
              <w:spacing w:after="0"/>
              <w:jc w:val="left"/>
            </w:pPr>
            <w:r/>
            <w:r>
              <w:rPr>
                <w:rFonts w:ascii="Times New Roman" w:hAnsi="Times New Roman"/>
                <w:sz w:val="22"/>
              </w:rPr>
              <w:t>False negative (C_FN)</w:t>
            </w:r>
          </w:p>
        </w:tc>
        <w:tc>
          <w:tcPr>
            <w:tcW w:type="dxa" w:w="2256"/>
          </w:tcPr>
          <w:p>
            <w:pPr>
              <w:spacing w:after="0"/>
              <w:jc w:val="left"/>
            </w:pPr>
            <w:r/>
            <w:r>
              <w:rPr>
                <w:rFonts w:ascii="Times New Roman" w:hAnsi="Times New Roman"/>
                <w:sz w:val="22"/>
              </w:rPr>
              <w:t>a lost-time case left unflagged, so reserve, return-to-work plan and medical management start late</w:t>
            </w:r>
          </w:p>
        </w:tc>
        <w:tc>
          <w:tcPr>
            <w:tcW w:type="dxa" w:w="2256"/>
          </w:tcPr>
          <w:p>
            <w:pPr>
              <w:spacing w:after="0"/>
              <w:jc w:val="left"/>
            </w:pPr>
            <w:r/>
            <w:r>
              <w:rPr>
                <w:rFonts w:ascii="Times New Roman" w:hAnsi="Times New Roman"/>
                <w:sz w:val="22"/>
              </w:rPr>
              <w:t>USD 4,000 (range 3,100 to 6,200), an assumption</w:t>
            </w:r>
          </w:p>
        </w:tc>
        <w:tc>
          <w:tcPr>
            <w:tcW w:type="dxa" w:w="2256"/>
          </w:tcPr>
          <w:p>
            <w:pPr>
              <w:spacing w:after="0"/>
              <w:jc w:val="left"/>
            </w:pPr>
            <w:r/>
            <w:r>
              <w:rPr>
                <w:rFonts w:ascii="Times New Roman" w:hAnsi="Times New Roman"/>
                <w:sz w:val="22"/>
              </w:rPr>
              <w:t>5% to 10% of the National Council on Compensation Insurance (NCCI) accident-year 2025 average lost-time claim of USD 61,900 (indemnity 31,300 plus medical 30,600) (Gen Re, 2026); the share is a judgement, and the NCCI report-lag study, where claims reported in week 3 cost 35% more (Business Insurance, 2015), is an analogy only</w:t>
            </w:r>
          </w:p>
        </w:tc>
      </w:tr>
      <w:tr>
        <w:tc>
          <w:tcPr>
            <w:tcW w:type="dxa" w:w="2256"/>
          </w:tcPr>
          <w:p>
            <w:pPr>
              <w:spacing w:after="0"/>
              <w:jc w:val="left"/>
            </w:pPr>
            <w:r/>
            <w:r>
              <w:rPr>
                <w:rFonts w:ascii="Times New Roman" w:hAnsi="Times New Roman"/>
                <w:sz w:val="22"/>
              </w:rPr>
              <w:t>Cost ratio C_FN : C_FP</w:t>
            </w:r>
          </w:p>
        </w:tc>
        <w:tc>
          <w:tcPr>
            <w:tcW w:type="dxa" w:w="2256"/>
          </w:tcPr>
          <w:p>
            <w:pPr>
              <w:spacing w:after="0"/>
              <w:jc w:val="left"/>
            </w:pPr>
            <w:r/>
            <w:r>
              <w:rPr>
                <w:rFonts w:ascii="Times New Roman" w:hAnsi="Times New Roman"/>
                <w:sz w:val="22"/>
              </w:rPr>
              <w:t>weight of one miss against one unnecessary review</w:t>
            </w:r>
          </w:p>
        </w:tc>
        <w:tc>
          <w:tcPr>
            <w:tcW w:type="dxa" w:w="2256"/>
          </w:tcPr>
          <w:p>
            <w:pPr>
              <w:spacing w:after="0"/>
              <w:jc w:val="left"/>
            </w:pPr>
            <w:r/>
            <w:r>
              <w:rPr>
                <w:rFonts w:ascii="Times New Roman" w:hAnsi="Times New Roman"/>
                <w:sz w:val="22"/>
              </w:rPr>
              <w:t>20:1 base; sensitivity set 2:1, 3:1, 5:1, 10:1, 20:1, 30:1</w:t>
            </w:r>
          </w:p>
        </w:tc>
        <w:tc>
          <w:tcPr>
            <w:tcW w:type="dxa" w:w="2256"/>
          </w:tcPr>
          <w:p>
            <w:pPr>
              <w:spacing w:after="0"/>
              <w:jc w:val="left"/>
            </w:pPr>
            <w:r/>
            <w:r>
              <w:rPr>
                <w:rFonts w:ascii="Times New Roman" w:hAnsi="Times New Roman"/>
                <w:sz w:val="22"/>
              </w:rPr>
              <w:t>implied threshold on a calibrated probability p* = 1 / (1 + ratio), 0.333 at 2:1 and 0.048 at 20:1</w:t>
            </w:r>
          </w:p>
        </w:tc>
      </w:tr>
      <w:tr>
        <w:tc>
          <w:tcPr>
            <w:tcW w:type="dxa" w:w="2256"/>
          </w:tcPr>
          <w:p>
            <w:pPr>
              <w:spacing w:after="0"/>
              <w:jc w:val="left"/>
            </w:pPr>
            <w:r/>
            <w:r>
              <w:rPr>
                <w:rFonts w:ascii="Times New Roman" w:hAnsi="Times New Roman"/>
                <w:sz w:val="22"/>
              </w:rPr>
              <w:t>Review-everything floor</w:t>
            </w:r>
          </w:p>
        </w:tc>
        <w:tc>
          <w:tcPr>
            <w:tcW w:type="dxa" w:w="2256"/>
          </w:tcPr>
          <w:p>
            <w:pPr>
              <w:spacing w:after="0"/>
              <w:jc w:val="left"/>
            </w:pPr>
            <w:r/>
            <w:r>
              <w:rPr>
                <w:rFonts w:ascii="Times New Roman" w:hAnsi="Times New Roman"/>
                <w:sz w:val="22"/>
              </w:rPr>
              <w:t>error cost of flagging every case: each of the 514 non-lost-time cases per 1,000 becomes a USD 200 false positive, and correct decisions cost nothing because C_FN is the loss net of a review</w:t>
            </w:r>
          </w:p>
        </w:tc>
        <w:tc>
          <w:tcPr>
            <w:tcW w:type="dxa" w:w="2256"/>
          </w:tcPr>
          <w:p>
            <w:pPr>
              <w:spacing w:after="0"/>
              <w:jc w:val="left"/>
            </w:pPr>
            <w:r/>
            <w:r>
              <w:rPr>
                <w:rFonts w:ascii="Times New Roman" w:hAnsi="Times New Roman"/>
                <w:sz w:val="22"/>
              </w:rPr>
              <w:t>USD 102,829 per 1,000 cases at any ratio</w:t>
            </w:r>
          </w:p>
        </w:tc>
        <w:tc>
          <w:tcPr>
            <w:tcW w:type="dxa" w:w="2256"/>
          </w:tcPr>
          <w:p>
            <w:pPr>
              <w:spacing w:after="0"/>
              <w:jc w:val="left"/>
            </w:pPr>
            <w:r/>
            <w:r>
              <w:rPr>
                <w:rFonts w:ascii="Times New Roman" w:hAnsi="Times New Roman"/>
                <w:sz w:val="22"/>
              </w:rPr>
              <w:t>cost-optimal from about 10:1 upwards at 48.6% prevalence, so review capacity sets the threshold (the capacity threshold: specificity 0.40, about 75% of cases flagged, an assumption without a public source)</w:t>
            </w:r>
          </w:p>
        </w:tc>
      </w:tr>
    </w:tbl>
    <w:p>
      <w:pPr>
        <w:spacing w:after="80"/>
      </w:pPr>
    </w:p>
    <w:p>
      <w:r>
        <w:rPr>
          <w:rFonts w:ascii="Times New Roman" w:hAnsi="Times New Roman"/>
          <w:sz w:val="24"/>
        </w:rPr>
        <w:t>A one-field hand rule built for this study, flagging all but cuts, dust in the eye and scratches, catches most cases of both classes but cannot trade recall for specificity as capacity changes (Table 3). In Mitchell's (1997) terms, task T is labelling each new report lost-time or not, experience E is the labelled training reports, and performance P is the held-out area under the precision-recall curve (PR-AUC). Following Provost and Fawcett (2013), this is supervised binary classification with probability estimates, scored in batch on daily filings and interactively in the application.</w:t>
      </w:r>
    </w:p>
    <w:p>
      <w:pPr>
        <w:pStyle w:val="Heading2"/>
      </w:pPr>
      <w:r>
        <w:rPr>
          <w:rFonts w:ascii="Times New Roman" w:hAnsi="Times New Roman"/>
          <w:b/>
          <w:color w:val="000000"/>
          <w:sz w:val="28"/>
        </w:rPr>
        <w:t>1.2 Problem framing</w:t>
      </w:r>
    </w:p>
    <w:p>
      <w:r>
        <w:rPr>
          <w:rFonts w:ascii="Times New Roman" w:hAnsi="Times New Roman"/>
          <w:sz w:val="24"/>
        </w:rPr>
        <w:t>One row is one injured person on one Form 7000-1 (Mine Safety and Health Administration, no date). The target lost_time, derived from DEGREE_INJURY_CD (Table 2), is positive for fatalities, permanent disabilities and days-away cases, which trigger wage replacement, and negative for restricted-duty-only and no-lost-time cases. A "serious" label (fatal, permanent or 30 or more days lost; 24.8% positive) assumes days lost are final at filing, yet open cases are right-censored. The days away, restricted or transferred (DART) label (69.0% positive) assumes restricted duty matters to the payer, which owes no indemnity for it. I kept the days-away label because it matches the reserve decision and the federal injury-survey definition (Bureau of Labor Statistics, no date).</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Mapping of MSHA degree-of-injury codes to the lost_time target, with row counts and prevalence on all in-scope reports of 2010-2025 before the train/test split, and the two alternative labels that were assessed.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DEGREE_INJURY_CD</w:t>
            </w:r>
          </w:p>
        </w:tc>
        <w:tc>
          <w:tcPr>
            <w:tcW w:type="dxa" w:w="2256"/>
            <w:shd w:val="clear" w:color="auto" w:fill="E7E6E6"/>
          </w:tcPr>
          <w:p>
            <w:pPr>
              <w:jc w:val="left"/>
            </w:pPr>
            <w:r>
              <w:rPr>
                <w:b/>
              </w:rPr>
            </w:r>
            <w:r>
              <w:rPr>
                <w:rFonts w:ascii="Times New Roman" w:hAnsi="Times New Roman"/>
                <w:b/>
                <w:sz w:val="22"/>
              </w:rPr>
              <w:t>Codebook meaning</w:t>
            </w:r>
          </w:p>
        </w:tc>
        <w:tc>
          <w:tcPr>
            <w:tcW w:type="dxa" w:w="2256"/>
            <w:shd w:val="clear" w:color="auto" w:fill="E7E6E6"/>
          </w:tcPr>
          <w:p>
            <w:pPr>
              <w:jc w:val="left"/>
            </w:pPr>
            <w:r>
              <w:rPr>
                <w:b/>
              </w:rPr>
            </w:r>
            <w:r>
              <w:rPr>
                <w:rFonts w:ascii="Times New Roman" w:hAnsi="Times New Roman"/>
                <w:b/>
                <w:sz w:val="22"/>
              </w:rPr>
              <w:t>Rows</w:t>
            </w:r>
          </w:p>
        </w:tc>
        <w:tc>
          <w:tcPr>
            <w:tcW w:type="dxa" w:w="2256"/>
            <w:shd w:val="clear" w:color="auto" w:fill="E7E6E6"/>
          </w:tcPr>
          <w:p>
            <w:pPr>
              <w:jc w:val="left"/>
            </w:pPr>
            <w:r>
              <w:rPr>
                <w:b/>
              </w:rPr>
            </w:r>
            <w:r>
              <w:rPr>
                <w:rFonts w:ascii="Times New Roman" w:hAnsi="Times New Roman"/>
                <w:b/>
                <w:sz w:val="22"/>
              </w:rPr>
              <w:t>Class</w:t>
            </w:r>
          </w:p>
        </w:tc>
      </w:tr>
      <w:tr>
        <w:tc>
          <w:tcPr>
            <w:tcW w:type="dxa" w:w="2256"/>
          </w:tcPr>
          <w:p>
            <w:pPr>
              <w:spacing w:after="0"/>
              <w:jc w:val="left"/>
            </w:pPr>
            <w:r/>
            <w:r>
              <w:rPr>
                <w:rFonts w:ascii="Times New Roman" w:hAnsi="Times New Roman"/>
                <w:sz w:val="22"/>
              </w:rPr>
              <w:t>01</w:t>
            </w:r>
          </w:p>
        </w:tc>
        <w:tc>
          <w:tcPr>
            <w:tcW w:type="dxa" w:w="2256"/>
          </w:tcPr>
          <w:p>
            <w:pPr>
              <w:spacing w:after="0"/>
              <w:jc w:val="left"/>
            </w:pPr>
            <w:r/>
            <w:r>
              <w:rPr>
                <w:rFonts w:ascii="Times New Roman" w:hAnsi="Times New Roman"/>
                <w:sz w:val="22"/>
              </w:rPr>
              <w:t>Fatality</w:t>
            </w:r>
          </w:p>
        </w:tc>
        <w:tc>
          <w:tcPr>
            <w:tcW w:type="dxa" w:w="2256"/>
          </w:tcPr>
          <w:p>
            <w:pPr>
              <w:spacing w:after="0"/>
              <w:jc w:val="left"/>
            </w:pPr>
            <w:r/>
            <w:r>
              <w:rPr>
                <w:rFonts w:ascii="Times New Roman" w:hAnsi="Times New Roman"/>
                <w:sz w:val="22"/>
              </w:rPr>
              <w:t>567</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02</w:t>
            </w:r>
          </w:p>
        </w:tc>
        <w:tc>
          <w:tcPr>
            <w:tcW w:type="dxa" w:w="2256"/>
          </w:tcPr>
          <w:p>
            <w:pPr>
              <w:spacing w:after="0"/>
              <w:jc w:val="left"/>
            </w:pPr>
            <w:r/>
            <w:r>
              <w:rPr>
                <w:rFonts w:ascii="Times New Roman" w:hAnsi="Times New Roman"/>
                <w:sz w:val="22"/>
              </w:rPr>
              <w:t>Permanent total or partial disability</w:t>
            </w:r>
          </w:p>
        </w:tc>
        <w:tc>
          <w:tcPr>
            <w:tcW w:type="dxa" w:w="2256"/>
          </w:tcPr>
          <w:p>
            <w:pPr>
              <w:spacing w:after="0"/>
              <w:jc w:val="left"/>
            </w:pPr>
            <w:r/>
            <w:r>
              <w:rPr>
                <w:rFonts w:ascii="Times New Roman" w:hAnsi="Times New Roman"/>
                <w:sz w:val="22"/>
              </w:rPr>
              <w:t>1,124</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03</w:t>
            </w:r>
          </w:p>
        </w:tc>
        <w:tc>
          <w:tcPr>
            <w:tcW w:type="dxa" w:w="2256"/>
          </w:tcPr>
          <w:p>
            <w:pPr>
              <w:spacing w:after="0"/>
              <w:jc w:val="left"/>
            </w:pPr>
            <w:r/>
            <w:r>
              <w:rPr>
                <w:rFonts w:ascii="Times New Roman" w:hAnsi="Times New Roman"/>
                <w:sz w:val="22"/>
              </w:rPr>
              <w:t>Days away from work only</w:t>
            </w:r>
          </w:p>
        </w:tc>
        <w:tc>
          <w:tcPr>
            <w:tcW w:type="dxa" w:w="2256"/>
          </w:tcPr>
          <w:p>
            <w:pPr>
              <w:spacing w:after="0"/>
              <w:jc w:val="left"/>
            </w:pPr>
            <w:r/>
            <w:r>
              <w:rPr>
                <w:rFonts w:ascii="Times New Roman" w:hAnsi="Times New Roman"/>
                <w:sz w:val="22"/>
              </w:rPr>
              <w:t>36,948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04</w:t>
            </w:r>
          </w:p>
        </w:tc>
        <w:tc>
          <w:tcPr>
            <w:tcW w:type="dxa" w:w="2256"/>
          </w:tcPr>
          <w:p>
            <w:pPr>
              <w:spacing w:after="0"/>
              <w:jc w:val="left"/>
            </w:pPr>
            <w:r/>
            <w:r>
              <w:rPr>
                <w:rFonts w:ascii="Times New Roman" w:hAnsi="Times New Roman"/>
                <w:sz w:val="22"/>
              </w:rPr>
              <w:t>Days away from work and restricted activity</w:t>
            </w:r>
          </w:p>
        </w:tc>
        <w:tc>
          <w:tcPr>
            <w:tcW w:type="dxa" w:w="2256"/>
          </w:tcPr>
          <w:p>
            <w:pPr>
              <w:spacing w:after="0"/>
              <w:jc w:val="left"/>
            </w:pPr>
            <w:r/>
            <w:r>
              <w:rPr>
                <w:rFonts w:ascii="Times New Roman" w:hAnsi="Times New Roman"/>
                <w:sz w:val="22"/>
              </w:rPr>
              <w:t>10,728</w:t>
            </w:r>
          </w:p>
        </w:tc>
        <w:tc>
          <w:tcPr>
            <w:tcW w:type="dxa" w:w="2256"/>
          </w:tcPr>
          <w:p>
            <w:pPr>
              <w:spacing w:after="0"/>
              <w:jc w:val="left"/>
            </w:pPr>
            <w:r/>
            <w:r>
              <w:rPr>
                <w:rFonts w:ascii="Times New Roman" w:hAnsi="Times New Roman"/>
                <w:sz w:val="22"/>
              </w:rPr>
              <w:t>positive</w:t>
            </w:r>
          </w:p>
        </w:tc>
      </w:tr>
      <w:tr>
        <w:tc>
          <w:tcPr>
            <w:tcW w:type="dxa" w:w="2256"/>
          </w:tcPr>
          <w:p>
            <w:pPr>
              <w:spacing w:after="0"/>
              <w:jc w:val="left"/>
            </w:pPr>
            <w:r/>
            <w:r>
              <w:rPr>
                <w:rFonts w:ascii="Times New Roman" w:hAnsi="Times New Roman"/>
                <w:sz w:val="22"/>
              </w:rPr>
              <w:t>05</w:t>
            </w:r>
          </w:p>
        </w:tc>
        <w:tc>
          <w:tcPr>
            <w:tcW w:type="dxa" w:w="2256"/>
          </w:tcPr>
          <w:p>
            <w:pPr>
              <w:spacing w:after="0"/>
              <w:jc w:val="left"/>
            </w:pPr>
            <w:r/>
            <w:r>
              <w:rPr>
                <w:rFonts w:ascii="Times New Roman" w:hAnsi="Times New Roman"/>
                <w:sz w:val="22"/>
              </w:rPr>
              <w:t>Days of restricted activity only</w:t>
            </w:r>
          </w:p>
        </w:tc>
        <w:tc>
          <w:tcPr>
            <w:tcW w:type="dxa" w:w="2256"/>
          </w:tcPr>
          <w:p>
            <w:pPr>
              <w:spacing w:after="0"/>
              <w:jc w:val="left"/>
            </w:pPr>
            <w:r/>
            <w:r>
              <w:rPr>
                <w:rFonts w:ascii="Times New Roman" w:hAnsi="Times New Roman"/>
                <w:sz w:val="22"/>
              </w:rPr>
              <w:t>20,788</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06</w:t>
            </w:r>
          </w:p>
        </w:tc>
        <w:tc>
          <w:tcPr>
            <w:tcW w:type="dxa" w:w="2256"/>
          </w:tcPr>
          <w:p>
            <w:pPr>
              <w:spacing w:after="0"/>
              <w:jc w:val="left"/>
            </w:pPr>
            <w:r/>
            <w:r>
              <w:rPr>
                <w:rFonts w:ascii="Times New Roman" w:hAnsi="Times New Roman"/>
                <w:sz w:val="22"/>
              </w:rPr>
              <w:t>No days away from work, no restrictions</w:t>
            </w:r>
          </w:p>
        </w:tc>
        <w:tc>
          <w:tcPr>
            <w:tcW w:type="dxa" w:w="2256"/>
          </w:tcPr>
          <w:p>
            <w:pPr>
              <w:spacing w:after="0"/>
              <w:jc w:val="left"/>
            </w:pPr>
            <w:r/>
            <w:r>
              <w:rPr>
                <w:rFonts w:ascii="Times New Roman" w:hAnsi="Times New Roman"/>
                <w:sz w:val="22"/>
              </w:rPr>
              <w:t>31,454</w:t>
            </w:r>
          </w:p>
        </w:tc>
        <w:tc>
          <w:tcPr>
            <w:tcW w:type="dxa" w:w="2256"/>
          </w:tcPr>
          <w:p>
            <w:pPr>
              <w:spacing w:after="0"/>
              <w:jc w:val="left"/>
            </w:pPr>
            <w:r/>
            <w:r>
              <w:rPr>
                <w:rFonts w:ascii="Times New Roman" w:hAnsi="Times New Roman"/>
                <w:sz w:val="22"/>
              </w:rPr>
              <w:t>negative</w:t>
            </w:r>
          </w:p>
        </w:tc>
      </w:tr>
      <w:tr>
        <w:tc>
          <w:tcPr>
            <w:tcW w:type="dxa" w:w="2256"/>
          </w:tcPr>
          <w:p>
            <w:pPr>
              <w:spacing w:after="0"/>
              <w:jc w:val="left"/>
            </w:pPr>
            <w:r/>
            <w:r>
              <w:rPr>
                <w:rFonts w:ascii="Times New Roman" w:hAnsi="Times New Roman"/>
                <w:sz w:val="22"/>
              </w:rPr>
              <w:t>00, 07, 08, 09, 10</w:t>
            </w:r>
          </w:p>
        </w:tc>
        <w:tc>
          <w:tcPr>
            <w:tcW w:type="dxa" w:w="2256"/>
          </w:tcPr>
          <w:p>
            <w:pPr>
              <w:spacing w:after="0"/>
              <w:jc w:val="left"/>
            </w:pPr>
            <w:r/>
            <w:r>
              <w:rPr>
                <w:rFonts w:ascii="Times New Roman" w:hAnsi="Times New Roman"/>
                <w:sz w:val="22"/>
              </w:rPr>
              <w:t>Accident only, occupational illness, natural causes, non-employee, all other cases including first aid</w:t>
            </w:r>
          </w:p>
        </w:tc>
        <w:tc>
          <w:tcPr>
            <w:tcW w:type="dxa" w:w="2256"/>
          </w:tcPr>
          <w:p>
            <w:pPr>
              <w:spacing w:after="0"/>
              <w:jc w:val="left"/>
            </w:pPr>
            <w:r/>
            <w:r>
              <w:rPr>
                <w:rFonts w:ascii="Times New Roman" w:hAnsi="Times New Roman"/>
                <w:sz w:val="22"/>
              </w:rPr>
              <w:t>19,932</w:t>
            </w:r>
          </w:p>
        </w:tc>
        <w:tc>
          <w:tcPr>
            <w:tcW w:type="dxa" w:w="2256"/>
          </w:tcPr>
          <w:p>
            <w:pPr>
              <w:spacing w:after="0"/>
              <w:jc w:val="left"/>
            </w:pPr>
            <w:r/>
            <w:r>
              <w:rPr>
                <w:rFonts w:ascii="Times New Roman" w:hAnsi="Times New Roman"/>
                <w:sz w:val="22"/>
              </w:rPr>
              <w:t>excluded</w:t>
            </w:r>
          </w:p>
        </w:tc>
      </w:tr>
      <w:tr>
        <w:tc>
          <w:tcPr>
            <w:tcW w:type="dxa" w:w="2256"/>
          </w:tcPr>
          <w:p>
            <w:pPr>
              <w:spacing w:after="0"/>
              <w:jc w:val="left"/>
            </w:pPr>
            <w:r/>
            <w:r>
              <w:rPr>
                <w:rFonts w:ascii="Times New Roman" w:hAnsi="Times New Roman"/>
                <w:sz w:val="22"/>
              </w:rPr>
              <w:t>All in-scope reports</w:t>
            </w:r>
          </w:p>
        </w:tc>
        <w:tc>
          <w:tcPr>
            <w:tcW w:type="dxa" w:w="2256"/>
          </w:tcPr>
          <w:p>
            <w:pPr>
              <w:spacing w:after="0"/>
              <w:jc w:val="left"/>
            </w:pPr>
            <w:r/>
            <w:r>
              <w:rPr>
                <w:rFonts w:ascii="Times New Roman" w:hAnsi="Times New Roman"/>
                <w:sz w:val="22"/>
              </w:rPr>
              <w:t>49,367 positive and 52,242 negative</w:t>
            </w:r>
          </w:p>
        </w:tc>
        <w:tc>
          <w:tcPr>
            <w:tcW w:type="dxa" w:w="2256"/>
          </w:tcPr>
          <w:p>
            <w:pPr>
              <w:spacing w:after="0"/>
              <w:jc w:val="left"/>
            </w:pPr>
            <w:r/>
            <w:r>
              <w:rPr>
                <w:rFonts w:ascii="Times New Roman" w:hAnsi="Times New Roman"/>
                <w:sz w:val="22"/>
              </w:rPr>
              <w:t>101,609</w:t>
            </w:r>
          </w:p>
        </w:tc>
        <w:tc>
          <w:tcPr>
            <w:tcW w:type="dxa" w:w="2256"/>
          </w:tcPr>
          <w:p>
            <w:pPr>
              <w:spacing w:after="0"/>
              <w:jc w:val="left"/>
            </w:pPr>
            <w:r/>
            <w:r>
              <w:rPr>
                <w:rFonts w:ascii="Times New Roman" w:hAnsi="Times New Roman"/>
                <w:sz w:val="22"/>
              </w:rPr>
              <w:t>prevalence 48.6%</w:t>
            </w:r>
          </w:p>
        </w:tc>
      </w:tr>
      <w:tr>
        <w:tc>
          <w:tcPr>
            <w:tcW w:type="dxa" w:w="2256"/>
          </w:tcPr>
          <w:p>
            <w:pPr>
              <w:spacing w:after="0"/>
              <w:jc w:val="left"/>
            </w:pPr>
            <w:r/>
            <w:r>
              <w:rPr>
                <w:rFonts w:ascii="Times New Roman" w:hAnsi="Times New Roman"/>
                <w:sz w:val="22"/>
              </w:rPr>
              <w:t>Coal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41,461</w:t>
            </w:r>
          </w:p>
        </w:tc>
        <w:tc>
          <w:tcPr>
            <w:tcW w:type="dxa" w:w="2256"/>
          </w:tcPr>
          <w:p>
            <w:pPr>
              <w:spacing w:after="0"/>
              <w:jc w:val="left"/>
            </w:pPr>
            <w:r/>
            <w:r>
              <w:rPr>
                <w:rFonts w:ascii="Times New Roman" w:hAnsi="Times New Roman"/>
                <w:sz w:val="22"/>
              </w:rPr>
              <w:t>prevalence 63.0%</w:t>
            </w:r>
          </w:p>
        </w:tc>
      </w:tr>
      <w:tr>
        <w:tc>
          <w:tcPr>
            <w:tcW w:type="dxa" w:w="2256"/>
          </w:tcPr>
          <w:p>
            <w:pPr>
              <w:spacing w:after="0"/>
              <w:jc w:val="left"/>
            </w:pPr>
            <w:r/>
            <w:r>
              <w:rPr>
                <w:rFonts w:ascii="Times New Roman" w:hAnsi="Times New Roman"/>
                <w:sz w:val="22"/>
              </w:rPr>
              <w:t>Metal and non-metal mines</w:t>
            </w:r>
          </w:p>
        </w:tc>
        <w:tc>
          <w:tcPr>
            <w:tcW w:type="dxa" w:w="2256"/>
          </w:tcPr>
          <w:p>
            <w:pPr>
              <w:spacing w:after="0"/>
              <w:jc w:val="left"/>
            </w:pPr>
            <w:r/>
            <w:r>
              <w:rPr>
                <w:rFonts w:ascii="Times New Roman" w:hAnsi="Times New Roman"/>
                <w:sz w:val="22"/>
              </w:rPr>
              <w:t>sector from COAL_METAL_IND</w:t>
            </w:r>
          </w:p>
        </w:tc>
        <w:tc>
          <w:tcPr>
            <w:tcW w:type="dxa" w:w="2256"/>
          </w:tcPr>
          <w:p>
            <w:pPr>
              <w:spacing w:after="0"/>
              <w:jc w:val="left"/>
            </w:pPr>
            <w:r/>
            <w:r>
              <w:rPr>
                <w:rFonts w:ascii="Times New Roman" w:hAnsi="Times New Roman"/>
                <w:sz w:val="22"/>
              </w:rPr>
              <w:t>60,148</w:t>
            </w:r>
          </w:p>
        </w:tc>
        <w:tc>
          <w:tcPr>
            <w:tcW w:type="dxa" w:w="2256"/>
          </w:tcPr>
          <w:p>
            <w:pPr>
              <w:spacing w:after="0"/>
              <w:jc w:val="left"/>
            </w:pPr>
            <w:r/>
            <w:r>
              <w:rPr>
                <w:rFonts w:ascii="Times New Roman" w:hAnsi="Times New Roman"/>
                <w:sz w:val="22"/>
              </w:rPr>
              <w:t>prevalence 38.6%</w:t>
            </w:r>
          </w:p>
        </w:tc>
      </w:tr>
      <w:tr>
        <w:tc>
          <w:tcPr>
            <w:tcW w:type="dxa" w:w="2256"/>
          </w:tcPr>
          <w:p>
            <w:pPr>
              <w:spacing w:after="0"/>
              <w:jc w:val="left"/>
            </w:pPr>
            <w:r/>
            <w:r>
              <w:rPr>
                <w:rFonts w:ascii="Times New Roman" w:hAnsi="Times New Roman"/>
                <w:sz w:val="22"/>
              </w:rPr>
              <w:t>Alternative "serious"</w:t>
            </w:r>
          </w:p>
        </w:tc>
        <w:tc>
          <w:tcPr>
            <w:tcW w:type="dxa" w:w="2256"/>
          </w:tcPr>
          <w:p>
            <w:pPr>
              <w:spacing w:after="0"/>
              <w:jc w:val="left"/>
            </w:pPr>
            <w:r/>
            <w:r>
              <w:rPr>
                <w:rFonts w:ascii="Times New Roman" w:hAnsi="Times New Roman"/>
                <w:sz w:val="22"/>
              </w:rPr>
              <w:t>01 or 02, or DAYS_LOST of 30 or more; DAYS_LOST is right-censored for open cases</w:t>
            </w:r>
          </w:p>
        </w:tc>
        <w:tc>
          <w:tcPr>
            <w:tcW w:type="dxa" w:w="2256"/>
          </w:tcPr>
          <w:p>
            <w:pPr>
              <w:spacing w:after="0"/>
              <w:jc w:val="left"/>
            </w:pPr>
            <w:r/>
            <w:r>
              <w:rPr>
                <w:rFonts w:ascii="Times New Roman" w:hAnsi="Times New Roman"/>
                <w:sz w:val="22"/>
              </w:rPr>
              <w:t>25,233 positive</w:t>
            </w:r>
          </w:p>
        </w:tc>
        <w:tc>
          <w:tcPr>
            <w:tcW w:type="dxa" w:w="2256"/>
          </w:tcPr>
          <w:p>
            <w:pPr>
              <w:spacing w:after="0"/>
              <w:jc w:val="left"/>
            </w:pPr>
            <w:r/>
            <w:r>
              <w:rPr>
                <w:rFonts w:ascii="Times New Roman" w:hAnsi="Times New Roman"/>
                <w:sz w:val="22"/>
              </w:rPr>
              <w:t>prevalence 24.8%; sensitivity analysis only</w:t>
            </w:r>
          </w:p>
        </w:tc>
      </w:tr>
      <w:tr>
        <w:tc>
          <w:tcPr>
            <w:tcW w:type="dxa" w:w="2256"/>
          </w:tcPr>
          <w:p>
            <w:pPr>
              <w:spacing w:after="0"/>
              <w:jc w:val="left"/>
            </w:pPr>
            <w:r/>
            <w:r>
              <w:rPr>
                <w:rFonts w:ascii="Times New Roman" w:hAnsi="Times New Roman"/>
                <w:sz w:val="22"/>
              </w:rPr>
              <w:t>Alternative DART</w:t>
            </w:r>
          </w:p>
        </w:tc>
        <w:tc>
          <w:tcPr>
            <w:tcW w:type="dxa" w:w="2256"/>
          </w:tcPr>
          <w:p>
            <w:pPr>
              <w:spacing w:after="0"/>
              <w:jc w:val="left"/>
            </w:pPr>
            <w:r/>
            <w:r>
              <w:rPr>
                <w:rFonts w:ascii="Times New Roman" w:hAnsi="Times New Roman"/>
                <w:sz w:val="22"/>
              </w:rPr>
              <w:t>01 to 05 against 06; invariant to restricted-duty practice</w:t>
            </w:r>
          </w:p>
        </w:tc>
        <w:tc>
          <w:tcPr>
            <w:tcW w:type="dxa" w:w="2256"/>
          </w:tcPr>
          <w:p>
            <w:pPr>
              <w:spacing w:after="0"/>
              <w:jc w:val="left"/>
            </w:pPr>
            <w:r/>
            <w:r>
              <w:rPr>
                <w:rFonts w:ascii="Times New Roman" w:hAnsi="Times New Roman"/>
                <w:sz w:val="22"/>
              </w:rPr>
              <w:t>70,155 positive</w:t>
            </w:r>
          </w:p>
        </w:tc>
        <w:tc>
          <w:tcPr>
            <w:tcW w:type="dxa" w:w="2256"/>
          </w:tcPr>
          <w:p>
            <w:pPr>
              <w:spacing w:after="0"/>
              <w:jc w:val="left"/>
            </w:pPr>
            <w:r/>
            <w:r>
              <w:rPr>
                <w:rFonts w:ascii="Times New Roman" w:hAnsi="Times New Roman"/>
                <w:sz w:val="22"/>
              </w:rPr>
              <w:t>prevalence 69.0% (coal 69.9%, metal and non-metal 68.5%); Cramer's V with sector 0.015 against 0.240 for lost_time</w:t>
            </w:r>
          </w:p>
        </w:tc>
      </w:tr>
    </w:tbl>
    <w:p>
      <w:pPr>
        <w:spacing w:after="80"/>
      </w:pPr>
    </w:p>
    <w:p>
      <w:r>
        <w:rPr>
          <w:rFonts w:ascii="Times New Roman" w:hAnsi="Times New Roman"/>
          <w:sz w:val="24"/>
        </w:rPr>
        <w:t>Coal reports are lost-time far more often than metal and non-metal ones (63.0% against 38.6%), so metrics are reported by sector. At 48.6% prevalence the classes are near balance, and the cost asymmetry enters through the threshold. I fixed seven success criteria before fitting any model (Table 3). PR-AUC is primary (S2), ahead of the area under the receiver operating characteristic curve (ROC-AUC, S1), because precision along the ranked queue is the yield of each review (Section 4.4). Recall is tested where adjusters review about three cases in four (S3), cost only where a threshold can beat reviewing everything (S4), and calibration because the application shows probabilities (S6). The model must also beat the four baselines of Table 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Criterion</w:t>
            </w:r>
          </w:p>
        </w:tc>
        <w:tc>
          <w:tcPr>
            <w:tcW w:type="dxa" w:w="2256"/>
            <w:shd w:val="clear" w:color="auto" w:fill="E7E6E6"/>
          </w:tcPr>
          <w:p>
            <w:pPr>
              <w:jc w:val="left"/>
            </w:pPr>
            <w:r>
              <w:rPr>
                <w:b/>
              </w:rPr>
            </w:r>
            <w:r>
              <w:rPr>
                <w:rFonts w:ascii="Times New Roman" w:hAnsi="Times New Roman"/>
                <w:b/>
                <w:sz w:val="22"/>
              </w:rPr>
              <w:t>Target</w:t>
            </w:r>
          </w:p>
        </w:tc>
        <w:tc>
          <w:tcPr>
            <w:tcW w:type="dxa" w:w="2256"/>
            <w:shd w:val="clear" w:color="auto" w:fill="E7E6E6"/>
          </w:tcPr>
          <w:p>
            <w:pPr>
              <w:jc w:val="left"/>
            </w:pPr>
            <w:r>
              <w:rPr>
                <w:b/>
              </w:rPr>
            </w:r>
            <w:r>
              <w:rPr>
                <w:rFonts w:ascii="Times New Roman" w:hAnsi="Times New Roman"/>
                <w:b/>
                <w:sz w:val="22"/>
              </w:rPr>
              <w:t>Reference value</w:t>
            </w:r>
          </w:p>
        </w:tc>
      </w:tr>
      <w:tr>
        <w:tc>
          <w:tcPr>
            <w:tcW w:type="dxa" w:w="2256"/>
          </w:tcPr>
          <w:p>
            <w:pPr>
              <w:spacing w:after="0"/>
              <w:jc w:val="left"/>
            </w:pPr>
            <w:r/>
            <w:r>
              <w:rPr>
                <w:rFonts w:ascii="Times New Roman" w:hAnsi="Times New Roman"/>
                <w:sz w:val="22"/>
              </w:rPr>
              <w:t>S1</w:t>
            </w:r>
          </w:p>
        </w:tc>
        <w:tc>
          <w:tcPr>
            <w:tcW w:type="dxa" w:w="2256"/>
          </w:tcPr>
          <w:p>
            <w:pPr>
              <w:spacing w:after="0"/>
              <w:jc w:val="left"/>
            </w:pPr>
            <w:r/>
            <w:r>
              <w:rPr>
                <w:rFonts w:ascii="Times New Roman" w:hAnsi="Times New Roman"/>
                <w:sz w:val="22"/>
              </w:rPr>
              <w:t>ROC-AUC (area under the receiver operating characteristic curve)</w:t>
            </w:r>
          </w:p>
        </w:tc>
        <w:tc>
          <w:tcPr>
            <w:tcW w:type="dxa" w:w="2256"/>
          </w:tcPr>
          <w:p>
            <w:pPr>
              <w:spacing w:after="0"/>
              <w:jc w:val="left"/>
            </w:pPr>
            <w:r/>
            <w:r>
              <w:rPr>
                <w:rFonts w:ascii="Times New Roman" w:hAnsi="Times New Roman"/>
                <w:sz w:val="22"/>
              </w:rPr>
              <w:t>0.80 or more</w:t>
            </w:r>
          </w:p>
        </w:tc>
        <w:tc>
          <w:tcPr>
            <w:tcW w:type="dxa" w:w="2256"/>
          </w:tcPr>
          <w:p>
            <w:pPr>
              <w:spacing w:after="0"/>
              <w:jc w:val="left"/>
            </w:pPr>
            <w:r/>
            <w:r>
              <w:rPr>
                <w:rFonts w:ascii="Times New Roman" w:hAnsi="Times New Roman"/>
                <w:sz w:val="22"/>
              </w:rPr>
              <w:t>lookup baseline 0.794</w:t>
            </w:r>
          </w:p>
        </w:tc>
      </w:tr>
      <w:tr>
        <w:tc>
          <w:tcPr>
            <w:tcW w:type="dxa" w:w="2256"/>
          </w:tcPr>
          <w:p>
            <w:pPr>
              <w:spacing w:after="0"/>
              <w:jc w:val="left"/>
            </w:pPr>
            <w:r/>
            <w:r>
              <w:rPr>
                <w:rFonts w:ascii="Times New Roman" w:hAnsi="Times New Roman"/>
                <w:sz w:val="22"/>
              </w:rPr>
              <w:t>S2</w:t>
            </w:r>
          </w:p>
        </w:tc>
        <w:tc>
          <w:tcPr>
            <w:tcW w:type="dxa" w:w="2256"/>
          </w:tcPr>
          <w:p>
            <w:pPr>
              <w:spacing w:after="0"/>
              <w:jc w:val="left"/>
            </w:pPr>
            <w:r/>
            <w:r>
              <w:rPr>
                <w:rFonts w:ascii="Times New Roman" w:hAnsi="Times New Roman"/>
                <w:sz w:val="22"/>
              </w:rPr>
              <w:t>PR-AUC (average precision), the primary metric</w:t>
            </w:r>
          </w:p>
        </w:tc>
        <w:tc>
          <w:tcPr>
            <w:tcW w:type="dxa" w:w="2256"/>
          </w:tcPr>
          <w:p>
            <w:pPr>
              <w:spacing w:after="0"/>
              <w:jc w:val="left"/>
            </w:pPr>
            <w:r/>
            <w:r>
              <w:rPr>
                <w:rFonts w:ascii="Times New Roman" w:hAnsi="Times New Roman"/>
                <w:sz w:val="22"/>
              </w:rPr>
              <w:t>0.75 or more</w:t>
            </w:r>
          </w:p>
        </w:tc>
        <w:tc>
          <w:tcPr>
            <w:tcW w:type="dxa" w:w="2256"/>
          </w:tcPr>
          <w:p>
            <w:pPr>
              <w:spacing w:after="0"/>
              <w:jc w:val="left"/>
            </w:pPr>
            <w:r/>
            <w:r>
              <w:rPr>
                <w:rFonts w:ascii="Times New Roman" w:hAnsi="Times New Roman"/>
                <w:sz w:val="22"/>
              </w:rPr>
              <w:t>prevalence 0.486 (random ranking)</w:t>
            </w:r>
          </w:p>
        </w:tc>
      </w:tr>
      <w:tr>
        <w:tc>
          <w:tcPr>
            <w:tcW w:type="dxa" w:w="2256"/>
          </w:tcPr>
          <w:p>
            <w:pPr>
              <w:spacing w:after="0"/>
              <w:jc w:val="left"/>
            </w:pPr>
            <w:r/>
            <w:r>
              <w:rPr>
                <w:rFonts w:ascii="Times New Roman" w:hAnsi="Times New Roman"/>
                <w:sz w:val="22"/>
              </w:rPr>
              <w:t>S3</w:t>
            </w:r>
          </w:p>
        </w:tc>
        <w:tc>
          <w:tcPr>
            <w:tcW w:type="dxa" w:w="2256"/>
          </w:tcPr>
          <w:p>
            <w:pPr>
              <w:spacing w:after="0"/>
              <w:jc w:val="left"/>
            </w:pPr>
            <w:r/>
            <w:r>
              <w:rPr>
                <w:rFonts w:ascii="Times New Roman" w:hAnsi="Times New Roman"/>
                <w:sz w:val="22"/>
              </w:rPr>
              <w:t>Recall at the capacity threshold (set on out-of-fold probabilities so that specificity is 0.40, about 75% of cases flagged)</w:t>
            </w:r>
          </w:p>
        </w:tc>
        <w:tc>
          <w:tcPr>
            <w:tcW w:type="dxa" w:w="2256"/>
          </w:tcPr>
          <w:p>
            <w:pPr>
              <w:spacing w:after="0"/>
              <w:jc w:val="left"/>
            </w:pPr>
            <w:r/>
            <w:r>
              <w:rPr>
                <w:rFonts w:ascii="Times New Roman" w:hAnsi="Times New Roman"/>
                <w:sz w:val="22"/>
              </w:rPr>
              <w:t>0.92 or more (implied precision about 0.59)</w:t>
            </w:r>
          </w:p>
        </w:tc>
        <w:tc>
          <w:tcPr>
            <w:tcW w:type="dxa" w:w="2256"/>
          </w:tcPr>
          <w:p>
            <w:pPr>
              <w:spacing w:after="0"/>
              <w:jc w:val="left"/>
            </w:pPr>
            <w:r/>
            <w:r>
              <w:rPr>
                <w:rFonts w:ascii="Times New Roman" w:hAnsi="Times New Roman"/>
                <w:sz w:val="22"/>
              </w:rPr>
              <w:t>lookup baseline 0.910; best one-field rules from the data profile 0.928 at specificity 0.293 and 0.896 at 0.429</w:t>
            </w:r>
          </w:p>
        </w:tc>
      </w:tr>
      <w:tr>
        <w:tc>
          <w:tcPr>
            <w:tcW w:type="dxa" w:w="2256"/>
          </w:tcPr>
          <w:p>
            <w:pPr>
              <w:spacing w:after="0"/>
              <w:jc w:val="left"/>
            </w:pPr>
            <w:r/>
            <w:r>
              <w:rPr>
                <w:rFonts w:ascii="Times New Roman" w:hAnsi="Times New Roman"/>
                <w:sz w:val="22"/>
              </w:rPr>
              <w:t>S4</w:t>
            </w:r>
          </w:p>
        </w:tc>
        <w:tc>
          <w:tcPr>
            <w:tcW w:type="dxa" w:w="2256"/>
          </w:tcPr>
          <w:p>
            <w:pPr>
              <w:spacing w:after="0"/>
              <w:jc w:val="left"/>
            </w:pPr>
            <w:r/>
            <w:r>
              <w:rPr>
                <w:rFonts w:ascii="Times New Roman" w:hAnsi="Times New Roman"/>
                <w:sz w:val="22"/>
              </w:rPr>
              <w:t>Expected cost per 1,000 cases at the cost-optimal out-of-fold threshold, ratios 2:1, 3:1 and 5:1</w:t>
            </w:r>
          </w:p>
        </w:tc>
        <w:tc>
          <w:tcPr>
            <w:tcW w:type="dxa" w:w="2256"/>
          </w:tcPr>
          <w:p>
            <w:pPr>
              <w:spacing w:after="0"/>
              <w:jc w:val="left"/>
            </w:pPr>
            <w:r/>
            <w:r>
              <w:rPr>
                <w:rFonts w:ascii="Times New Roman" w:hAnsi="Times New Roman"/>
                <w:sz w:val="22"/>
              </w:rPr>
              <w:t>below the review-everything floor and below the lookup at each ratio</w:t>
            </w:r>
          </w:p>
        </w:tc>
        <w:tc>
          <w:tcPr>
            <w:tcW w:type="dxa" w:w="2256"/>
          </w:tcPr>
          <w:p>
            <w:pPr>
              <w:spacing w:after="0"/>
              <w:jc w:val="left"/>
            </w:pPr>
            <w:r/>
            <w:r>
              <w:rPr>
                <w:rFonts w:ascii="Times New Roman" w:hAnsi="Times New Roman"/>
                <w:sz w:val="22"/>
              </w:rPr>
              <w:t>floor USD 102,829; lookup baseline USD 76,860, 87,677 and 97,437</w:t>
            </w:r>
          </w:p>
        </w:tc>
      </w:tr>
      <w:tr>
        <w:tc>
          <w:tcPr>
            <w:tcW w:type="dxa" w:w="2256"/>
          </w:tcPr>
          <w:p>
            <w:pPr>
              <w:spacing w:after="0"/>
              <w:jc w:val="left"/>
            </w:pPr>
            <w:r/>
            <w:r>
              <w:rPr>
                <w:rFonts w:ascii="Times New Roman" w:hAnsi="Times New Roman"/>
                <w:sz w:val="22"/>
              </w:rPr>
              <w:t>S5</w:t>
            </w:r>
          </w:p>
        </w:tc>
        <w:tc>
          <w:tcPr>
            <w:tcW w:type="dxa" w:w="2256"/>
          </w:tcPr>
          <w:p>
            <w:pPr>
              <w:spacing w:after="0"/>
              <w:jc w:val="left"/>
            </w:pPr>
            <w:r/>
            <w:r>
              <w:rPr>
                <w:rFonts w:ascii="Times New Roman" w:hAnsi="Times New Roman"/>
                <w:sz w:val="22"/>
              </w:rPr>
              <w:t>Recall at the out-of-fold threshold for a 50% flag rate (planned as recall among the 50% of cases with the highest scores; both are reported)</w:t>
            </w:r>
          </w:p>
        </w:tc>
        <w:tc>
          <w:tcPr>
            <w:tcW w:type="dxa" w:w="2256"/>
          </w:tcPr>
          <w:p>
            <w:pPr>
              <w:spacing w:after="0"/>
              <w:jc w:val="left"/>
            </w:pPr>
            <w:r/>
            <w:r>
              <w:rPr>
                <w:rFonts w:ascii="Times New Roman" w:hAnsi="Times New Roman"/>
                <w:sz w:val="22"/>
              </w:rPr>
              <w:t>0.78 or more</w:t>
            </w:r>
          </w:p>
        </w:tc>
        <w:tc>
          <w:tcPr>
            <w:tcW w:type="dxa" w:w="2256"/>
          </w:tcPr>
          <w:p>
            <w:pPr>
              <w:spacing w:after="0"/>
              <w:jc w:val="left"/>
            </w:pPr>
            <w:r/>
            <w:r>
              <w:rPr>
                <w:rFonts w:ascii="Times New Roman" w:hAnsi="Times New Roman"/>
                <w:sz w:val="22"/>
              </w:rPr>
              <w:t>lookup baseline 0.750; random 0.486</w:t>
            </w:r>
          </w:p>
        </w:tc>
      </w:tr>
      <w:tr>
        <w:tc>
          <w:tcPr>
            <w:tcW w:type="dxa" w:w="2256"/>
          </w:tcPr>
          <w:p>
            <w:pPr>
              <w:spacing w:after="0"/>
              <w:jc w:val="left"/>
            </w:pPr>
            <w:r/>
            <w:r>
              <w:rPr>
                <w:rFonts w:ascii="Times New Roman" w:hAnsi="Times New Roman"/>
                <w:sz w:val="22"/>
              </w:rPr>
              <w:t>S6</w:t>
            </w:r>
          </w:p>
        </w:tc>
        <w:tc>
          <w:tcPr>
            <w:tcW w:type="dxa" w:w="2256"/>
          </w:tcPr>
          <w:p>
            <w:pPr>
              <w:spacing w:after="0"/>
              <w:jc w:val="left"/>
            </w:pPr>
            <w:r/>
            <w:r>
              <w:rPr>
                <w:rFonts w:ascii="Times New Roman" w:hAnsi="Times New Roman"/>
                <w:sz w:val="22"/>
              </w:rPr>
              <w:t>Brier score on the test set, and by sector on the temporal split</w:t>
            </w:r>
          </w:p>
        </w:tc>
        <w:tc>
          <w:tcPr>
            <w:tcW w:type="dxa" w:w="2256"/>
          </w:tcPr>
          <w:p>
            <w:pPr>
              <w:spacing w:after="0"/>
              <w:jc w:val="left"/>
            </w:pPr>
            <w:r/>
            <w:r>
              <w:rPr>
                <w:rFonts w:ascii="Times New Roman" w:hAnsi="Times New Roman"/>
                <w:sz w:val="22"/>
              </w:rPr>
              <w:t>0.20 or less</w:t>
            </w:r>
          </w:p>
        </w:tc>
        <w:tc>
          <w:tcPr>
            <w:tcW w:type="dxa" w:w="2256"/>
          </w:tcPr>
          <w:p>
            <w:pPr>
              <w:spacing w:after="0"/>
              <w:jc w:val="left"/>
            </w:pPr>
            <w:r/>
            <w:r>
              <w:rPr>
                <w:rFonts w:ascii="Times New Roman" w:hAnsi="Times New Roman"/>
                <w:sz w:val="22"/>
              </w:rPr>
              <w:t>constant prediction at the prevalence 0.250</w:t>
            </w:r>
          </w:p>
        </w:tc>
      </w:tr>
      <w:tr>
        <w:tc>
          <w:tcPr>
            <w:tcW w:type="dxa" w:w="2256"/>
          </w:tcPr>
          <w:p>
            <w:pPr>
              <w:spacing w:after="0"/>
              <w:jc w:val="left"/>
            </w:pPr>
            <w:r/>
            <w:r>
              <w:rPr>
                <w:rFonts w:ascii="Times New Roman" w:hAnsi="Times New Roman"/>
                <w:sz w:val="22"/>
              </w:rPr>
              <w:t>S7</w:t>
            </w:r>
          </w:p>
        </w:tc>
        <w:tc>
          <w:tcPr>
            <w:tcW w:type="dxa" w:w="2256"/>
          </w:tcPr>
          <w:p>
            <w:pPr>
              <w:spacing w:after="0"/>
              <w:jc w:val="left"/>
            </w:pPr>
            <w:r/>
            <w:r>
              <w:rPr>
                <w:rFonts w:ascii="Times New Roman" w:hAnsi="Times New Roman"/>
                <w:sz w:val="22"/>
              </w:rPr>
              <w:t>Statistical comparison: McNemar test against the lookup baseline and a paired test across cross-validation folds between the two best models</w:t>
            </w:r>
          </w:p>
        </w:tc>
        <w:tc>
          <w:tcPr>
            <w:tcW w:type="dxa" w:w="2256"/>
          </w:tcPr>
          <w:p>
            <w:pPr>
              <w:spacing w:after="0"/>
              <w:jc w:val="left"/>
            </w:pPr>
            <w:r/>
            <w:r>
              <w:rPr>
                <w:rFonts w:ascii="Times New Roman" w:hAnsi="Times New Roman"/>
                <w:sz w:val="22"/>
              </w:rPr>
              <w:t>reported</w:t>
            </w:r>
          </w:p>
        </w:tc>
        <w:tc>
          <w:tcPr>
            <w:tcW w:type="dxa" w:w="2256"/>
          </w:tcPr>
          <w:p>
            <w:pPr>
              <w:spacing w:after="0"/>
              <w:jc w:val="left"/>
            </w:pPr>
            <w:r/>
            <w:r>
              <w:rPr>
                <w:rFonts w:ascii="Times New Roman" w:hAnsi="Times New Roman"/>
                <w:sz w:val="22"/>
              </w:rPr>
              <w:t>not applicable</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Majority class (predict "not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accuracy 0.514, recall 0.000</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Review everything (predict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2"/>
              </w:rPr>
              <w:t>recall 1.000, specificity 0.000, precision 0.486, USD 102,829 per 1,000 cases</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Hand rule built for this study from the data profile: nature of injury is not a cut, dust in the eye or a scratch</w:t>
            </w:r>
          </w:p>
        </w:tc>
        <w:tc>
          <w:tcPr>
            <w:tcW w:type="dxa" w:w="2256"/>
          </w:tcPr>
          <w:p>
            <w:pPr>
              <w:spacing w:after="0"/>
              <w:jc w:val="left"/>
            </w:pPr>
            <w:r/>
          </w:p>
        </w:tc>
        <w:tc>
          <w:tcPr>
            <w:tcW w:type="dxa" w:w="2256"/>
          </w:tcPr>
          <w:p>
            <w:pPr>
              <w:spacing w:after="0"/>
              <w:jc w:val="left"/>
            </w:pPr>
            <w:r/>
            <w:r>
              <w:rPr>
                <w:rFonts w:ascii="Times New Roman" w:hAnsi="Times New Roman"/>
                <w:sz w:val="22"/>
              </w:rPr>
              <w:t>recall 0.896, specificity 0.429, precision 0.597</w:t>
            </w:r>
          </w:p>
        </w:tc>
      </w:tr>
      <w:tr>
        <w:tc>
          <w:tcPr>
            <w:tcW w:type="dxa" w:w="2256"/>
          </w:tcPr>
          <w:p>
            <w:pPr>
              <w:spacing w:after="0"/>
              <w:jc w:val="left"/>
            </w:pPr>
            <w:r/>
            <w:r>
              <w:rPr>
                <w:rFonts w:ascii="Times New Roman" w:hAnsi="Times New Roman"/>
                <w:sz w:val="22"/>
              </w:rPr>
              <w:t>Baseline</w:t>
            </w:r>
          </w:p>
        </w:tc>
        <w:tc>
          <w:tcPr>
            <w:tcW w:type="dxa" w:w="2256"/>
          </w:tcPr>
          <w:p>
            <w:pPr>
              <w:spacing w:after="0"/>
              <w:jc w:val="left"/>
            </w:pPr>
            <w:r/>
            <w:r>
              <w:rPr>
                <w:rFonts w:ascii="Times New Roman" w:hAnsi="Times New Roman"/>
                <w:sz w:val="22"/>
              </w:rPr>
              <w:t>Lookup baseline: lost-time rate of each nature of injury x body part x sector cell, fitted on training rows</w:t>
            </w:r>
          </w:p>
        </w:tc>
        <w:tc>
          <w:tcPr>
            <w:tcW w:type="dxa" w:w="2256"/>
          </w:tcPr>
          <w:p>
            <w:pPr>
              <w:spacing w:after="0"/>
              <w:jc w:val="left"/>
            </w:pPr>
            <w:r/>
          </w:p>
        </w:tc>
        <w:tc>
          <w:tcPr>
            <w:tcW w:type="dxa" w:w="2256"/>
          </w:tcPr>
          <w:p>
            <w:pPr>
              <w:spacing w:after="0"/>
              <w:jc w:val="left"/>
            </w:pPr>
            <w:r/>
            <w:r>
              <w:rPr>
                <w:rFonts w:ascii="Times New Roman" w:hAnsi="Times New Roman"/>
                <w:sz w:val="22"/>
              </w:rPr>
              <w:t>ROC-AUC 0.810 in-sample and 0.794 on the temporal split</w:t>
            </w:r>
          </w:p>
        </w:tc>
      </w:tr>
    </w:tbl>
    <w:p>
      <w:pPr>
        <w:spacing w:after="80"/>
      </w:pPr>
    </w:p>
    <w:p>
      <w:pPr>
        <w:pStyle w:val="Heading2"/>
      </w:pPr>
      <w:r>
        <w:rPr>
          <w:rFonts w:ascii="Times New Roman" w:hAnsi="Times New Roman"/>
          <w:b/>
          <w:color w:val="000000"/>
          <w:sz w:val="28"/>
        </w:rPr>
        <w:t>1.3 Dataset origin, provenance, licensing and integration</w:t>
      </w:r>
    </w:p>
    <w:p>
      <w:r>
        <w:rPr>
          <w:rFonts w:ascii="Times New Roman" w:hAnsi="Times New Roman"/>
          <w:sz w:val="24"/>
        </w:rPr>
        <w:t>The data are three open MSHA files (US Department of Labor, Mine Safety and Health Administration, 2026a, 2026b). Under Title 30, Part 50 of the Code of Federal Regulations, operators file Form 7000-1 for each accident, injury and illness and Form 7000-2 for quarterly hours (Legal Information Institute, no date b). Because MSHA refreshes the files weekly, I pinned the version of 9 October 2026 by SHA-256 digest (Table 4). As federal government works they are public domain under 17 U.S.C. 105, free to copy, modify and redistribute (Office of the Law Revision Counsel, 2020).</w:t>
      </w:r>
    </w:p>
    <w:p>
      <w:r>
        <w:rPr>
          <w:rFonts w:ascii="Times New Roman" w:hAnsi="Times New Roman"/>
          <w:sz w:val="24"/>
        </w:rPr>
        <w:t>MSHA collects the forms for enforcement and for incidence rates per 200,000 employee-hours (Mine Safety and Health Administration, 2026); scoring single reports is a reuse with four collection biases. Operators self-report and may omit first-aid cases, which limits the results to reported injuries. The label also records employer practice, since a back sprain becomes days away or restricted duty depending on whether restricted work is offered. Because the Mines table is a snapshot, attributes that may post-date the accident were dropped or re-dated. Contractor hours are absent from the production file, which understates exposure at mines that use contractors. I kept 2010-2025, as older rows have more blank experience fields and 2026 cases are still open.</w:t>
      </w:r>
    </w:p>
    <w:p>
      <w:r>
        <w:rPr>
          <w:rFonts w:ascii="Times New Roman" w:hAnsi="Times New Roman"/>
          <w:sz w:val="24"/>
        </w:rPr>
        <w:t>I combined the tables with left joins validated as many-to-one and asserted the row count after each (Table 4). Production was summed to mine-years and joined on the previous year, since current-year hours are not yet due for first-quarter accidents; unmatched rows kept a missing-value flag. Table 5 lists the resulting features. The repository's data card follows Gebru et al. (2021), and the dataset was reserved in the module Discussions forum on 10 October 2026.</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Source file (SHA-256, first 12 hex digits)</w:t>
            </w:r>
          </w:p>
        </w:tc>
        <w:tc>
          <w:tcPr>
            <w:tcW w:type="dxa" w:w="1289"/>
            <w:shd w:val="clear" w:color="auto" w:fill="E7E6E6"/>
          </w:tcPr>
          <w:p>
            <w:pPr>
              <w:jc w:val="left"/>
            </w:pPr>
            <w:r>
              <w:rPr>
                <w:b/>
              </w:rPr>
            </w:r>
            <w:r>
              <w:rPr>
                <w:rFonts w:ascii="Times New Roman" w:hAnsi="Times New Roman"/>
                <w:b/>
                <w:sz w:val="22"/>
              </w:rPr>
              <w:t>Rows x columns</w:t>
            </w:r>
          </w:p>
        </w:tc>
        <w:tc>
          <w:tcPr>
            <w:tcW w:type="dxa" w:w="1289"/>
            <w:shd w:val="clear" w:color="auto" w:fill="E7E6E6"/>
          </w:tcPr>
          <w:p>
            <w:pPr>
              <w:jc w:val="left"/>
            </w:pPr>
            <w:r>
              <w:rPr>
                <w:b/>
              </w:rPr>
            </w:r>
            <w:r>
              <w:rPr>
                <w:rFonts w:ascii="Times New Roman" w:hAnsi="Times New Roman"/>
                <w:b/>
                <w:sz w:val="22"/>
              </w:rPr>
              <w:t>Grain (one row is)</w:t>
            </w:r>
          </w:p>
        </w:tc>
        <w:tc>
          <w:tcPr>
            <w:tcW w:type="dxa" w:w="1289"/>
            <w:shd w:val="clear" w:color="auto" w:fill="E7E6E6"/>
          </w:tcPr>
          <w:p>
            <w:pPr>
              <w:jc w:val="left"/>
            </w:pPr>
            <w:r>
              <w:rPr>
                <w:b/>
              </w:rPr>
            </w:r>
            <w:r>
              <w:rPr>
                <w:rFonts w:ascii="Times New Roman" w:hAnsi="Times New Roman"/>
                <w:b/>
                <w:sz w:val="22"/>
              </w:rPr>
              <w:t>Key</w:t>
            </w:r>
          </w:p>
        </w:tc>
        <w:tc>
          <w:tcPr>
            <w:tcW w:type="dxa" w:w="1289"/>
            <w:shd w:val="clear" w:color="auto" w:fill="E7E6E6"/>
          </w:tcPr>
          <w:p>
            <w:pPr>
              <w:jc w:val="left"/>
            </w:pPr>
            <w:r>
              <w:rPr>
                <w:b/>
              </w:rPr>
            </w:r>
            <w:r>
              <w:rPr>
                <w:rFonts w:ascii="Times New Roman" w:hAnsi="Times New Roman"/>
                <w:b/>
                <w:sz w:val="22"/>
              </w:rPr>
              <w:t>Licence</w:t>
            </w:r>
          </w:p>
        </w:tc>
        <w:tc>
          <w:tcPr>
            <w:tcW w:type="dxa" w:w="1289"/>
            <w:shd w:val="clear" w:color="auto" w:fill="E7E6E6"/>
          </w:tcPr>
          <w:p>
            <w:pPr>
              <w:jc w:val="left"/>
            </w:pPr>
            <w:r>
              <w:rPr>
                <w:b/>
              </w:rPr>
            </w:r>
            <w:r>
              <w:rPr>
                <w:rFonts w:ascii="Times New Roman" w:hAnsi="Times New Roman"/>
                <w:b/>
                <w:sz w:val="22"/>
              </w:rPr>
              <w:t>Join and rows before -&gt; after</w:t>
            </w:r>
          </w:p>
        </w:tc>
        <w:tc>
          <w:tcPr>
            <w:tcW w:type="dxa" w:w="1289"/>
            <w:shd w:val="clear" w:color="auto" w:fill="E7E6E6"/>
          </w:tcPr>
          <w:p>
            <w:pPr>
              <w:jc w:val="left"/>
            </w:pPr>
            <w:r>
              <w:rPr>
                <w:b/>
              </w:rPr>
            </w:r>
            <w:r>
              <w:rPr>
                <w:rFonts w:ascii="Times New Roman" w:hAnsi="Times New Roman"/>
                <w:b/>
                <w:sz w:val="22"/>
              </w:rPr>
              <w:t>Matched rows</w:t>
            </w:r>
          </w:p>
        </w:tc>
      </w:tr>
      <w:tr>
        <w:tc>
          <w:tcPr>
            <w:tcW w:type="dxa" w:w="1289"/>
          </w:tcPr>
          <w:p>
            <w:pPr>
              <w:spacing w:after="0"/>
              <w:jc w:val="left"/>
            </w:pPr>
            <w:r/>
            <w:r>
              <w:rPr>
                <w:rFonts w:ascii="Times New Roman" w:hAnsi="Times New Roman"/>
                <w:sz w:val="22"/>
              </w:rPr>
              <w:t>Accidents.txt in Accidents.zip (62d0c861a5c3)</w:t>
            </w:r>
          </w:p>
        </w:tc>
        <w:tc>
          <w:tcPr>
            <w:tcW w:type="dxa" w:w="1289"/>
          </w:tcPr>
          <w:p>
            <w:pPr>
              <w:spacing w:after="0"/>
              <w:jc w:val="left"/>
            </w:pPr>
            <w:r/>
            <w:r>
              <w:rPr>
                <w:rFonts w:ascii="Times New Roman" w:hAnsi="Times New Roman"/>
                <w:sz w:val="22"/>
              </w:rPr>
              <w:t>275,220 x 57</w:t>
            </w:r>
          </w:p>
        </w:tc>
        <w:tc>
          <w:tcPr>
            <w:tcW w:type="dxa" w:w="1289"/>
          </w:tcPr>
          <w:p>
            <w:pPr>
              <w:spacing w:after="0"/>
              <w:jc w:val="left"/>
            </w:pPr>
            <w:r/>
            <w:r>
              <w:rPr>
                <w:rFonts w:ascii="Times New Roman" w:hAnsi="Times New Roman"/>
                <w:sz w:val="22"/>
              </w:rPr>
              <w:t>one injured person on one Form 7000-1, or one accident without injury</w:t>
            </w:r>
          </w:p>
        </w:tc>
        <w:tc>
          <w:tcPr>
            <w:tcW w:type="dxa" w:w="1289"/>
          </w:tcPr>
          <w:p>
            <w:pPr>
              <w:spacing w:after="0"/>
              <w:jc w:val="left"/>
            </w:pPr>
            <w:r/>
            <w:r>
              <w:rPr>
                <w:rFonts w:ascii="Times New Roman" w:hAnsi="Times New Roman"/>
                <w:sz w:val="22"/>
              </w:rPr>
              <w:t>DOCUMENT_NO</w:t>
            </w:r>
          </w:p>
        </w:tc>
        <w:tc>
          <w:tcPr>
            <w:tcW w:type="dxa" w:w="1289"/>
          </w:tcPr>
          <w:p>
            <w:pPr>
              <w:spacing w:after="0"/>
              <w:jc w:val="left"/>
            </w:pPr>
            <w:r/>
            <w:r>
              <w:rPr>
                <w:rFonts w:ascii="Times New Roman" w:hAnsi="Times New Roman"/>
                <w:sz w:val="22"/>
              </w:rPr>
              <w:t>US public domain (17 U.S.C. 105); attribution to the US Department of Labor requested (US Department of Labor, no date)</w:t>
            </w:r>
          </w:p>
        </w:tc>
        <w:tc>
          <w:tcPr>
            <w:tcW w:type="dxa" w:w="1289"/>
          </w:tcPr>
          <w:p>
            <w:pPr>
              <w:spacing w:after="0"/>
              <w:jc w:val="left"/>
            </w:pPr>
            <w:r/>
            <w:r>
              <w:rPr>
                <w:rFonts w:ascii="Times New Roman" w:hAnsi="Times New Roman"/>
                <w:sz w:val="22"/>
              </w:rPr>
              <w:t>base table; CAL_YR from 2010 (275,220 -&gt; 125,718), to 2025 (-&gt; 121,541), degree codes 01 to 06 (-&gt; 101,609)</w:t>
            </w:r>
          </w:p>
        </w:tc>
        <w:tc>
          <w:tcPr>
            <w:tcW w:type="dxa" w:w="1289"/>
          </w:tcPr>
          <w:p>
            <w:pPr>
              <w:spacing w:after="0"/>
              <w:jc w:val="left"/>
            </w:pPr>
            <w:r/>
            <w:r>
              <w:rPr>
                <w:rFonts w:ascii="Times New Roman" w:hAnsi="Times New Roman"/>
                <w:sz w:val="22"/>
              </w:rPr>
              <w:t>not applicable</w:t>
            </w:r>
          </w:p>
        </w:tc>
      </w:tr>
      <w:tr>
        <w:tc>
          <w:tcPr>
            <w:tcW w:type="dxa" w:w="1289"/>
          </w:tcPr>
          <w:p>
            <w:pPr>
              <w:spacing w:after="0"/>
              <w:jc w:val="left"/>
            </w:pPr>
            <w:r/>
            <w:r>
              <w:rPr>
                <w:rFonts w:ascii="Times New Roman" w:hAnsi="Times New Roman"/>
                <w:sz w:val="22"/>
              </w:rPr>
              <w:t>Mines.txt in Mines.zip (1a0957ff0049)</w:t>
            </w:r>
          </w:p>
        </w:tc>
        <w:tc>
          <w:tcPr>
            <w:tcW w:type="dxa" w:w="1289"/>
          </w:tcPr>
          <w:p>
            <w:pPr>
              <w:spacing w:after="0"/>
              <w:jc w:val="left"/>
            </w:pPr>
            <w:r/>
            <w:r>
              <w:rPr>
                <w:rFonts w:ascii="Times New Roman" w:hAnsi="Times New Roman"/>
                <w:sz w:val="22"/>
              </w:rPr>
              <w:t>92,060 x 59</w:t>
            </w:r>
          </w:p>
        </w:tc>
        <w:tc>
          <w:tcPr>
            <w:tcW w:type="dxa" w:w="1289"/>
          </w:tcPr>
          <w:p>
            <w:pPr>
              <w:spacing w:after="0"/>
              <w:jc w:val="left"/>
            </w:pPr>
            <w:r/>
            <w:r>
              <w:rPr>
                <w:rFonts w:ascii="Times New Roman" w:hAnsi="Times New Roman"/>
                <w:sz w:val="22"/>
              </w:rPr>
              <w:t>one mine, with attributes as at the snapshot date</w:t>
            </w:r>
          </w:p>
        </w:tc>
        <w:tc>
          <w:tcPr>
            <w:tcW w:type="dxa" w:w="1289"/>
          </w:tcPr>
          <w:p>
            <w:pPr>
              <w:spacing w:after="0"/>
              <w:jc w:val="left"/>
            </w:pPr>
            <w:r/>
            <w:r>
              <w:rPr>
                <w:rFonts w:ascii="Times New Roman" w:hAnsi="Times New Roman"/>
                <w:sz w:val="22"/>
              </w:rPr>
              <w:t>MINE_ID (7-digit string)</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left join on MINE_ID, many-to-one; 101,609 -&gt; 101,609</w:t>
            </w:r>
          </w:p>
        </w:tc>
        <w:tc>
          <w:tcPr>
            <w:tcW w:type="dxa" w:w="1289"/>
          </w:tcPr>
          <w:p>
            <w:pPr>
              <w:spacing w:after="0"/>
              <w:jc w:val="left"/>
            </w:pPr>
            <w:r/>
            <w:r>
              <w:rPr>
                <w:rFonts w:ascii="Times New Roman" w:hAnsi="Times New Roman"/>
                <w:sz w:val="22"/>
              </w:rPr>
              <w:t>101,609 (100.0%), no orphans</w:t>
            </w:r>
          </w:p>
        </w:tc>
      </w:tr>
      <w:tr>
        <w:tc>
          <w:tcPr>
            <w:tcW w:type="dxa" w:w="1289"/>
          </w:tcPr>
          <w:p>
            <w:pPr>
              <w:spacing w:after="0"/>
              <w:jc w:val="left"/>
            </w:pPr>
            <w:r/>
            <w:r>
              <w:rPr>
                <w:rFonts w:ascii="Times New Roman" w:hAnsi="Times New Roman"/>
                <w:sz w:val="22"/>
              </w:rPr>
              <w:t>MinesProdYearly.txt in MinesProdYearly.zip (c0fdca86d175)</w:t>
            </w:r>
          </w:p>
        </w:tc>
        <w:tc>
          <w:tcPr>
            <w:tcW w:type="dxa" w:w="1289"/>
          </w:tcPr>
          <w:p>
            <w:pPr>
              <w:spacing w:after="0"/>
              <w:jc w:val="left"/>
            </w:pPr>
            <w:r/>
            <w:r>
              <w:rPr>
                <w:rFonts w:ascii="Times New Roman" w:hAnsi="Times New Roman"/>
                <w:sz w:val="22"/>
              </w:rPr>
              <w:t>658,922 x 11</w:t>
            </w:r>
          </w:p>
        </w:tc>
        <w:tc>
          <w:tcPr>
            <w:tcW w:type="dxa" w:w="1289"/>
          </w:tcPr>
          <w:p>
            <w:pPr>
              <w:spacing w:after="0"/>
              <w:jc w:val="left"/>
            </w:pPr>
            <w:r/>
            <w:r>
              <w:rPr>
                <w:rFonts w:ascii="Times New Roman" w:hAnsi="Times New Roman"/>
                <w:sz w:val="22"/>
              </w:rPr>
              <w:t>employee-hours and average employees for one mine, calendar year and subunit (Form 7000-2)</w:t>
            </w:r>
          </w:p>
        </w:tc>
        <w:tc>
          <w:tcPr>
            <w:tcW w:type="dxa" w:w="1289"/>
          </w:tcPr>
          <w:p>
            <w:pPr>
              <w:spacing w:after="0"/>
              <w:jc w:val="left"/>
            </w:pPr>
            <w:r/>
            <w:r>
              <w:rPr>
                <w:rFonts w:ascii="Times New Roman" w:hAnsi="Times New Roman"/>
                <w:sz w:val="22"/>
              </w:rPr>
              <w:t>MINE_ID, CALENDAR_YR, SUBUNIT_CD</w:t>
            </w:r>
          </w:p>
        </w:tc>
        <w:tc>
          <w:tcPr>
            <w:tcW w:type="dxa" w:w="1289"/>
          </w:tcPr>
          <w:p>
            <w:pPr>
              <w:spacing w:after="0"/>
              <w:jc w:val="left"/>
            </w:pPr>
            <w:r/>
            <w:r>
              <w:rPr>
                <w:rFonts w:ascii="Times New Roman" w:hAnsi="Times New Roman"/>
                <w:sz w:val="22"/>
              </w:rPr>
              <w:t>US public domain (17 U.S.C. 105)</w:t>
            </w:r>
          </w:p>
        </w:tc>
        <w:tc>
          <w:tcPr>
            <w:tcW w:type="dxa" w:w="1289"/>
          </w:tcPr>
          <w:p>
            <w:pPr>
              <w:spacing w:after="0"/>
              <w:jc w:val="left"/>
            </w:pPr>
            <w:r/>
            <w:r>
              <w:rPr>
                <w:rFonts w:ascii="Times New Roman" w:hAnsi="Times New Roman"/>
                <w:sz w:val="22"/>
              </w:rPr>
              <w:t>summed to 370,794 mine-years; left join on MINE_ID and CALENDAR_YR = CAL_YR - 1, many-to-one; 101,609 -&gt; 101,609</w:t>
            </w:r>
          </w:p>
        </w:tc>
        <w:tc>
          <w:tcPr>
            <w:tcW w:type="dxa" w:w="1289"/>
          </w:tcPr>
          <w:p>
            <w:pPr>
              <w:spacing w:after="0"/>
              <w:jc w:val="left"/>
            </w:pPr>
            <w:r/>
            <w:r>
              <w:rPr>
                <w:rFonts w:ascii="Times New Roman" w:hAnsi="Times New Roman"/>
                <w:sz w:val="22"/>
              </w:rPr>
              <w:t>100,403 (98.8%); 1,206 kept with missing exposure and prev_year_matched = 0</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Type</w:t>
            </w:r>
          </w:p>
        </w:tc>
        <w:tc>
          <w:tcPr>
            <w:tcW w:type="dxa" w:w="2256"/>
            <w:shd w:val="clear" w:color="auto" w:fill="E7E6E6"/>
          </w:tcPr>
          <w:p>
            <w:pPr>
              <w:jc w:val="left"/>
            </w:pPr>
            <w:r>
              <w:rPr>
                <w:b/>
              </w:rPr>
            </w:r>
            <w:r>
              <w:rPr>
                <w:rFonts w:ascii="Times New Roman" w:hAnsi="Times New Roman"/>
                <w:b/>
                <w:sz w:val="22"/>
              </w:rPr>
              <w:t>Feature(s)</w:t>
            </w:r>
          </w:p>
        </w:tc>
        <w:tc>
          <w:tcPr>
            <w:tcW w:type="dxa" w:w="2256"/>
            <w:shd w:val="clear" w:color="auto" w:fill="E7E6E6"/>
          </w:tcPr>
          <w:p>
            <w:pPr>
              <w:jc w:val="left"/>
            </w:pPr>
            <w:r>
              <w:rPr>
                <w:b/>
              </w:rPr>
            </w:r>
            <w:r>
              <w:rPr>
                <w:rFonts w:ascii="Times New Roman" w:hAnsi="Times New Roman"/>
                <w:b/>
                <w:sz w:val="22"/>
              </w:rPr>
              <w:t>Meaning</w:t>
            </w:r>
          </w:p>
        </w:tc>
        <w:tc>
          <w:tcPr>
            <w:tcW w:type="dxa" w:w="2256"/>
            <w:shd w:val="clear" w:color="auto" w:fill="E7E6E6"/>
          </w:tcPr>
          <w:p>
            <w:pPr>
              <w:jc w:val="left"/>
            </w:pPr>
            <w:r>
              <w:rPr>
                <w:b/>
              </w:rPr>
            </w:r>
            <w:r>
              <w:rPr>
                <w:rFonts w:ascii="Times New Roman" w:hAnsi="Times New Roman"/>
                <w:b/>
                <w:sz w:val="22"/>
              </w:rPr>
              <w:t>Source table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SUBUNIT_CD</w:t>
            </w:r>
          </w:p>
        </w:tc>
        <w:tc>
          <w:tcPr>
            <w:tcW w:type="dxa" w:w="2256"/>
          </w:tcPr>
          <w:p>
            <w:pPr>
              <w:spacing w:after="0"/>
              <w:jc w:val="left"/>
            </w:pPr>
            <w:r/>
            <w:r>
              <w:rPr>
                <w:rFonts w:ascii="Times New Roman" w:hAnsi="Times New Roman"/>
                <w:sz w:val="22"/>
              </w:rPr>
              <w:t>part of the mine where the accident happened (underground, surface at an underground mine, strip or open pit, mill or preparation plant, office and others)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FIPS_STATE_CD</w:t>
            </w:r>
          </w:p>
        </w:tc>
        <w:tc>
          <w:tcPr>
            <w:tcW w:type="dxa" w:w="2256"/>
          </w:tcPr>
          <w:p>
            <w:pPr>
              <w:spacing w:after="0"/>
              <w:jc w:val="left"/>
            </w:pPr>
            <w:r/>
            <w:r>
              <w:rPr>
                <w:rFonts w:ascii="Times New Roman" w:hAnsi="Times New Roman"/>
                <w:sz w:val="22"/>
              </w:rPr>
              <w:t>state of the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UG_LOCATION_CD, UG_MINING_METHOD_CD</w:t>
            </w:r>
          </w:p>
        </w:tc>
        <w:tc>
          <w:tcPr>
            <w:tcW w:type="dxa" w:w="2256"/>
          </w:tcPr>
          <w:p>
            <w:pPr>
              <w:spacing w:after="0"/>
              <w:jc w:val="left"/>
            </w:pPr>
            <w:r/>
            <w:r>
              <w:rPr>
                <w:rFonts w:ascii="Times New Roman" w:hAnsi="Times New Roman"/>
                <w:sz w:val="22"/>
              </w:rPr>
              <w:t>underground location and mining method; level "none" when the accident was not underground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MINING_EQUIP_CD, EQUIP_MFR_NAME</w:t>
            </w:r>
          </w:p>
        </w:tc>
        <w:tc>
          <w:tcPr>
            <w:tcW w:type="dxa" w:w="2256"/>
          </w:tcPr>
          <w:p>
            <w:pPr>
              <w:spacing w:after="0"/>
              <w:jc w:val="left"/>
            </w:pPr>
            <w:r/>
            <w:r>
              <w:rPr>
                <w:rFonts w:ascii="Times New Roman" w:hAnsi="Times New Roman"/>
                <w:sz w:val="22"/>
              </w:rPr>
              <w:t>equipment involved and its manufacturer; level "none" when no equipment was involved</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CLASSIFICATION_CD, ACCIDENT_TYPE_CD</w:t>
            </w:r>
          </w:p>
        </w:tc>
        <w:tc>
          <w:tcPr>
            <w:tcW w:type="dxa" w:w="2256"/>
          </w:tcPr>
          <w:p>
            <w:pPr>
              <w:spacing w:after="0"/>
              <w:jc w:val="left"/>
            </w:pPr>
            <w:r/>
            <w:r>
              <w:rPr>
                <w:rFonts w:ascii="Times New Roman" w:hAnsi="Times New Roman"/>
                <w:sz w:val="22"/>
              </w:rPr>
              <w:t>circumstance class (for example handling materials, slip or fall) and accident type (for example struck by a falling object, over-exertion)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OCCUPATION, ACTIVITY_CD</w:t>
            </w:r>
          </w:p>
        </w:tc>
        <w:tc>
          <w:tcPr>
            <w:tcW w:type="dxa" w:w="2256"/>
          </w:tcPr>
          <w:p>
            <w:pPr>
              <w:spacing w:after="0"/>
              <w:jc w:val="left"/>
            </w:pPr>
            <w:r/>
            <w:r>
              <w:rPr>
                <w:rFonts w:ascii="Times New Roman" w:hAnsi="Times New Roman"/>
                <w:sz w:val="22"/>
              </w:rPr>
              <w:t>job title of the injured worker and the activity at the time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INJURY_SOURCE_CD, NATURE_INJURY_CD, INJ_BODY_PART_CD</w:t>
            </w:r>
          </w:p>
        </w:tc>
        <w:tc>
          <w:tcPr>
            <w:tcW w:type="dxa" w:w="2256"/>
          </w:tcPr>
          <w:p>
            <w:pPr>
              <w:spacing w:after="0"/>
              <w:jc w:val="left"/>
            </w:pPr>
            <w:r/>
            <w:r>
              <w:rPr>
                <w:rFonts w:ascii="Times New Roman" w:hAnsi="Times New Roman"/>
                <w:sz w:val="22"/>
              </w:rPr>
              <w:t>object or substance that caused the injury, nature of the injury (for example sprain, fracture, cut) and body part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COAL_METAL_IND</w:t>
            </w:r>
          </w:p>
        </w:tc>
        <w:tc>
          <w:tcPr>
            <w:tcW w:type="dxa" w:w="2256"/>
          </w:tcPr>
          <w:p>
            <w:pPr>
              <w:spacing w:after="0"/>
              <w:jc w:val="left"/>
            </w:pPr>
            <w:r/>
            <w:r>
              <w:rPr>
                <w:rFonts w:ascii="Times New Roman" w:hAnsi="Times New Roman"/>
                <w:sz w:val="22"/>
              </w:rPr>
              <w:t>sector, coal or metal and non-metal</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PRIMARY_CANVASS</w:t>
            </w:r>
          </w:p>
        </w:tc>
        <w:tc>
          <w:tcPr>
            <w:tcW w:type="dxa" w:w="2256"/>
          </w:tcPr>
          <w:p>
            <w:pPr>
              <w:spacing w:after="0"/>
              <w:jc w:val="left"/>
            </w:pPr>
            <w:r/>
            <w:r>
              <w:rPr>
                <w:rFonts w:ascii="Times New Roman" w:hAnsi="Times New Roman"/>
                <w:sz w:val="22"/>
              </w:rPr>
              <w:t>commodity group of the mine (coal, metal, non-metal, stone, sand and gravel)</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SAFETY_COMMITTEE_IND, PART48_TRAINING, PORTABLE_OPERATION</w:t>
            </w:r>
          </w:p>
        </w:tc>
        <w:tc>
          <w:tcPr>
            <w:tcW w:type="dxa" w:w="2256"/>
          </w:tcPr>
          <w:p>
            <w:pPr>
              <w:spacing w:after="0"/>
              <w:jc w:val="left"/>
            </w:pPr>
            <w:r/>
            <w:r>
              <w:rPr>
                <w:rFonts w:ascii="Times New Roman" w:hAnsi="Times New Roman"/>
                <w:sz w:val="22"/>
              </w:rPr>
              <w:t>yes/no flags for a safety committee, a restriction on MSHA enforcing Part 48 training, and a portable operation, as recorded at the snapshot</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status_103i_at_accident</w:t>
            </w:r>
          </w:p>
        </w:tc>
        <w:tc>
          <w:tcPr>
            <w:tcW w:type="dxa" w:w="2256"/>
          </w:tcPr>
          <w:p>
            <w:pPr>
              <w:spacing w:after="0"/>
              <w:jc w:val="left"/>
            </w:pPr>
            <w:r/>
            <w:r>
              <w:rPr>
                <w:rFonts w:ascii="Times New Roman" w:hAnsi="Times New Roman"/>
                <w:sz w:val="22"/>
              </w:rPr>
              <w:t>section 103(i) spot-inspection status in force at the accident date (never, in force, formerly, unknown)</w:t>
            </w:r>
          </w:p>
        </w:tc>
        <w:tc>
          <w:tcPr>
            <w:tcW w:type="dxa" w:w="2256"/>
          </w:tcPr>
          <w:p>
            <w:pPr>
              <w:spacing w:after="0"/>
              <w:jc w:val="left"/>
            </w:pPr>
            <w:r/>
            <w:r>
              <w:rPr>
                <w:rFonts w:ascii="Times New Roman" w:hAnsi="Times New Roman"/>
                <w:sz w:val="22"/>
              </w:rPr>
              <w:t>Mines, with the accident date</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type_at_time</w:t>
            </w:r>
          </w:p>
        </w:tc>
        <w:tc>
          <w:tcPr>
            <w:tcW w:type="dxa" w:w="2256"/>
          </w:tcPr>
          <w:p>
            <w:pPr>
              <w:spacing w:after="0"/>
              <w:jc w:val="left"/>
            </w:pPr>
            <w:r/>
            <w:r>
              <w:rPr>
                <w:rFonts w:ascii="Times New Roman" w:hAnsi="Times New Roman"/>
                <w:sz w:val="22"/>
              </w:rPr>
              <w:t>mine type (underground, surface or facility) from the previous year's production subunits</w:t>
            </w:r>
          </w:p>
        </w:tc>
        <w:tc>
          <w:tcPr>
            <w:tcW w:type="dxa" w:w="2256"/>
          </w:tcPr>
          <w:p>
            <w:pPr>
              <w:spacing w:after="0"/>
              <w:jc w:val="left"/>
            </w:pPr>
            <w:r/>
            <w:r>
              <w:rPr>
                <w:rFonts w:ascii="Times New Roman" w:hAnsi="Times New Roman"/>
                <w:sz w:val="22"/>
              </w:rPr>
              <w:t>MinesProdYearly (fallback: Accidents SUBUNIT_CD)</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mine_size_band</w:t>
            </w:r>
          </w:p>
        </w:tc>
        <w:tc>
          <w:tcPr>
            <w:tcW w:type="dxa" w:w="2256"/>
          </w:tcPr>
          <w:p>
            <w:pPr>
              <w:spacing w:after="0"/>
              <w:jc w:val="left"/>
            </w:pPr>
            <w:r/>
            <w:r>
              <w:rPr>
                <w:rFonts w:ascii="Times New Roman" w:hAnsi="Times New Roman"/>
                <w:sz w:val="22"/>
              </w:rPr>
              <w:t>previous-year average employees in five bands, from 1-4 to 200+</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Categorical</w:t>
            </w:r>
          </w:p>
        </w:tc>
        <w:tc>
          <w:tcPr>
            <w:tcW w:type="dxa" w:w="2256"/>
          </w:tcPr>
          <w:p>
            <w:pPr>
              <w:spacing w:after="0"/>
              <w:jc w:val="left"/>
            </w:pPr>
            <w:r/>
            <w:r>
              <w:rPr>
                <w:rFonts w:ascii="Times New Roman" w:hAnsi="Times New Roman"/>
                <w:sz w:val="22"/>
              </w:rPr>
              <w:t>accident_weekday, accident_month</w:t>
            </w:r>
          </w:p>
        </w:tc>
        <w:tc>
          <w:tcPr>
            <w:tcW w:type="dxa" w:w="2256"/>
          </w:tcPr>
          <w:p>
            <w:pPr>
              <w:spacing w:after="0"/>
              <w:jc w:val="left"/>
            </w:pPr>
            <w:r/>
            <w:r>
              <w:rPr>
                <w:rFonts w:ascii="Times New Roman" w:hAnsi="Times New Roman"/>
                <w:sz w:val="22"/>
              </w:rPr>
              <w:t>day of the week and month of the accident</w:t>
            </w:r>
          </w:p>
        </w:tc>
        <w:tc>
          <w:tcPr>
            <w:tcW w:type="dxa" w:w="2256"/>
          </w:tcPr>
          <w:p>
            <w:pPr>
              <w:spacing w:after="0"/>
              <w:jc w:val="left"/>
            </w:pPr>
            <w:r/>
            <w:r>
              <w:rPr>
                <w:rFonts w:ascii="Times New Roman" w:hAnsi="Times New Roman"/>
                <w:sz w:val="22"/>
              </w:rPr>
              <w:t>Accidents (ACCIDENT_DT)</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TOT_EXPER, MINE_EXPER, JOB_EXPER</w:t>
            </w:r>
          </w:p>
        </w:tc>
        <w:tc>
          <w:tcPr>
            <w:tcW w:type="dxa" w:w="2256"/>
          </w:tcPr>
          <w:p>
            <w:pPr>
              <w:spacing w:after="0"/>
              <w:jc w:val="left"/>
            </w:pPr>
            <w:r/>
            <w:r>
              <w:rPr>
                <w:rFonts w:ascii="Times New Roman" w:hAnsi="Times New Roman"/>
                <w:sz w:val="22"/>
              </w:rPr>
              <w:t>years of total mining, current-mine and current-job experience after the consistency rules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log1p_tot_exper</w:t>
            </w:r>
          </w:p>
        </w:tc>
        <w:tc>
          <w:tcPr>
            <w:tcW w:type="dxa" w:w="2256"/>
          </w:tcPr>
          <w:p>
            <w:pPr>
              <w:spacing w:after="0"/>
              <w:jc w:val="left"/>
            </w:pPr>
            <w:r/>
            <w:r>
              <w:rPr>
                <w:rFonts w:ascii="Times New Roman" w:hAnsi="Times New Roman"/>
                <w:sz w:val="22"/>
              </w:rPr>
              <w:t>log(1 + TOT_EXPER), which reduces right skew</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exper_ratio_mine, exper_ratio_job</w:t>
            </w:r>
          </w:p>
        </w:tc>
        <w:tc>
          <w:tcPr>
            <w:tcW w:type="dxa" w:w="2256"/>
          </w:tcPr>
          <w:p>
            <w:pPr>
              <w:spacing w:after="0"/>
              <w:jc w:val="left"/>
            </w:pPr>
            <w:r/>
            <w:r>
              <w:rPr>
                <w:rFonts w:ascii="Times New Roman" w:hAnsi="Times New Roman"/>
                <w:sz w:val="22"/>
              </w:rPr>
              <w:t>mine and job experience as a share of total experience, between 0 and 1</w:t>
            </w:r>
          </w:p>
        </w:tc>
        <w:tc>
          <w:tcPr>
            <w:tcW w:type="dxa" w:w="2256"/>
          </w:tcPr>
          <w:p>
            <w:pPr>
              <w:spacing w:after="0"/>
              <w:jc w:val="left"/>
            </w:pPr>
            <w:r/>
            <w:r>
              <w:rPr>
                <w:rFonts w:ascii="Times New Roman" w:hAnsi="Times New Roman"/>
                <w:sz w:val="22"/>
              </w:rPr>
              <w:t>derived from 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no_injuries_capped</w:t>
            </w:r>
          </w:p>
        </w:tc>
        <w:tc>
          <w:tcPr>
            <w:tcW w:type="dxa" w:w="2256"/>
          </w:tcPr>
          <w:p>
            <w:pPr>
              <w:spacing w:after="0"/>
              <w:jc w:val="left"/>
            </w:pPr>
            <w:r/>
            <w:r>
              <w:rPr>
                <w:rFonts w:ascii="Times New Roman" w:hAnsi="Times New Roman"/>
                <w:sz w:val="22"/>
              </w:rPr>
              <w:t>number of people injured in the occurrence, capped at 10</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accident_hour, shift_begin_hour</w:t>
            </w:r>
          </w:p>
        </w:tc>
        <w:tc>
          <w:tcPr>
            <w:tcW w:type="dxa" w:w="2256"/>
          </w:tcPr>
          <w:p>
            <w:pPr>
              <w:spacing w:after="0"/>
              <w:jc w:val="left"/>
            </w:pPr>
            <w:r/>
            <w:r>
              <w:rPr>
                <w:rFonts w:ascii="Times New Roman" w:hAnsi="Times New Roman"/>
                <w:sz w:val="22"/>
              </w:rPr>
              <w:t>clock hour of the accident and of the start of the shift</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hours_into_shift</w:t>
            </w:r>
          </w:p>
        </w:tc>
        <w:tc>
          <w:tcPr>
            <w:tcW w:type="dxa" w:w="2256"/>
          </w:tcPr>
          <w:p>
            <w:pPr>
              <w:spacing w:after="0"/>
              <w:jc w:val="left"/>
            </w:pPr>
            <w:r/>
            <w:r>
              <w:rPr>
                <w:rFonts w:ascii="Times New Roman" w:hAnsi="Times New Roman"/>
                <w:sz w:val="22"/>
              </w:rPr>
              <w:t>hours from the start of the shift to the accident, missing above 16</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latitude, longitude</w:t>
            </w:r>
          </w:p>
        </w:tc>
        <w:tc>
          <w:tcPr>
            <w:tcW w:type="dxa" w:w="2256"/>
          </w:tcPr>
          <w:p>
            <w:pPr>
              <w:spacing w:after="0"/>
              <w:jc w:val="left"/>
            </w:pPr>
            <w:r/>
            <w:r>
              <w:rPr>
                <w:rFonts w:ascii="Times New Roman" w:hAnsi="Times New Roman"/>
                <w:sz w:val="22"/>
              </w:rPr>
              <w:t>mine coordinates, with invalid pairs set to missing</w:t>
            </w:r>
          </w:p>
        </w:tc>
        <w:tc>
          <w:tcPr>
            <w:tcW w:type="dxa" w:w="2256"/>
          </w:tcPr>
          <w:p>
            <w:pPr>
              <w:spacing w:after="0"/>
              <w:jc w:val="left"/>
            </w:pPr>
            <w:r/>
            <w:r>
              <w:rPr>
                <w:rFonts w:ascii="Times New Roman" w:hAnsi="Times New Roman"/>
                <w:sz w:val="22"/>
              </w:rPr>
              <w:t>Mines</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prev_hours, log1p_prev_hours</w:t>
            </w:r>
          </w:p>
        </w:tc>
        <w:tc>
          <w:tcPr>
            <w:tcW w:type="dxa" w:w="2256"/>
          </w:tcPr>
          <w:p>
            <w:pPr>
              <w:spacing w:after="0"/>
              <w:jc w:val="left"/>
            </w:pPr>
            <w:r/>
            <w:r>
              <w:rPr>
                <w:rFonts w:ascii="Times New Roman" w:hAnsi="Times New Roman"/>
                <w:sz w:val="22"/>
              </w:rPr>
              <w:t>employee-hours worked at the mine in the previous year, raw and log-transformed</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prev_employees, prev_hours_per_employee</w:t>
            </w:r>
          </w:p>
        </w:tc>
        <w:tc>
          <w:tcPr>
            <w:tcW w:type="dxa" w:w="2256"/>
          </w:tcPr>
          <w:p>
            <w:pPr>
              <w:spacing w:after="0"/>
              <w:jc w:val="left"/>
            </w:pPr>
            <w:r/>
            <w:r>
              <w:rPr>
                <w:rFonts w:ascii="Times New Roman" w:hAnsi="Times New Roman"/>
                <w:sz w:val="22"/>
              </w:rPr>
              <w:t>previous-year average employees and hours per employee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prev_incidents</w:t>
            </w:r>
          </w:p>
        </w:tc>
        <w:tc>
          <w:tcPr>
            <w:tcW w:type="dxa" w:w="2256"/>
          </w:tcPr>
          <w:p>
            <w:pPr>
              <w:spacing w:after="0"/>
              <w:jc w:val="left"/>
            </w:pPr>
            <w:r/>
            <w:r>
              <w:rPr>
                <w:rFonts w:ascii="Times New Roman" w:hAnsi="Times New Roman"/>
                <w:sz w:val="22"/>
              </w:rPr>
              <w:t>reports at the mine in the previous year that were filed before the accident date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prev_incident_rate_200k, prev_lost_time_rate_200k</w:t>
            </w:r>
          </w:p>
        </w:tc>
        <w:tc>
          <w:tcPr>
            <w:tcW w:type="dxa" w:w="2256"/>
          </w:tcPr>
          <w:p>
            <w:pPr>
              <w:spacing w:after="0"/>
              <w:jc w:val="left"/>
            </w:pPr>
            <w:r/>
            <w:r>
              <w:rPr>
                <w:rFonts w:ascii="Times New Roman" w:hAnsi="Times New Roman"/>
                <w:sz w:val="22"/>
              </w:rPr>
              <w:t>previous-year reports and lost-time cases per 200,000 employee-hours, capped at 50 and log-transformed</w:t>
            </w:r>
          </w:p>
        </w:tc>
        <w:tc>
          <w:tcPr>
            <w:tcW w:type="dxa" w:w="2256"/>
          </w:tcPr>
          <w:p>
            <w:pPr>
              <w:spacing w:after="0"/>
              <w:jc w:val="left"/>
            </w:pPr>
            <w:r/>
            <w:r>
              <w:rPr>
                <w:rFonts w:ascii="Times New Roman" w:hAnsi="Times New Roman"/>
                <w:sz w:val="22"/>
              </w:rPr>
              <w:t>Accidents (full file) and MinesProdYearly</w:t>
            </w:r>
          </w:p>
        </w:tc>
      </w:tr>
      <w:tr>
        <w:tc>
          <w:tcPr>
            <w:tcW w:type="dxa" w:w="2256"/>
          </w:tcPr>
          <w:p>
            <w:pPr>
              <w:spacing w:after="0"/>
              <w:jc w:val="left"/>
            </w:pPr>
            <w:r/>
            <w:r>
              <w:rPr>
                <w:rFonts w:ascii="Times New Roman" w:hAnsi="Times New Roman"/>
                <w:sz w:val="22"/>
              </w:rPr>
              <w:t>Numeric</w:t>
            </w:r>
          </w:p>
        </w:tc>
        <w:tc>
          <w:tcPr>
            <w:tcW w:type="dxa" w:w="2256"/>
          </w:tcPr>
          <w:p>
            <w:pPr>
              <w:spacing w:after="0"/>
              <w:jc w:val="left"/>
            </w:pPr>
            <w:r/>
            <w:r>
              <w:rPr>
                <w:rFonts w:ascii="Times New Roman" w:hAnsi="Times New Roman"/>
                <w:sz w:val="22"/>
              </w:rPr>
              <w:t>prev_lost_time_share</w:t>
            </w:r>
          </w:p>
        </w:tc>
        <w:tc>
          <w:tcPr>
            <w:tcW w:type="dxa" w:w="2256"/>
          </w:tcPr>
          <w:p>
            <w:pPr>
              <w:spacing w:after="0"/>
              <w:jc w:val="left"/>
            </w:pPr>
            <w:r/>
            <w:r>
              <w:rPr>
                <w:rFonts w:ascii="Times New Roman" w:hAnsi="Times New Roman"/>
                <w:sz w:val="22"/>
              </w:rPr>
              <w:t>share of the previous year's valid-code cases (degree 01 to 06) filed before the accident date that were lost-time</w:t>
            </w:r>
          </w:p>
        </w:tc>
        <w:tc>
          <w:tcPr>
            <w:tcW w:type="dxa" w:w="2256"/>
          </w:tcPr>
          <w:p>
            <w:pPr>
              <w:spacing w:after="0"/>
              <w:jc w:val="left"/>
            </w:pPr>
            <w:r/>
            <w:r>
              <w:rPr>
                <w:rFonts w:ascii="Times New Roman" w:hAnsi="Times New Roman"/>
                <w:sz w:val="22"/>
              </w:rPr>
              <w:t>Accidents (full file)</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is_night, is_weekend</w:t>
            </w:r>
          </w:p>
        </w:tc>
        <w:tc>
          <w:tcPr>
            <w:tcW w:type="dxa" w:w="2256"/>
          </w:tcPr>
          <w:p>
            <w:pPr>
              <w:spacing w:after="0"/>
              <w:jc w:val="left"/>
            </w:pPr>
            <w:r/>
            <w:r>
              <w:rPr>
                <w:rFonts w:ascii="Times New Roman" w:hAnsi="Times New Roman"/>
                <w:sz w:val="22"/>
              </w:rPr>
              <w:t>accident between 18:00 and 05:59; accident on a Saturday or Sunday</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new_to_mine</w:t>
            </w:r>
          </w:p>
        </w:tc>
        <w:tc>
          <w:tcPr>
            <w:tcW w:type="dxa" w:w="2256"/>
          </w:tcPr>
          <w:p>
            <w:pPr>
              <w:spacing w:after="0"/>
              <w:jc w:val="left"/>
            </w:pPr>
            <w:r/>
            <w:r>
              <w:rPr>
                <w:rFonts w:ascii="Times New Roman" w:hAnsi="Times New Roman"/>
                <w:sz w:val="22"/>
              </w:rPr>
              <w:t>less than one year of experience at the current mine</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is_contractor</w:t>
            </w:r>
          </w:p>
        </w:tc>
        <w:tc>
          <w:tcPr>
            <w:tcW w:type="dxa" w:w="2256"/>
          </w:tcPr>
          <w:p>
            <w:pPr>
              <w:spacing w:after="0"/>
              <w:jc w:val="left"/>
            </w:pPr>
            <w:r/>
            <w:r>
              <w:rPr>
                <w:rFonts w:ascii="Times New Roman" w:hAnsi="Times New Roman"/>
                <w:sz w:val="22"/>
              </w:rPr>
              <w:t>the report carries a contractor identifier</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immed_reportable</w:t>
            </w:r>
          </w:p>
        </w:tc>
        <w:tc>
          <w:tcPr>
            <w:tcW w:type="dxa" w:w="2256"/>
          </w:tcPr>
          <w:p>
            <w:pPr>
              <w:spacing w:after="0"/>
              <w:jc w:val="left"/>
            </w:pPr>
            <w:r/>
            <w:r>
              <w:rPr>
                <w:rFonts w:ascii="Times New Roman" w:hAnsi="Times New Roman"/>
                <w:sz w:val="22"/>
              </w:rPr>
              <w:t>the accident was one of the types MSHA must be told of within 15 minutes</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exper_inconsistent</w:t>
            </w:r>
          </w:p>
        </w:tc>
        <w:tc>
          <w:tcPr>
            <w:tcW w:type="dxa" w:w="2256"/>
          </w:tcPr>
          <w:p>
            <w:pPr>
              <w:spacing w:after="0"/>
              <w:jc w:val="left"/>
            </w:pPr>
            <w:r/>
            <w:r>
              <w:rPr>
                <w:rFonts w:ascii="Times New Roman" w:hAnsi="Times New Roman"/>
                <w:sz w:val="22"/>
              </w:rPr>
              <w:t>job or mine experience exceeded total experience before correction</w:t>
            </w:r>
          </w:p>
        </w:tc>
        <w:tc>
          <w:tcPr>
            <w:tcW w:type="dxa" w:w="2256"/>
          </w:tcPr>
          <w:p>
            <w:pPr>
              <w:spacing w:after="0"/>
              <w:jc w:val="left"/>
            </w:pPr>
            <w:r/>
            <w:r>
              <w:rPr>
                <w:rFonts w:ascii="Times New Roman" w:hAnsi="Times New Roman"/>
                <w:sz w:val="22"/>
              </w:rPr>
              <w:t>Accidents</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prev_year_matched</w:t>
            </w:r>
          </w:p>
        </w:tc>
        <w:tc>
          <w:tcPr>
            <w:tcW w:type="dxa" w:w="2256"/>
          </w:tcPr>
          <w:p>
            <w:pPr>
              <w:spacing w:after="0"/>
              <w:jc w:val="left"/>
            </w:pPr>
            <w:r/>
            <w:r>
              <w:rPr>
                <w:rFonts w:ascii="Times New Roman" w:hAnsi="Times New Roman"/>
                <w:sz w:val="22"/>
              </w:rPr>
              <w:t>previous-year production was found for the mine</w:t>
            </w:r>
          </w:p>
        </w:tc>
        <w:tc>
          <w:tcPr>
            <w:tcW w:type="dxa" w:w="2256"/>
          </w:tcPr>
          <w:p>
            <w:pPr>
              <w:spacing w:after="0"/>
              <w:jc w:val="left"/>
            </w:pPr>
            <w:r/>
            <w:r>
              <w:rPr>
                <w:rFonts w:ascii="Times New Roman" w:hAnsi="Times New Roman"/>
                <w:sz w:val="22"/>
              </w:rPr>
              <w:t>MinesProdYearly</w:t>
            </w:r>
          </w:p>
        </w:tc>
      </w:tr>
      <w:tr>
        <w:tc>
          <w:tcPr>
            <w:tcW w:type="dxa" w:w="2256"/>
          </w:tcPr>
          <w:p>
            <w:pPr>
              <w:spacing w:after="0"/>
              <w:jc w:val="left"/>
            </w:pPr>
            <w:r/>
            <w:r>
              <w:rPr>
                <w:rFonts w:ascii="Times New Roman" w:hAnsi="Times New Roman"/>
                <w:sz w:val="22"/>
              </w:rPr>
              <w:t>Binary</w:t>
            </w:r>
          </w:p>
        </w:tc>
        <w:tc>
          <w:tcPr>
            <w:tcW w:type="dxa" w:w="2256"/>
          </w:tcPr>
          <w:p>
            <w:pPr>
              <w:spacing w:after="0"/>
              <w:jc w:val="left"/>
            </w:pPr>
            <w:r/>
            <w:r>
              <w:rPr>
                <w:rFonts w:ascii="Times New Roman" w:hAnsi="Times New Roman"/>
                <w:sz w:val="22"/>
              </w:rPr>
              <w:t>tot_exper_missing, accident_hour_missing, hours_into_shift_missing, prev_share_missing, coords_missing</w:t>
            </w:r>
          </w:p>
        </w:tc>
        <w:tc>
          <w:tcPr>
            <w:tcW w:type="dxa" w:w="2256"/>
          </w:tcPr>
          <w:p>
            <w:pPr>
              <w:spacing w:after="0"/>
              <w:jc w:val="left"/>
            </w:pPr>
            <w:r/>
            <w:r>
              <w:rPr>
                <w:rFonts w:ascii="Times New Roman" w:hAnsi="Times New Roman"/>
                <w:sz w:val="22"/>
              </w:rPr>
              <w:t>missing-value indicators for total experience, accident hour, hours into shift, previous-year lost-time share and coordinates</w:t>
            </w:r>
          </w:p>
        </w:tc>
        <w:tc>
          <w:tcPr>
            <w:tcW w:type="dxa" w:w="2256"/>
          </w:tcPr>
          <w:p>
            <w:pPr>
              <w:spacing w:after="0"/>
              <w:jc w:val="left"/>
            </w:pPr>
            <w:r/>
            <w:r>
              <w:rPr>
                <w:rFonts w:ascii="Times New Roman" w:hAnsi="Times New Roman"/>
                <w:sz w:val="22"/>
              </w:rPr>
              <w:t>derived</w:t>
            </w:r>
          </w:p>
        </w:tc>
      </w:tr>
    </w:tbl>
    <w:p>
      <w:pPr>
        <w:spacing w:after="80"/>
      </w:pPr>
    </w:p>
    <w:p>
      <w:pPr>
        <w:pStyle w:val="Heading2"/>
      </w:pPr>
      <w:r>
        <w:rPr>
          <w:rFonts w:ascii="Times New Roman" w:hAnsi="Times New Roman"/>
          <w:b/>
          <w:color w:val="000000"/>
          <w:sz w:val="28"/>
        </w:rPr>
        <w:t>1.4 Aims and objectives</w:t>
      </w:r>
    </w:p>
    <w:p>
      <w:r>
        <w:rPr>
          <w:rFonts w:ascii="Times New Roman" w:hAnsi="Times New Roman"/>
          <w:sz w:val="24"/>
        </w:rPr>
        <w:t>The aim is a calibrated lost-time score at filing that ranks cases better than the hand rule and the lookup baseline, pursued through four objectives. Section 2 describes every model feature on the training rows and ties each skewed, redundant or incomplete feature to a preparation step. Section 3 fits every learned step on training rows only and asserts that no mine-year crosses the split. Section 4 tunes eight algorithms with grouped cross-validation and tests the final model against S1 to S7. Section 5 states the expected cost per 1,000 cases at the cost ratios of Table 1, recall by sector and the limits of both.</w:t>
      </w:r>
    </w:p>
    <w:p>
      <w:r>
        <w:br w:type="page"/>
      </w:r>
    </w:p>
    <w:p>
      <w:pPr>
        <w:pStyle w:val="Heading1"/>
      </w:pPr>
      <w:r>
        <w:rPr>
          <w:rFonts w:ascii="Times New Roman" w:hAnsi="Times New Roman"/>
          <w:b/>
          <w:color w:val="000000"/>
          <w:sz w:val="32"/>
        </w:rPr>
        <w:t>2 Exploratory Data Analysis</w:t>
      </w:r>
    </w:p>
    <w:p>
      <w:pPr>
        <w:pStyle w:val="Heading2"/>
      </w:pPr>
      <w:r>
        <w:rPr>
          <w:rFonts w:ascii="Times New Roman" w:hAnsi="Times New Roman"/>
          <w:b/>
          <w:color w:val="000000"/>
          <w:sz w:val="28"/>
        </w:rPr>
        <w:t>2.1 Summary</w:t>
      </w:r>
    </w:p>
    <w:p>
      <w:r>
        <w:rPr>
          <w:rFonts w:ascii="Times New Roman" w:hAnsi="Times New Roman"/>
          <w:sz w:val="24"/>
        </w:rPr>
        <w:t>Medians, quartiles and box plots were read before any model was fitted (Tukey, 1977), on training rows only except for the target count. The joined table holds 101,609 rows and the 55 features of Table 5, and 48.6% of rows are lost-time cases (Figure 1). Raw experience and exposure measures are right-skewed (Table 6; Figure 2), and previous-year hours and employees measure mine size twice (Figure 3), a problem for logistic regression and naive Bayes. The mine's previous-year lost-time share and the nature of the injury are most associated with the target (Table 7; Figure 4; Figure 5), yet the classes overlap in every two-dimensional view (Figure 6). Lost-time rates differ most across injury natures (Figure 7), and missing values sit mainly in structural placeholders (Figure 8). The skew led to median imputation, log1p features and retained outliers in Section 3 (Figure 9), and two principal components show no linear class separation (Figure 10).</w:t>
      </w:r>
    </w:p>
    <w:p>
      <w:pPr>
        <w:pStyle w:val="Heading2"/>
      </w:pPr>
      <w:r>
        <w:rPr>
          <w:rFonts w:ascii="Times New Roman" w:hAnsi="Times New Roman"/>
          <w:b/>
          <w:color w:val="000000"/>
          <w:sz w:val="28"/>
        </w:rPr>
        <w:t>2.2 Structure, variable types and target</w:t>
      </w:r>
    </w:p>
    <w:p>
      <w:r>
        <w:rPr>
          <w:rFonts w:ascii="Times New Roman" w:hAnsi="Times New Roman"/>
          <w:sz w:val="24"/>
        </w:rPr>
        <w:t>Each row is one injured worker on one Form 7000-1; the statistics describe the 81,289 training rows. I classified every feature by measurement scale, because scale decides the summary statistic, the plot and the encoder (Han et al., 2022); Table 5 gives each type. Categorical features are nominal codes, summarised by mode and level count, except mine_size_band, whose five employee bands are ordinal. The modal nature of injury, sprain or strain, covers 32.4% of rows, and OCCUPATION has 193 levels, which motivated rare-level pooling. Integer-coded weekday and month were also treated as categorical, since their code values carry no magnitude. Type corrections converted numeric text, kept zero-padded codes such as MINE_ID as strings and parsed HHMM clock fields as integers (Section 3.2).</w:t>
      </w:r>
    </w:p>
    <w:p>
      <w:r>
        <w:rPr>
          <w:rFonts w:ascii="Times New Roman" w:hAnsi="Times New Roman"/>
          <w:sz w:val="24"/>
        </w:rPr>
        <w:t>The target lost_time (Section 1.2) is close to balanced, with negatives outnumbering positives by 1.06 to one (Figure 1). The majority-class baseline, predicting no lost time for every case, is correct for 51.4% of cases yet finds none, so accuracy is reported but not used for selection. Resampling methods such as SMOTE target minority classes too rare to learn (He and Garcia, 2009), and this target is not one. The cost gap between a missed lost-time case and an unnecessary review is handled by the decision threshold instead (Section 3.6).</w:t>
      </w:r>
    </w:p>
    <w:p>
      <w:pPr>
        <w:keepNext/>
        <w:jc w:val="center"/>
      </w:pPr>
      <w:r>
        <w:drawing>
          <wp:inline xmlns:a="http://schemas.openxmlformats.org/drawingml/2006/main" xmlns:pic="http://schemas.openxmlformats.org/drawingml/2006/picture">
            <wp:extent cx="3474719" cy="2606040"/>
            <wp:docPr id="1" name="Picture 1" descr="Figure 1. Counts and shares of non-lost-time and lost-time cases for all 101,609 in-scope rows before the split, drawn as a bar chart because two class sizes are compared. Source: author's analysis of MSHA open data." title="Figure 1"/>
            <wp:cNvGraphicFramePr>
              <a:graphicFrameLocks noChangeAspect="1"/>
            </wp:cNvGraphicFramePr>
            <a:graphic>
              <a:graphicData uri="http://schemas.openxmlformats.org/drawingml/2006/picture">
                <pic:pic>
                  <pic:nvPicPr>
                    <pic:cNvPr id="0" name="F02_target_distribution.png"/>
                    <pic:cNvPicPr/>
                  </pic:nvPicPr>
                  <pic:blipFill>
                    <a:blip r:embed="rId11"/>
                    <a:stretch>
                      <a:fillRect/>
                    </a:stretch>
                  </pic:blipFill>
                  <pic:spPr>
                    <a:xfrm>
                      <a:off x="0" y="0"/>
                      <a:ext cx="3474719" cy="260604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Counts and shares of non-lost-time and lost-time cases for all 101,609 in-scope rows before the split, drawn as a bar chart because two class sizes are compared. Source: author's analysis of MSHA open data.</w:t>
      </w:r>
    </w:p>
    <w:p>
      <w:pPr>
        <w:pStyle w:val="Heading2"/>
      </w:pPr>
      <w:r>
        <w:rPr>
          <w:rFonts w:ascii="Times New Roman" w:hAnsi="Times New Roman"/>
          <w:b/>
          <w:color w:val="000000"/>
          <w:sz w:val="28"/>
        </w:rPr>
        <w:t>2.3 Descriptive statistics and distributions</w:t>
      </w:r>
    </w:p>
    <w:p>
      <w:r>
        <w:rPr>
          <w:rFonts w:ascii="Times New Roman" w:hAnsi="Times New Roman"/>
          <w:sz w:val="24"/>
        </w:rPr>
        <w:t>Table 6 covers the numeric features with the strongest target association or most extreme shape, and Table 22 in Appendix A covers the rest. Measures of centrality diverge under right skew, and total experience has a mean of 9.8 years, a median of 6.0 and a trimmed mean between them. The mean assumes symmetry and is pulled up by long careers, the median ignores how far the tail reaches, and the trimmed mean discards a fifth of the rows to resist both (Bruce et al., 2020). I chose the median as the imputation centre for skewed features. A mean fill would inflate the tenure of unrecorded rows, which are lost-time more often (Section 3.4), so the bias would fall on the costliest misses.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TOT_EXPER (years)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9.8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108.6</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14.4</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12.5</w:t>
            </w:r>
          </w:p>
        </w:tc>
        <w:tc>
          <w:tcPr>
            <w:tcW w:type="dxa" w:w="694"/>
          </w:tcPr>
          <w:p>
            <w:pPr>
              <w:spacing w:after="0"/>
              <w:jc w:val="left"/>
            </w:pPr>
            <w:r/>
            <w:r>
              <w:rPr>
                <w:rFonts w:ascii="Times New Roman" w:hAnsi="Times New Roman"/>
                <w:sz w:val="22"/>
              </w:rPr>
              <w:t>1.37</w:t>
            </w:r>
          </w:p>
        </w:tc>
      </w:tr>
      <w:tr>
        <w:tc>
          <w:tcPr>
            <w:tcW w:type="dxa" w:w="694"/>
          </w:tcPr>
          <w:p>
            <w:pPr>
              <w:spacing w:after="0"/>
              <w:jc w:val="left"/>
            </w:pPr>
            <w:r/>
            <w:r>
              <w:rPr>
                <w:rFonts w:ascii="Times New Roman" w:hAnsi="Times New Roman"/>
                <w:sz w:val="22"/>
              </w:rPr>
              <w:t>log1p_tot_exper</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1.89</w:t>
            </w:r>
          </w:p>
        </w:tc>
        <w:tc>
          <w:tcPr>
            <w:tcW w:type="dxa" w:w="694"/>
          </w:tcPr>
          <w:p>
            <w:pPr>
              <w:spacing w:after="0"/>
              <w:jc w:val="left"/>
            </w:pPr>
            <w:r/>
            <w:r>
              <w:rPr>
                <w:rFonts w:ascii="Times New Roman" w:hAnsi="Times New Roman"/>
                <w:sz w:val="22"/>
              </w:rPr>
              <w:t>1.95</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1.09</w:t>
            </w:r>
          </w:p>
        </w:tc>
        <w:tc>
          <w:tcPr>
            <w:tcW w:type="dxa" w:w="694"/>
          </w:tcPr>
          <w:p>
            <w:pPr>
              <w:spacing w:after="0"/>
              <w:jc w:val="left"/>
            </w:pPr>
            <w:r/>
            <w:r>
              <w:rPr>
                <w:rFonts w:ascii="Times New Roman" w:hAnsi="Times New Roman"/>
                <w:sz w:val="22"/>
              </w:rPr>
              <w:t>1.04</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1.07</w:t>
            </w:r>
          </w:p>
        </w:tc>
        <w:tc>
          <w:tcPr>
            <w:tcW w:type="dxa" w:w="694"/>
          </w:tcPr>
          <w:p>
            <w:pPr>
              <w:spacing w:after="0"/>
              <w:jc w:val="left"/>
            </w:pPr>
            <w:r/>
            <w:r>
              <w:rPr>
                <w:rFonts w:ascii="Times New Roman" w:hAnsi="Times New Roman"/>
                <w:sz w:val="22"/>
              </w:rPr>
              <w:t>2.74</w:t>
            </w:r>
          </w:p>
        </w:tc>
        <w:tc>
          <w:tcPr>
            <w:tcW w:type="dxa" w:w="694"/>
          </w:tcPr>
          <w:p>
            <w:pPr>
              <w:spacing w:after="0"/>
              <w:jc w:val="left"/>
            </w:pPr>
            <w:r/>
            <w:r>
              <w:rPr>
                <w:rFonts w:ascii="Times New Roman" w:hAnsi="Times New Roman"/>
                <w:sz w:val="22"/>
              </w:rPr>
              <w:t>4.11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-0.07</w:t>
            </w:r>
          </w:p>
        </w:tc>
      </w:tr>
      <w:tr>
        <w:tc>
          <w:tcPr>
            <w:tcW w:type="dxa" w:w="694"/>
          </w:tcPr>
          <w:p>
            <w:pPr>
              <w:spacing w:after="0"/>
              <w:jc w:val="left"/>
            </w:pPr>
            <w:r/>
            <w:r>
              <w:rPr>
                <w:rFonts w:ascii="Times New Roman" w:hAnsi="Times New Roman"/>
                <w:sz w:val="22"/>
              </w:rPr>
              <w:t>MINE_EXPER (years)</w:t>
            </w:r>
          </w:p>
        </w:tc>
        <w:tc>
          <w:tcPr>
            <w:tcW w:type="dxa" w:w="694"/>
          </w:tcPr>
          <w:p>
            <w:pPr>
              <w:spacing w:after="0"/>
              <w:jc w:val="left"/>
            </w:pPr>
            <w:r/>
            <w:r>
              <w:rPr>
                <w:rFonts w:ascii="Times New Roman" w:hAnsi="Times New Roman"/>
                <w:sz w:val="22"/>
              </w:rPr>
              <w:t>1.4</w:t>
            </w:r>
          </w:p>
        </w:tc>
        <w:tc>
          <w:tcPr>
            <w:tcW w:type="dxa" w:w="694"/>
          </w:tcPr>
          <w:p>
            <w:pPr>
              <w:spacing w:after="0"/>
              <w:jc w:val="left"/>
            </w:pPr>
            <w:r/>
            <w:r>
              <w:rPr>
                <w:rFonts w:ascii="Times New Roman" w:hAnsi="Times New Roman"/>
                <w:sz w:val="22"/>
              </w:rPr>
              <w:t>5.8</w:t>
            </w:r>
          </w:p>
        </w:tc>
        <w:tc>
          <w:tcPr>
            <w:tcW w:type="dxa" w:w="694"/>
          </w:tcPr>
          <w:p>
            <w:pPr>
              <w:spacing w:after="0"/>
              <w:jc w:val="left"/>
            </w:pPr>
            <w:r/>
            <w:r>
              <w:rPr>
                <w:rFonts w:ascii="Times New Roman" w:hAnsi="Times New Roman"/>
                <w:sz w:val="22"/>
              </w:rPr>
              <w:t>2.6</w:t>
            </w:r>
          </w:p>
        </w:tc>
        <w:tc>
          <w:tcPr>
            <w:tcW w:type="dxa" w:w="694"/>
          </w:tcPr>
          <w:p>
            <w:pPr>
              <w:spacing w:after="0"/>
              <w:jc w:val="left"/>
            </w:pPr>
            <w:r/>
            <w:r>
              <w:rPr>
                <w:rFonts w:ascii="Times New Roman" w:hAnsi="Times New Roman"/>
                <w:sz w:val="22"/>
              </w:rPr>
              <w:t>4.0</w:t>
            </w:r>
          </w:p>
        </w:tc>
        <w:tc>
          <w:tcPr>
            <w:tcW w:type="dxa" w:w="694"/>
          </w:tcPr>
          <w:p>
            <w:pPr>
              <w:spacing w:after="0"/>
              <w:jc w:val="left"/>
            </w:pPr>
            <w:r/>
            <w:r>
              <w:rPr>
                <w:rFonts w:ascii="Times New Roman" w:hAnsi="Times New Roman"/>
                <w:sz w:val="22"/>
              </w:rPr>
              <w:t>64.6</w:t>
            </w:r>
          </w:p>
        </w:tc>
        <w:tc>
          <w:tcPr>
            <w:tcW w:type="dxa" w:w="694"/>
          </w:tcPr>
          <w:p>
            <w:pPr>
              <w:spacing w:after="0"/>
              <w:jc w:val="left"/>
            </w:pPr>
            <w:r/>
            <w:r>
              <w:rPr>
                <w:rFonts w:ascii="Times New Roman" w:hAnsi="Times New Roman"/>
                <w:sz w:val="22"/>
              </w:rPr>
              <w:t>8.0</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0.7</w:t>
            </w:r>
          </w:p>
        </w:tc>
        <w:tc>
          <w:tcPr>
            <w:tcW w:type="dxa" w:w="694"/>
          </w:tcPr>
          <w:p>
            <w:pPr>
              <w:spacing w:after="0"/>
              <w:jc w:val="left"/>
            </w:pPr>
            <w:r/>
            <w:r>
              <w:rPr>
                <w:rFonts w:ascii="Times New Roman" w:hAnsi="Times New Roman"/>
                <w:sz w:val="22"/>
              </w:rPr>
              <w:t>7.5</w:t>
            </w:r>
          </w:p>
        </w:tc>
        <w:tc>
          <w:tcPr>
            <w:tcW w:type="dxa" w:w="694"/>
          </w:tcPr>
          <w:p>
            <w:pPr>
              <w:spacing w:after="0"/>
              <w:jc w:val="left"/>
            </w:pPr>
            <w:r/>
            <w:r>
              <w:rPr>
                <w:rFonts w:ascii="Times New Roman" w:hAnsi="Times New Roman"/>
                <w:sz w:val="22"/>
              </w:rPr>
              <w:t>58.0</w:t>
            </w:r>
          </w:p>
        </w:tc>
        <w:tc>
          <w:tcPr>
            <w:tcW w:type="dxa" w:w="694"/>
          </w:tcPr>
          <w:p>
            <w:pPr>
              <w:spacing w:after="0"/>
              <w:jc w:val="left"/>
            </w:pPr>
            <w:r/>
            <w:r>
              <w:rPr>
                <w:rFonts w:ascii="Times New Roman" w:hAnsi="Times New Roman"/>
                <w:sz w:val="22"/>
              </w:rPr>
              <w:t>6.8</w:t>
            </w:r>
          </w:p>
        </w:tc>
        <w:tc>
          <w:tcPr>
            <w:tcW w:type="dxa" w:w="694"/>
          </w:tcPr>
          <w:p>
            <w:pPr>
              <w:spacing w:after="0"/>
              <w:jc w:val="left"/>
            </w:pPr>
            <w:r/>
            <w:r>
              <w:rPr>
                <w:rFonts w:ascii="Times New Roman" w:hAnsi="Times New Roman"/>
                <w:sz w:val="22"/>
              </w:rPr>
              <w:t>2.25</w:t>
            </w:r>
          </w:p>
        </w:tc>
      </w:tr>
      <w:tr>
        <w:tc>
          <w:tcPr>
            <w:tcW w:type="dxa" w:w="694"/>
          </w:tcPr>
          <w:p>
            <w:pPr>
              <w:spacing w:after="0"/>
              <w:jc w:val="left"/>
            </w:pPr>
            <w:r/>
            <w:r>
              <w:rPr>
                <w:rFonts w:ascii="Times New Roman" w:hAnsi="Times New Roman"/>
                <w:sz w:val="22"/>
              </w:rPr>
              <w:t>JOB_EXPER (years)</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6.2</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65.0</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0.02</w:t>
            </w:r>
          </w:p>
        </w:tc>
        <w:tc>
          <w:tcPr>
            <w:tcW w:type="dxa" w:w="694"/>
          </w:tcPr>
          <w:p>
            <w:pPr>
              <w:spacing w:after="0"/>
              <w:jc w:val="left"/>
            </w:pPr>
            <w:r/>
            <w:r>
              <w:rPr>
                <w:rFonts w:ascii="Times New Roman" w:hAnsi="Times New Roman"/>
                <w:sz w:val="22"/>
              </w:rPr>
              <w:t>0.9</w:t>
            </w:r>
          </w:p>
        </w:tc>
        <w:tc>
          <w:tcPr>
            <w:tcW w:type="dxa" w:w="694"/>
          </w:tcPr>
          <w:p>
            <w:pPr>
              <w:spacing w:after="0"/>
              <w:jc w:val="left"/>
            </w:pPr>
            <w:r/>
            <w:r>
              <w:rPr>
                <w:rFonts w:ascii="Times New Roman" w:hAnsi="Times New Roman"/>
                <w:sz w:val="22"/>
              </w:rPr>
              <w:t>8.1</w:t>
            </w:r>
          </w:p>
        </w:tc>
        <w:tc>
          <w:tcPr>
            <w:tcW w:type="dxa" w:w="694"/>
          </w:tcPr>
          <w:p>
            <w:pPr>
              <w:spacing w:after="0"/>
              <w:jc w:val="left"/>
            </w:pPr>
            <w:r/>
            <w:r>
              <w:rPr>
                <w:rFonts w:ascii="Times New Roman" w:hAnsi="Times New Roman"/>
                <w:sz w:val="22"/>
              </w:rPr>
              <w:t>60.0</w:t>
            </w:r>
          </w:p>
        </w:tc>
        <w:tc>
          <w:tcPr>
            <w:tcW w:type="dxa" w:w="694"/>
          </w:tcPr>
          <w:p>
            <w:pPr>
              <w:spacing w:after="0"/>
              <w:jc w:val="left"/>
            </w:pPr>
            <w:r/>
            <w:r>
              <w:rPr>
                <w:rFonts w:ascii="Times New Roman" w:hAnsi="Times New Roman"/>
                <w:sz w:val="22"/>
              </w:rPr>
              <w:t>7.1</w:t>
            </w:r>
          </w:p>
        </w:tc>
        <w:tc>
          <w:tcPr>
            <w:tcW w:type="dxa" w:w="694"/>
          </w:tcPr>
          <w:p>
            <w:pPr>
              <w:spacing w:after="0"/>
              <w:jc w:val="left"/>
            </w:pPr>
            <w:r/>
            <w:r>
              <w:rPr>
                <w:rFonts w:ascii="Times New Roman" w:hAnsi="Times New Roman"/>
                <w:sz w:val="22"/>
              </w:rPr>
              <w:t>2.09</w:t>
            </w:r>
          </w:p>
        </w:tc>
      </w:tr>
      <w:tr>
        <w:tc>
          <w:tcPr>
            <w:tcW w:type="dxa" w:w="694"/>
          </w:tcPr>
          <w:p>
            <w:pPr>
              <w:spacing w:after="0"/>
              <w:jc w:val="left"/>
            </w:pPr>
            <w:r/>
            <w:r>
              <w:rPr>
                <w:rFonts w:ascii="Times New Roman" w:hAnsi="Times New Roman"/>
                <w:sz w:val="22"/>
              </w:rPr>
              <w:t>exper_ratio_mine (ratio)</w:t>
            </w:r>
          </w:p>
        </w:tc>
        <w:tc>
          <w:tcPr>
            <w:tcW w:type="dxa" w:w="694"/>
          </w:tcPr>
          <w:p>
            <w:pPr>
              <w:spacing w:after="0"/>
              <w:jc w:val="left"/>
            </w:pPr>
            <w:r/>
            <w:r>
              <w:rPr>
                <w:rFonts w:ascii="Times New Roman" w:hAnsi="Times New Roman"/>
                <w:sz w:val="22"/>
              </w:rPr>
              <w:t>1.7</w:t>
            </w:r>
          </w:p>
        </w:tc>
        <w:tc>
          <w:tcPr>
            <w:tcW w:type="dxa" w:w="694"/>
          </w:tcPr>
          <w:p>
            <w:pPr>
              <w:spacing w:after="0"/>
              <w:jc w:val="left"/>
            </w:pPr>
            <w:r/>
            <w:r>
              <w:rPr>
                <w:rFonts w:ascii="Times New Roman" w:hAnsi="Times New Roman"/>
                <w:sz w:val="22"/>
              </w:rPr>
              <w:t>0.72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0.77</w:t>
            </w:r>
          </w:p>
        </w:tc>
        <w:tc>
          <w:tcPr>
            <w:tcW w:type="dxa" w:w="694"/>
          </w:tcPr>
          <w:p>
            <w:pPr>
              <w:spacing w:after="0"/>
              <w:jc w:val="left"/>
            </w:pPr>
            <w:r/>
            <w:r>
              <w:rPr>
                <w:rFonts w:ascii="Times New Roman" w:hAnsi="Times New Roman"/>
                <w:sz w:val="22"/>
              </w:rPr>
              <w:t>0.15</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0.67</w:t>
            </w:r>
          </w:p>
        </w:tc>
        <w:tc>
          <w:tcPr>
            <w:tcW w:type="dxa" w:w="694"/>
          </w:tcPr>
          <w:p>
            <w:pPr>
              <w:spacing w:after="0"/>
              <w:jc w:val="left"/>
            </w:pPr>
            <w:r/>
            <w:r>
              <w:rPr>
                <w:rFonts w:ascii="Times New Roman" w:hAnsi="Times New Roman"/>
                <w:sz w:val="22"/>
              </w:rPr>
              <w:t>-0.83</w:t>
            </w:r>
          </w:p>
        </w:tc>
      </w:tr>
      <w:tr>
        <w:tc>
          <w:tcPr>
            <w:tcW w:type="dxa" w:w="694"/>
          </w:tcPr>
          <w:p>
            <w:pPr>
              <w:spacing w:after="0"/>
              <w:jc w:val="left"/>
            </w:pPr>
            <w:r/>
            <w:r>
              <w:rPr>
                <w:rFonts w:ascii="Times New Roman" w:hAnsi="Times New Roman"/>
                <w:sz w:val="22"/>
              </w:rPr>
              <w:t>hours_into_shift (hours)</w:t>
            </w:r>
          </w:p>
        </w:tc>
        <w:tc>
          <w:tcPr>
            <w:tcW w:type="dxa" w:w="694"/>
          </w:tcPr>
          <w:p>
            <w:pPr>
              <w:spacing w:after="0"/>
              <w:jc w:val="left"/>
            </w:pPr>
            <w:r/>
            <w:r>
              <w:rPr>
                <w:rFonts w:ascii="Times New Roman" w:hAnsi="Times New Roman"/>
                <w:sz w:val="22"/>
              </w:rPr>
              <w:t>3.8</w:t>
            </w:r>
          </w:p>
        </w:tc>
        <w:tc>
          <w:tcPr>
            <w:tcW w:type="dxa" w:w="694"/>
          </w:tcPr>
          <w:p>
            <w:pPr>
              <w:spacing w:after="0"/>
              <w:jc w:val="left"/>
            </w:pPr>
            <w:r/>
            <w:r>
              <w:rPr>
                <w:rFonts w:ascii="Times New Roman" w:hAnsi="Times New Roman"/>
                <w:sz w:val="22"/>
              </w:rPr>
              <w:t>4.8</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4.7</w:t>
            </w:r>
          </w:p>
        </w:tc>
        <w:tc>
          <w:tcPr>
            <w:tcW w:type="dxa" w:w="694"/>
          </w:tcPr>
          <w:p>
            <w:pPr>
              <w:spacing w:after="0"/>
              <w:jc w:val="left"/>
            </w:pPr>
            <w:r/>
            <w:r>
              <w:rPr>
                <w:rFonts w:ascii="Times New Roman" w:hAnsi="Times New Roman"/>
                <w:sz w:val="22"/>
              </w:rPr>
              <w:t>8.4</w:t>
            </w:r>
          </w:p>
        </w:tc>
        <w:tc>
          <w:tcPr>
            <w:tcW w:type="dxa" w:w="694"/>
          </w:tcPr>
          <w:p>
            <w:pPr>
              <w:spacing w:after="0"/>
              <w:jc w:val="left"/>
            </w:pPr>
            <w:r/>
            <w:r>
              <w:rPr>
                <w:rFonts w:ascii="Times New Roman" w:hAnsi="Times New Roman"/>
                <w:sz w:val="22"/>
              </w:rPr>
              <w:t>2.9</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2.5</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16.0</w:t>
            </w:r>
          </w:p>
        </w:tc>
        <w:tc>
          <w:tcPr>
            <w:tcW w:type="dxa" w:w="694"/>
          </w:tcPr>
          <w:p>
            <w:pPr>
              <w:spacing w:after="0"/>
              <w:jc w:val="left"/>
            </w:pPr>
            <w:r/>
            <w:r>
              <w:rPr>
                <w:rFonts w:ascii="Times New Roman" w:hAnsi="Times New Roman"/>
                <w:sz w:val="22"/>
              </w:rPr>
              <w:t>4.5</w:t>
            </w:r>
          </w:p>
        </w:tc>
        <w:tc>
          <w:tcPr>
            <w:tcW w:type="dxa" w:w="694"/>
          </w:tcPr>
          <w:p>
            <w:pPr>
              <w:spacing w:after="0"/>
              <w:jc w:val="left"/>
            </w:pPr>
            <w:r/>
            <w:r>
              <w:rPr>
                <w:rFonts w:ascii="Times New Roman" w:hAnsi="Times New Roman"/>
                <w:sz w:val="22"/>
              </w:rPr>
              <w:t>0.42</w:t>
            </w:r>
          </w:p>
        </w:tc>
      </w:tr>
      <w:tr>
        <w:tc>
          <w:tcPr>
            <w:tcW w:type="dxa" w:w="694"/>
          </w:tcPr>
          <w:p>
            <w:pPr>
              <w:spacing w:after="0"/>
              <w:jc w:val="left"/>
            </w:pPr>
            <w:r/>
            <w:r>
              <w:rPr>
                <w:rFonts w:ascii="Times New Roman" w:hAnsi="Times New Roman"/>
                <w:sz w:val="22"/>
              </w:rPr>
              <w:t>longitude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-92.6</w:t>
            </w:r>
          </w:p>
        </w:tc>
        <w:tc>
          <w:tcPr>
            <w:tcW w:type="dxa" w:w="694"/>
          </w:tcPr>
          <w:p>
            <w:pPr>
              <w:spacing w:after="0"/>
              <w:jc w:val="left"/>
            </w:pPr>
            <w:r/>
            <w:r>
              <w:rPr>
                <w:rFonts w:ascii="Times New Roman" w:hAnsi="Times New Roman"/>
                <w:sz w:val="22"/>
              </w:rPr>
              <w:t>-87.5</w:t>
            </w:r>
          </w:p>
        </w:tc>
        <w:tc>
          <w:tcPr>
            <w:tcW w:type="dxa" w:w="694"/>
          </w:tcPr>
          <w:p>
            <w:pPr>
              <w:spacing w:after="0"/>
              <w:jc w:val="left"/>
            </w:pPr>
            <w:r/>
            <w:r>
              <w:rPr>
                <w:rFonts w:ascii="Times New Roman" w:hAnsi="Times New Roman"/>
                <w:sz w:val="22"/>
              </w:rPr>
              <w:t>-90.9</w:t>
            </w:r>
          </w:p>
        </w:tc>
        <w:tc>
          <w:tcPr>
            <w:tcW w:type="dxa" w:w="694"/>
          </w:tcPr>
          <w:p>
            <w:pPr>
              <w:spacing w:after="0"/>
              <w:jc w:val="left"/>
            </w:pPr>
            <w:r/>
            <w:r>
              <w:rPr>
                <w:rFonts w:ascii="Times New Roman" w:hAnsi="Times New Roman"/>
                <w:sz w:val="22"/>
              </w:rPr>
              <w:t>217.9</w:t>
            </w:r>
          </w:p>
        </w:tc>
        <w:tc>
          <w:tcPr>
            <w:tcW w:type="dxa" w:w="694"/>
          </w:tcPr>
          <w:p>
            <w:pPr>
              <w:spacing w:after="0"/>
              <w:jc w:val="left"/>
            </w:pPr>
            <w:r/>
            <w:r>
              <w:rPr>
                <w:rFonts w:ascii="Times New Roman" w:hAnsi="Times New Roman"/>
                <w:sz w:val="22"/>
              </w:rPr>
              <w:t>14.8</w:t>
            </w:r>
          </w:p>
        </w:tc>
        <w:tc>
          <w:tcPr>
            <w:tcW w:type="dxa" w:w="694"/>
          </w:tcPr>
          <w:p>
            <w:pPr>
              <w:spacing w:after="0"/>
              <w:jc w:val="left"/>
            </w:pPr>
            <w:r/>
            <w:r>
              <w:rPr>
                <w:rFonts w:ascii="Times New Roman" w:hAnsi="Times New Roman"/>
                <w:sz w:val="22"/>
              </w:rPr>
              <w:t>-166.6</w:t>
            </w:r>
          </w:p>
        </w:tc>
        <w:tc>
          <w:tcPr>
            <w:tcW w:type="dxa" w:w="694"/>
          </w:tcPr>
          <w:p>
            <w:pPr>
              <w:spacing w:after="0"/>
              <w:jc w:val="left"/>
            </w:pPr>
            <w:r/>
            <w:r>
              <w:rPr>
                <w:rFonts w:ascii="Times New Roman" w:hAnsi="Times New Roman"/>
                <w:sz w:val="22"/>
              </w:rPr>
              <w:t>-104.0</w:t>
            </w:r>
          </w:p>
        </w:tc>
        <w:tc>
          <w:tcPr>
            <w:tcW w:type="dxa" w:w="694"/>
          </w:tcPr>
          <w:p>
            <w:pPr>
              <w:spacing w:after="0"/>
              <w:jc w:val="left"/>
            </w:pPr>
            <w:r/>
            <w:r>
              <w:rPr>
                <w:rFonts w:ascii="Times New Roman" w:hAnsi="Times New Roman"/>
                <w:sz w:val="22"/>
              </w:rPr>
              <w:t>-81.5</w:t>
            </w:r>
          </w:p>
        </w:tc>
        <w:tc>
          <w:tcPr>
            <w:tcW w:type="dxa" w:w="694"/>
          </w:tcPr>
          <w:p>
            <w:pPr>
              <w:spacing w:after="0"/>
              <w:jc w:val="left"/>
            </w:pPr>
            <w:r/>
            <w:r>
              <w:rPr>
                <w:rFonts w:ascii="Times New Roman" w:hAnsi="Times New Roman"/>
                <w:sz w:val="22"/>
              </w:rPr>
              <w:t>-64.9</w:t>
            </w:r>
          </w:p>
        </w:tc>
        <w:tc>
          <w:tcPr>
            <w:tcW w:type="dxa" w:w="694"/>
          </w:tcPr>
          <w:p>
            <w:pPr>
              <w:spacing w:after="0"/>
              <w:jc w:val="left"/>
            </w:pPr>
            <w:r/>
            <w:r>
              <w:rPr>
                <w:rFonts w:ascii="Times New Roman" w:hAnsi="Times New Roman"/>
                <w:sz w:val="22"/>
              </w:rPr>
              <w:t>22.5</w:t>
            </w:r>
          </w:p>
        </w:tc>
        <w:tc>
          <w:tcPr>
            <w:tcW w:type="dxa" w:w="694"/>
          </w:tcPr>
          <w:p>
            <w:pPr>
              <w:spacing w:after="0"/>
              <w:jc w:val="left"/>
            </w:pPr>
            <w:r/>
            <w:r>
              <w:rPr>
                <w:rFonts w:ascii="Times New Roman" w:hAnsi="Times New Roman"/>
                <w:sz w:val="22"/>
              </w:rPr>
              <w:t>-1.20</w:t>
            </w:r>
          </w:p>
        </w:tc>
      </w:tr>
      <w:tr>
        <w:tc>
          <w:tcPr>
            <w:tcW w:type="dxa" w:w="694"/>
          </w:tcPr>
          <w:p>
            <w:pPr>
              <w:spacing w:after="0"/>
              <w:jc w:val="left"/>
            </w:pPr>
            <w:r/>
            <w:r>
              <w:rPr>
                <w:rFonts w:ascii="Times New Roman" w:hAnsi="Times New Roman"/>
                <w:sz w:val="22"/>
              </w:rPr>
              <w:t>prev_hours (thousand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612.7</w:t>
            </w:r>
          </w:p>
        </w:tc>
        <w:tc>
          <w:tcPr>
            <w:tcW w:type="dxa" w:w="694"/>
          </w:tcPr>
          <w:p>
            <w:pPr>
              <w:spacing w:after="0"/>
              <w:jc w:val="left"/>
            </w:pPr>
            <w:r/>
            <w:r>
              <w:rPr>
                <w:rFonts w:ascii="Times New Roman" w:hAnsi="Times New Roman"/>
                <w:sz w:val="22"/>
              </w:rPr>
              <w:t>247.0</w:t>
            </w:r>
          </w:p>
        </w:tc>
        <w:tc>
          <w:tcPr>
            <w:tcW w:type="dxa" w:w="694"/>
          </w:tcPr>
          <w:p>
            <w:pPr>
              <w:spacing w:after="0"/>
              <w:jc w:val="left"/>
            </w:pPr>
            <w:r/>
            <w:r>
              <w:rPr>
                <w:rFonts w:ascii="Times New Roman" w:hAnsi="Times New Roman"/>
                <w:sz w:val="22"/>
              </w:rPr>
              <w:t>413.6</w:t>
            </w:r>
          </w:p>
        </w:tc>
        <w:tc>
          <w:tcPr>
            <w:tcW w:type="dxa" w:w="694"/>
          </w:tcPr>
          <w:p>
            <w:pPr>
              <w:spacing w:after="0"/>
              <w:jc w:val="left"/>
            </w:pPr>
            <w:r/>
            <w:r>
              <w:rPr>
                <w:rFonts w:ascii="Times New Roman" w:hAnsi="Times New Roman"/>
                <w:sz w:val="22"/>
              </w:rPr>
              <w:t>1,044,971</w:t>
            </w:r>
          </w:p>
        </w:tc>
        <w:tc>
          <w:tcPr>
            <w:tcW w:type="dxa" w:w="694"/>
          </w:tcPr>
          <w:p>
            <w:pPr>
              <w:spacing w:after="0"/>
              <w:jc w:val="left"/>
            </w:pPr>
            <w:r/>
            <w:r>
              <w:rPr>
                <w:rFonts w:ascii="Times New Roman" w:hAnsi="Times New Roman"/>
                <w:sz w:val="22"/>
              </w:rPr>
              <w:t>1,022.2</w:t>
            </w:r>
          </w:p>
        </w:tc>
        <w:tc>
          <w:tcPr>
            <w:tcW w:type="dxa" w:w="694"/>
          </w:tcPr>
          <w:p>
            <w:pPr>
              <w:spacing w:after="0"/>
              <w:jc w:val="left"/>
            </w:pPr>
            <w:r/>
            <w:r>
              <w:rPr>
                <w:rFonts w:ascii="Times New Roman" w:hAnsi="Times New Roman"/>
                <w:sz w:val="22"/>
              </w:rPr>
              <w:t>0.001</w:t>
            </w:r>
          </w:p>
        </w:tc>
        <w:tc>
          <w:tcPr>
            <w:tcW w:type="dxa" w:w="694"/>
          </w:tcPr>
          <w:p>
            <w:pPr>
              <w:spacing w:after="0"/>
              <w:jc w:val="left"/>
            </w:pPr>
            <w:r/>
            <w:r>
              <w:rPr>
                <w:rFonts w:ascii="Times New Roman" w:hAnsi="Times New Roman"/>
                <w:sz w:val="22"/>
              </w:rPr>
              <w:t>69.6</w:t>
            </w:r>
          </w:p>
        </w:tc>
        <w:tc>
          <w:tcPr>
            <w:tcW w:type="dxa" w:w="694"/>
          </w:tcPr>
          <w:p>
            <w:pPr>
              <w:spacing w:after="0"/>
              <w:jc w:val="left"/>
            </w:pPr>
            <w:r/>
            <w:r>
              <w:rPr>
                <w:rFonts w:ascii="Times New Roman" w:hAnsi="Times New Roman"/>
                <w:sz w:val="22"/>
              </w:rPr>
              <w:t>829.6</w:t>
            </w:r>
          </w:p>
        </w:tc>
        <w:tc>
          <w:tcPr>
            <w:tcW w:type="dxa" w:w="694"/>
          </w:tcPr>
          <w:p>
            <w:pPr>
              <w:spacing w:after="0"/>
              <w:jc w:val="left"/>
            </w:pPr>
            <w:r/>
            <w:r>
              <w:rPr>
                <w:rFonts w:ascii="Times New Roman" w:hAnsi="Times New Roman"/>
                <w:sz w:val="22"/>
              </w:rPr>
              <w:t>7,735.3</w:t>
            </w:r>
          </w:p>
        </w:tc>
        <w:tc>
          <w:tcPr>
            <w:tcW w:type="dxa" w:w="694"/>
          </w:tcPr>
          <w:p>
            <w:pPr>
              <w:spacing w:after="0"/>
              <w:jc w:val="left"/>
            </w:pPr>
            <w:r/>
            <w:r>
              <w:rPr>
                <w:rFonts w:ascii="Times New Roman" w:hAnsi="Times New Roman"/>
                <w:sz w:val="22"/>
              </w:rPr>
              <w:t>760.0</w:t>
            </w:r>
          </w:p>
        </w:tc>
        <w:tc>
          <w:tcPr>
            <w:tcW w:type="dxa" w:w="694"/>
          </w:tcPr>
          <w:p>
            <w:pPr>
              <w:spacing w:after="0"/>
              <w:jc w:val="left"/>
            </w:pPr>
            <w:r/>
            <w:r>
              <w:rPr>
                <w:rFonts w:ascii="Times New Roman" w:hAnsi="Times New Roman"/>
                <w:sz w:val="22"/>
              </w:rPr>
              <w:t>4.27</w:t>
            </w:r>
          </w:p>
        </w:tc>
      </w:tr>
      <w:tr>
        <w:tc>
          <w:tcPr>
            <w:tcW w:type="dxa" w:w="694"/>
          </w:tcPr>
          <w:p>
            <w:pPr>
              <w:spacing w:after="0"/>
              <w:jc w:val="left"/>
            </w:pPr>
            <w:r/>
            <w:r>
              <w:rPr>
                <w:rFonts w:ascii="Times New Roman" w:hAnsi="Times New Roman"/>
                <w:sz w:val="22"/>
              </w:rPr>
              <w:t>prev_employees (persons)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281.6</w:t>
            </w:r>
          </w:p>
        </w:tc>
        <w:tc>
          <w:tcPr>
            <w:tcW w:type="dxa" w:w="694"/>
          </w:tcPr>
          <w:p>
            <w:pPr>
              <w:spacing w:after="0"/>
              <w:jc w:val="left"/>
            </w:pPr>
            <w:r/>
            <w:r>
              <w:rPr>
                <w:rFonts w:ascii="Times New Roman" w:hAnsi="Times New Roman"/>
                <w:sz w:val="22"/>
              </w:rPr>
              <w:t>113.0</w:t>
            </w:r>
          </w:p>
        </w:tc>
        <w:tc>
          <w:tcPr>
            <w:tcW w:type="dxa" w:w="694"/>
          </w:tcPr>
          <w:p>
            <w:pPr>
              <w:spacing w:after="0"/>
              <w:jc w:val="left"/>
            </w:pPr>
            <w:r/>
            <w:r>
              <w:rPr>
                <w:rFonts w:ascii="Times New Roman" w:hAnsi="Times New Roman"/>
                <w:sz w:val="22"/>
              </w:rPr>
              <w:t>186.4</w:t>
            </w:r>
          </w:p>
        </w:tc>
        <w:tc>
          <w:tcPr>
            <w:tcW w:type="dxa" w:w="694"/>
          </w:tcPr>
          <w:p>
            <w:pPr>
              <w:spacing w:after="0"/>
              <w:jc w:val="left"/>
            </w:pPr>
            <w:r/>
            <w:r>
              <w:rPr>
                <w:rFonts w:ascii="Times New Roman" w:hAnsi="Times New Roman"/>
                <w:sz w:val="22"/>
              </w:rPr>
              <w:t>239,644</w:t>
            </w:r>
          </w:p>
        </w:tc>
        <w:tc>
          <w:tcPr>
            <w:tcW w:type="dxa" w:w="694"/>
          </w:tcPr>
          <w:p>
            <w:pPr>
              <w:spacing w:after="0"/>
              <w:jc w:val="left"/>
            </w:pPr>
            <w:r/>
            <w:r>
              <w:rPr>
                <w:rFonts w:ascii="Times New Roman" w:hAnsi="Times New Roman"/>
                <w:sz w:val="22"/>
              </w:rPr>
              <w:t>489.5</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33</w:t>
            </w:r>
          </w:p>
        </w:tc>
        <w:tc>
          <w:tcPr>
            <w:tcW w:type="dxa" w:w="694"/>
          </w:tcPr>
          <w:p>
            <w:pPr>
              <w:spacing w:after="0"/>
              <w:jc w:val="left"/>
            </w:pPr>
            <w:r/>
            <w:r>
              <w:rPr>
                <w:rFonts w:ascii="Times New Roman" w:hAnsi="Times New Roman"/>
                <w:sz w:val="22"/>
              </w:rPr>
              <w:t>367</w:t>
            </w:r>
          </w:p>
        </w:tc>
        <w:tc>
          <w:tcPr>
            <w:tcW w:type="dxa" w:w="694"/>
          </w:tcPr>
          <w:p>
            <w:pPr>
              <w:spacing w:after="0"/>
              <w:jc w:val="left"/>
            </w:pPr>
            <w:r/>
            <w:r>
              <w:rPr>
                <w:rFonts w:ascii="Times New Roman" w:hAnsi="Times New Roman"/>
                <w:sz w:val="22"/>
              </w:rPr>
              <w:t>3,837</w:t>
            </w:r>
          </w:p>
        </w:tc>
        <w:tc>
          <w:tcPr>
            <w:tcW w:type="dxa" w:w="694"/>
          </w:tcPr>
          <w:p>
            <w:pPr>
              <w:spacing w:after="0"/>
              <w:jc w:val="left"/>
            </w:pPr>
            <w:r/>
            <w:r>
              <w:rPr>
                <w:rFonts w:ascii="Times New Roman" w:hAnsi="Times New Roman"/>
                <w:sz w:val="22"/>
              </w:rPr>
              <w:t>334</w:t>
            </w:r>
          </w:p>
        </w:tc>
        <w:tc>
          <w:tcPr>
            <w:tcW w:type="dxa" w:w="694"/>
          </w:tcPr>
          <w:p>
            <w:pPr>
              <w:spacing w:after="0"/>
              <w:jc w:val="left"/>
            </w:pPr>
            <w:r/>
            <w:r>
              <w:rPr>
                <w:rFonts w:ascii="Times New Roman" w:hAnsi="Times New Roman"/>
                <w:sz w:val="22"/>
              </w:rPr>
              <w:t>4.59</w:t>
            </w:r>
          </w:p>
        </w:tc>
      </w:tr>
      <w:tr>
        <w:tc>
          <w:tcPr>
            <w:tcW w:type="dxa" w:w="694"/>
          </w:tcPr>
          <w:p>
            <w:pPr>
              <w:spacing w:after="0"/>
              <w:jc w:val="left"/>
            </w:pPr>
            <w:r/>
            <w:r>
              <w:rPr>
                <w:rFonts w:ascii="Times New Roman" w:hAnsi="Times New Roman"/>
                <w:sz w:val="22"/>
              </w:rPr>
              <w:t>prev_incidents (count)</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15.8</w:t>
            </w:r>
          </w:p>
        </w:tc>
        <w:tc>
          <w:tcPr>
            <w:tcW w:type="dxa" w:w="694"/>
          </w:tcPr>
          <w:p>
            <w:pPr>
              <w:spacing w:after="0"/>
              <w:jc w:val="left"/>
            </w:pPr>
            <w:r/>
            <w:r>
              <w:rPr>
                <w:rFonts w:ascii="Times New Roman" w:hAnsi="Times New Roman"/>
                <w:sz w:val="22"/>
              </w:rPr>
              <w:t>6.0</w:t>
            </w:r>
          </w:p>
        </w:tc>
        <w:tc>
          <w:tcPr>
            <w:tcW w:type="dxa" w:w="694"/>
          </w:tcPr>
          <w:p>
            <w:pPr>
              <w:spacing w:after="0"/>
              <w:jc w:val="left"/>
            </w:pPr>
            <w:r/>
            <w:r>
              <w:rPr>
                <w:rFonts w:ascii="Times New Roman" w:hAnsi="Times New Roman"/>
                <w:sz w:val="22"/>
              </w:rPr>
              <w:t>9.9</w:t>
            </w:r>
          </w:p>
        </w:tc>
        <w:tc>
          <w:tcPr>
            <w:tcW w:type="dxa" w:w="694"/>
          </w:tcPr>
          <w:p>
            <w:pPr>
              <w:spacing w:after="0"/>
              <w:jc w:val="left"/>
            </w:pPr>
            <w:r/>
            <w:r>
              <w:rPr>
                <w:rFonts w:ascii="Times New Roman" w:hAnsi="Times New Roman"/>
                <w:sz w:val="22"/>
              </w:rPr>
              <w:t>667.0</w:t>
            </w:r>
          </w:p>
        </w:tc>
        <w:tc>
          <w:tcPr>
            <w:tcW w:type="dxa" w:w="694"/>
          </w:tcPr>
          <w:p>
            <w:pPr>
              <w:spacing w:after="0"/>
              <w:jc w:val="left"/>
            </w:pPr>
            <w:r/>
            <w:r>
              <w:rPr>
                <w:rFonts w:ascii="Times New Roman" w:hAnsi="Times New Roman"/>
                <w:sz w:val="22"/>
              </w:rPr>
              <w:t>25.8</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19</w:t>
            </w:r>
          </w:p>
        </w:tc>
        <w:tc>
          <w:tcPr>
            <w:tcW w:type="dxa" w:w="694"/>
          </w:tcPr>
          <w:p>
            <w:pPr>
              <w:spacing w:after="0"/>
              <w:jc w:val="left"/>
            </w:pPr>
            <w:r/>
            <w:r>
              <w:rPr>
                <w:rFonts w:ascii="Times New Roman" w:hAnsi="Times New Roman"/>
                <w:sz w:val="22"/>
              </w:rPr>
              <w:t>190</w:t>
            </w:r>
          </w:p>
        </w:tc>
        <w:tc>
          <w:tcPr>
            <w:tcW w:type="dxa" w:w="694"/>
          </w:tcPr>
          <w:p>
            <w:pPr>
              <w:spacing w:after="0"/>
              <w:jc w:val="left"/>
            </w:pPr>
            <w:r/>
            <w:r>
              <w:rPr>
                <w:rFonts w:ascii="Times New Roman" w:hAnsi="Times New Roman"/>
                <w:sz w:val="22"/>
              </w:rPr>
              <w:t>18</w:t>
            </w:r>
          </w:p>
        </w:tc>
        <w:tc>
          <w:tcPr>
            <w:tcW w:type="dxa" w:w="694"/>
          </w:tcPr>
          <w:p>
            <w:pPr>
              <w:spacing w:after="0"/>
              <w:jc w:val="left"/>
            </w:pPr>
            <w:r/>
            <w:r>
              <w:rPr>
                <w:rFonts w:ascii="Times New Roman" w:hAnsi="Times New Roman"/>
                <w:sz w:val="22"/>
              </w:rPr>
              <w:t>3.11</w:t>
            </w:r>
          </w:p>
        </w:tc>
      </w:tr>
      <w:tr>
        <w:tc>
          <w:tcPr>
            <w:tcW w:type="dxa" w:w="694"/>
          </w:tcPr>
          <w:p>
            <w:pPr>
              <w:spacing w:after="0"/>
              <w:jc w:val="left"/>
            </w:pPr>
            <w:r/>
            <w:r>
              <w:rPr>
                <w:rFonts w:ascii="Times New Roman" w:hAnsi="Times New Roman"/>
                <w:sz w:val="22"/>
              </w:rPr>
              <w:t>prev_lost_time_rate_200k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0.86</w:t>
            </w:r>
          </w:p>
        </w:tc>
        <w:tc>
          <w:tcPr>
            <w:tcW w:type="dxa" w:w="694"/>
          </w:tcPr>
          <w:p>
            <w:pPr>
              <w:spacing w:after="0"/>
              <w:jc w:val="left"/>
            </w:pPr>
            <w:r/>
            <w:r>
              <w:rPr>
                <w:rFonts w:ascii="Times New Roman" w:hAnsi="Times New Roman"/>
                <w:sz w:val="22"/>
              </w:rPr>
              <w:t>0.79</w:t>
            </w:r>
          </w:p>
        </w:tc>
        <w:tc>
          <w:tcPr>
            <w:tcW w:type="dxa" w:w="694"/>
          </w:tcPr>
          <w:p>
            <w:pPr>
              <w:spacing w:after="0"/>
              <w:jc w:val="left"/>
            </w:pPr>
            <w:r/>
            <w:r>
              <w:rPr>
                <w:rFonts w:ascii="Times New Roman" w:hAnsi="Times New Roman"/>
                <w:sz w:val="22"/>
              </w:rPr>
              <w:t>0.78</w:t>
            </w:r>
          </w:p>
        </w:tc>
        <w:tc>
          <w:tcPr>
            <w:tcW w:type="dxa" w:w="694"/>
          </w:tcPr>
          <w:p>
            <w:pPr>
              <w:spacing w:after="0"/>
              <w:jc w:val="left"/>
            </w:pPr>
            <w:r/>
            <w:r>
              <w:rPr>
                <w:rFonts w:ascii="Times New Roman" w:hAnsi="Times New Roman"/>
                <w:sz w:val="22"/>
              </w:rPr>
              <w:t>0.65</w:t>
            </w:r>
          </w:p>
        </w:tc>
        <w:tc>
          <w:tcPr>
            <w:tcW w:type="dxa" w:w="694"/>
          </w:tcPr>
          <w:p>
            <w:pPr>
              <w:spacing w:after="0"/>
              <w:jc w:val="left"/>
            </w:pPr>
            <w:r/>
            <w:r>
              <w:rPr>
                <w:rFonts w:ascii="Times New Roman" w:hAnsi="Times New Roman"/>
                <w:sz w:val="22"/>
              </w:rPr>
              <w:t>0.81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1.46</w:t>
            </w:r>
          </w:p>
        </w:tc>
        <w:tc>
          <w:tcPr>
            <w:tcW w:type="dxa" w:w="694"/>
          </w:tcPr>
          <w:p>
            <w:pPr>
              <w:spacing w:after="0"/>
              <w:jc w:val="left"/>
            </w:pPr>
            <w:r/>
            <w:r>
              <w:rPr>
                <w:rFonts w:ascii="Times New Roman" w:hAnsi="Times New Roman"/>
                <w:sz w:val="22"/>
              </w:rPr>
              <w:t>0.60</w:t>
            </w:r>
          </w:p>
        </w:tc>
      </w:tr>
      <w:tr>
        <w:tc>
          <w:tcPr>
            <w:tcW w:type="dxa" w:w="694"/>
          </w:tcPr>
          <w:p>
            <w:pPr>
              <w:spacing w:after="0"/>
              <w:jc w:val="left"/>
            </w:pPr>
            <w:r/>
            <w:r>
              <w:rPr>
                <w:rFonts w:ascii="Times New Roman" w:hAnsi="Times New Roman"/>
                <w:sz w:val="22"/>
              </w:rPr>
              <w:t>prev_lost_time_share (ratio)</w:t>
            </w:r>
          </w:p>
        </w:tc>
        <w:tc>
          <w:tcPr>
            <w:tcW w:type="dxa" w:w="694"/>
          </w:tcPr>
          <w:p>
            <w:pPr>
              <w:spacing w:after="0"/>
              <w:jc w:val="left"/>
            </w:pPr>
            <w:r/>
            <w:r>
              <w:rPr>
                <w:rFonts w:ascii="Times New Roman" w:hAnsi="Times New Roman"/>
                <w:sz w:val="22"/>
              </w:rPr>
              <w:t>19.8</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0.50</w:t>
            </w:r>
          </w:p>
        </w:tc>
        <w:tc>
          <w:tcPr>
            <w:tcW w:type="dxa" w:w="694"/>
          </w:tcPr>
          <w:p>
            <w:pPr>
              <w:spacing w:after="0"/>
              <w:jc w:val="left"/>
            </w:pPr>
            <w:r/>
            <w:r>
              <w:rPr>
                <w:rFonts w:ascii="Times New Roman" w:hAnsi="Times New Roman"/>
                <w:sz w:val="22"/>
              </w:rPr>
              <w:t>0.48</w:t>
            </w:r>
          </w:p>
        </w:tc>
        <w:tc>
          <w:tcPr>
            <w:tcW w:type="dxa" w:w="694"/>
          </w:tcPr>
          <w:p>
            <w:pPr>
              <w:spacing w:after="0"/>
              <w:jc w:val="left"/>
            </w:pPr>
            <w:r/>
            <w:r>
              <w:rPr>
                <w:rFonts w:ascii="Times New Roman" w:hAnsi="Times New Roman"/>
                <w:sz w:val="22"/>
              </w:rPr>
              <w:t>0.11</w:t>
            </w:r>
          </w:p>
        </w:tc>
        <w:tc>
          <w:tcPr>
            <w:tcW w:type="dxa" w:w="694"/>
          </w:tcPr>
          <w:p>
            <w:pPr>
              <w:spacing w:after="0"/>
              <w:jc w:val="left"/>
            </w:pPr>
            <w:r/>
            <w:r>
              <w:rPr>
                <w:rFonts w:ascii="Times New Roman" w:hAnsi="Times New Roman"/>
                <w:sz w:val="22"/>
              </w:rPr>
              <w:t>0.33</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0.22</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0.53</w:t>
            </w:r>
          </w:p>
        </w:tc>
        <w:tc>
          <w:tcPr>
            <w:tcW w:type="dxa" w:w="694"/>
          </w:tcPr>
          <w:p>
            <w:pPr>
              <w:spacing w:after="0"/>
              <w:jc w:val="left"/>
            </w:pPr>
            <w:r/>
            <w:r>
              <w:rPr>
                <w:rFonts w:ascii="Times New Roman" w:hAnsi="Times New Roman"/>
                <w:sz w:val="22"/>
              </w:rPr>
              <w:t>0.01</w:t>
            </w:r>
          </w:p>
        </w:tc>
      </w:tr>
    </w:tbl>
    <w:p>
      <w:pPr>
        <w:spacing w:after="80"/>
      </w:pPr>
    </w:p>
    <w:p>
      <w:r>
        <w:rPr>
          <w:rFonts w:ascii="Times New Roman" w:hAnsi="Times New Roman"/>
          <w:sz w:val="24"/>
        </w:rPr>
        <w:t>Variance, a measure of variability, is in squared units, so the table adds the sample standard deviation in original units. For prev_hours it exceeds the mean, so a few very large mines dominate the spread. The standard deviation assumes symmetric spread, whereas the interquartile range (IQR) covers the middle half of the rows and assumes no shape (Han et al., 2022). I used the IQR for skewed features and outlier fences. Mines with 200 or more employees supply 36.7% of training rows, and treating their exposure as error would discard the insurer's largest group of cases.</w:t>
      </w:r>
    </w:p>
    <w:p>
      <w:r>
        <w:rPr>
          <w:rFonts w:ascii="Times New Roman" w:hAnsi="Times New Roman"/>
          <w:sz w:val="24"/>
        </w:rPr>
        <w:t>The skewness columns of Table 6 and Table 22 put nine of the 20 numeric features in the high band above 1 in absolute value, with prev_employees the most skewed continuous measure. A log1p transform assumes positive values with multiplicative spread. A Yeo-Johnson transform fits its exponent but is harder to interpret, and raw values suit only trees, which split on rank order (Kuhn and Johnson, 2019). I added log1p versions of total experience and previous-year hours beside the raw columns.</w:t>
      </w:r>
    </w:p>
    <w:p>
      <w:r>
        <w:rPr>
          <w:rFonts w:ascii="Times New Roman" w:hAnsi="Times New Roman"/>
          <w:sz w:val="24"/>
        </w:rPr>
        <w:t>Normality was checked with Q-Q plots of six features (Figure 2). Total experience bends away from the reference line at both ends, its log1p version follows the line except at its bounds, and prev_lost_time_share has point masses at both extremes. A Shapiro-Wilk test would reject normality for trivial departures at about 80,000 rows; a Q-Q plot shows where a distribution departs (Bruce et al., 2020). Pearson's r is pulled by tail points, so Spearman's rank correlation is reported beside it. Gaussian naive Bayes probabilities are likely to be miscalibrated, which would move a cost-based threshold and the review workload.</w:t>
      </w:r>
    </w:p>
    <w:p>
      <w:pPr>
        <w:keepNext/>
        <w:jc w:val="center"/>
      </w:pPr>
      <w:r>
        <w:drawing>
          <wp:inline xmlns:a="http://schemas.openxmlformats.org/drawingml/2006/main" xmlns:pic="http://schemas.openxmlformats.org/drawingml/2006/picture">
            <wp:extent cx="5486400" cy="4067218"/>
            <wp:docPr id="2" name="Picture 2" descr="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 title="Figure 2"/>
            <wp:cNvGraphicFramePr>
              <a:graphicFrameLocks noChangeAspect="1"/>
            </wp:cNvGraphicFramePr>
            <a:graphic>
              <a:graphicData uri="http://schemas.openxmlformats.org/drawingml/2006/picture">
                <pic:pic>
                  <pic:nvPicPr>
                    <pic:cNvPr id="0" name="F09_qq_plots.png"/>
                    <pic:cNvPicPr/>
                  </pic:nvPicPr>
                  <pic:blipFill>
                    <a:blip r:embed="rId12"/>
                    <a:stretch>
                      <a:fillRect/>
                    </a:stretch>
                  </pic:blipFill>
                  <pic:spPr>
                    <a:xfrm>
                      <a:off x="0" y="0"/>
                      <a:ext cx="5486400" cy="406721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pStyle w:val="Heading2"/>
      </w:pPr>
      <w:r>
        <w:rPr>
          <w:rFonts w:ascii="Times New Roman" w:hAnsi="Times New Roman"/>
          <w:b/>
          <w:color w:val="000000"/>
          <w:sz w:val="28"/>
        </w:rPr>
        <w:t>2.4 Correlation and association</w:t>
      </w:r>
    </w:p>
    <w:p>
      <w:r>
        <w:rPr>
          <w:rFonts w:ascii="Times New Roman" w:hAnsi="Times New Roman"/>
          <w:sz w:val="24"/>
        </w:rPr>
        <w:t>The correlation matrix of the 20 numeric features was computed with Pearson's r for linear and Spearman's rank correlation for monotone association (Figure 3). The two disagree most for log1p_prev_hours against prev_employees, 0.645 against 0.994, because the relation is monotone but curved. Pearson assumes linearity and reacts to extreme points, whereas Spearman assumes only monotonicity (Han et al., 2022). I therefore read redundancy from Spearman, since a Pearson-only reading would understate it. Redundant size measures let logistic-regression coefficients trade weight from one refit to the next, which would make the reasons the application shows beside each flagged claim unstable.</w:t>
      </w:r>
    </w:p>
    <w:p>
      <w:pPr>
        <w:keepNext/>
        <w:jc w:val="center"/>
      </w:pPr>
      <w:r>
        <w:drawing>
          <wp:inline xmlns:a="http://schemas.openxmlformats.org/drawingml/2006/main" xmlns:pic="http://schemas.openxmlformats.org/drawingml/2006/picture">
            <wp:extent cx="5733288" cy="3320213"/>
            <wp:docPr id="3" name="Picture 3" descr="Figure 3. Pearson (left) and Spearman (right) correlation matrices of the 20 numeric features on the training split, drawn as heatmaps on one diverging scale centred at zero so that the two coefficients can be compared cell by cell. Source: author's analysis of MSHA open data." title="Figure 3"/>
            <wp:cNvGraphicFramePr>
              <a:graphicFrameLocks noChangeAspect="1"/>
            </wp:cNvGraphicFramePr>
            <a:graphic>
              <a:graphicData uri="http://schemas.openxmlformats.org/drawingml/2006/picture">
                <pic:pic>
                  <pic:nvPicPr>
                    <pic:cNvPr id="0" name="F06_correlation_heatmaps.png"/>
                    <pic:cNvPicPr/>
                  </pic:nvPicPr>
                  <pic:blipFill>
                    <a:blip r:embed="rId13"/>
                    <a:stretch>
                      <a:fillRect/>
                    </a:stretch>
                  </pic:blipFill>
                  <pic:spPr>
                    <a:xfrm>
                      <a:off x="0" y="0"/>
                      <a:ext cx="5733288" cy="332021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Pearson (left) and Spearman (right) correlation matrices of the 20 numeric features on the training split, drawn as heatmaps on one diverging scale centred at zero so that the two coefficients can be compared cell by cell. Source: author's analysis of MSHA open data.</w:t>
      </w:r>
    </w:p>
    <w:p>
      <w:r>
        <w:rPr>
          <w:rFonts w:ascii="Times New Roman" w:hAnsi="Times New Roman"/>
          <w:sz w:val="24"/>
        </w:rPr>
        <w:t>Point-biserial r, Pearson's r with one dichotomous variable, ranked the numeric features against the target, and bias-corrected Cramer's V, which corresponds to the Phi coefficient for two levels, ranked the categorical features (Table 7). The leaders are prev_lost_time_share at r = 0.292 and NATURE_INJURY_CD at V = 0.391, far below the 0.95 level at which I would suspect leakage. Mutual information would capture non-monotone effects but carries no sign, and chi-square p-values cannot rank features when trivial effects are significant at this sample size (Tan et al., 2019). Total experience and shift start hour also enter the top ten, consistent with Yedla et al. (2020).</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Rank</w:t>
            </w:r>
          </w:p>
        </w:tc>
        <w:tc>
          <w:tcPr>
            <w:tcW w:type="dxa" w:w="1128"/>
            <w:shd w:val="clear" w:color="auto" w:fill="E7E6E6"/>
          </w:tcPr>
          <w:p>
            <w:pPr>
              <w:jc w:val="left"/>
            </w:pPr>
            <w:r>
              <w:rPr>
                <w:b/>
              </w:rPr>
            </w:r>
            <w:r>
              <w:rPr>
                <w:rFonts w:ascii="Times New Roman" w:hAnsi="Times New Roman"/>
                <w:b/>
                <w:sz w:val="22"/>
              </w:rPr>
              <w:t>Numeric feature</w:t>
            </w:r>
          </w:p>
        </w:tc>
        <w:tc>
          <w:tcPr>
            <w:tcW w:type="dxa" w:w="1128"/>
            <w:shd w:val="clear" w:color="auto" w:fill="E7E6E6"/>
          </w:tcPr>
          <w:p>
            <w:pPr>
              <w:jc w:val="left"/>
            </w:pPr>
            <w:r>
              <w:rPr>
                <w:b/>
              </w:rPr>
            </w:r>
            <w:r>
              <w:rPr>
                <w:rFonts w:ascii="Times New Roman" w:hAnsi="Times New Roman"/>
                <w:b/>
                <w:sz w:val="22"/>
              </w:rPr>
              <w:t>r</w:t>
            </w:r>
          </w:p>
        </w:tc>
        <w:tc>
          <w:tcPr>
            <w:tcW w:type="dxa" w:w="1128"/>
            <w:shd w:val="clear" w:color="auto" w:fill="E7E6E6"/>
          </w:tcPr>
          <w:p>
            <w:pPr>
              <w:jc w:val="left"/>
            </w:pPr>
            <w:r>
              <w:rPr>
                <w:b/>
              </w:rPr>
            </w:r>
            <w:r>
              <w:rPr>
                <w:rFonts w:ascii="Times New Roman" w:hAnsi="Times New Roman"/>
                <w:b/>
                <w:sz w:val="22"/>
              </w:rPr>
              <w:t>Categorical feature (levels)</w:t>
            </w:r>
          </w:p>
        </w:tc>
        <w:tc>
          <w:tcPr>
            <w:tcW w:type="dxa" w:w="1128"/>
            <w:shd w:val="clear" w:color="auto" w:fill="E7E6E6"/>
          </w:tcPr>
          <w:p>
            <w:pPr>
              <w:jc w:val="left"/>
            </w:pPr>
            <w:r>
              <w:rPr>
                <w:b/>
              </w:rPr>
            </w:r>
            <w:r>
              <w:rPr>
                <w:rFonts w:ascii="Times New Roman" w:hAnsi="Times New Roman"/>
                <w:b/>
                <w:sz w:val="22"/>
              </w:rPr>
              <w:t>V</w:t>
            </w:r>
          </w:p>
        </w:tc>
        <w:tc>
          <w:tcPr>
            <w:tcW w:type="dxa" w:w="1128"/>
            <w:shd w:val="clear" w:color="auto" w:fill="E7E6E6"/>
          </w:tcPr>
          <w:p>
            <w:pPr>
              <w:jc w:val="left"/>
            </w:pPr>
            <w:r>
              <w:rPr>
                <w:b/>
              </w:rPr>
            </w:r>
            <w:r>
              <w:rPr>
                <w:rFonts w:ascii="Times New Roman" w:hAnsi="Times New Roman"/>
                <w:b/>
                <w:sz w:val="22"/>
              </w:rPr>
              <w:t>Feature with VIF &gt; 5</w:t>
            </w:r>
          </w:p>
        </w:tc>
        <w:tc>
          <w:tcPr>
            <w:tcW w:type="dxa" w:w="1128"/>
            <w:shd w:val="clear" w:color="auto" w:fill="E7E6E6"/>
          </w:tcPr>
          <w:p>
            <w:pPr>
              <w:jc w:val="left"/>
            </w:pPr>
            <w:r>
              <w:rPr>
                <w:b/>
              </w:rPr>
            </w:r>
            <w:r>
              <w:rPr>
                <w:rFonts w:ascii="Times New Roman" w:hAnsi="Times New Roman"/>
                <w:b/>
                <w:sz w:val="22"/>
              </w:rPr>
              <w:t>VIF</w:t>
            </w:r>
          </w:p>
        </w:tc>
        <w:tc>
          <w:tcPr>
            <w:tcW w:type="dxa" w:w="1128"/>
            <w:shd w:val="clear" w:color="auto" w:fill="E7E6E6"/>
          </w:tcPr>
          <w:p>
            <w:pPr>
              <w:jc w:val="left"/>
            </w:pPr>
            <w:r>
              <w:rPr>
                <w:b/>
              </w:rPr>
            </w:r>
            <w:r>
              <w:rPr>
                <w:rFonts w:ascii="Times New Roman" w:hAnsi="Times New Roman"/>
                <w:b/>
                <w:sz w:val="22"/>
              </w:rPr>
              <w:t>Partner (Pearson r)</w:t>
            </w:r>
          </w:p>
        </w:tc>
      </w:tr>
      <w:tr>
        <w:tc>
          <w:tcPr>
            <w:tcW w:type="dxa" w:w="1128"/>
          </w:tcPr>
          <w:p>
            <w:pPr>
              <w:spacing w:after="0"/>
              <w:jc w:val="left"/>
            </w:pPr>
            <w:r/>
            <w:r>
              <w:rPr>
                <w:rFonts w:ascii="Times New Roman" w:hAnsi="Times New Roman"/>
                <w:sz w:val="22"/>
              </w:rPr>
              <w:t>1</w:t>
            </w:r>
          </w:p>
        </w:tc>
        <w:tc>
          <w:tcPr>
            <w:tcW w:type="dxa" w:w="1128"/>
          </w:tcPr>
          <w:p>
            <w:pPr>
              <w:spacing w:after="0"/>
              <w:jc w:val="left"/>
            </w:pPr>
            <w:r/>
            <w:r>
              <w:rPr>
                <w:rFonts w:ascii="Times New Roman" w:hAnsi="Times New Roman"/>
                <w:sz w:val="22"/>
              </w:rPr>
              <w:t>prev_lost_time_share</w:t>
            </w:r>
          </w:p>
        </w:tc>
        <w:tc>
          <w:tcPr>
            <w:tcW w:type="dxa" w:w="1128"/>
          </w:tcPr>
          <w:p>
            <w:pPr>
              <w:spacing w:after="0"/>
              <w:jc w:val="left"/>
            </w:pPr>
            <w:r/>
            <w:r>
              <w:rPr>
                <w:rFonts w:ascii="Times New Roman" w:hAnsi="Times New Roman"/>
                <w:sz w:val="22"/>
              </w:rPr>
              <w:t>0.292</w:t>
            </w:r>
          </w:p>
        </w:tc>
        <w:tc>
          <w:tcPr>
            <w:tcW w:type="dxa" w:w="1128"/>
          </w:tcPr>
          <w:p>
            <w:pPr>
              <w:spacing w:after="0"/>
              <w:jc w:val="left"/>
            </w:pPr>
            <w:r/>
            <w:r>
              <w:rPr>
                <w:rFonts w:ascii="Times New Roman" w:hAnsi="Times New Roman"/>
                <w:sz w:val="22"/>
              </w:rPr>
              <w:t>NATURE_INJURY_CD (27)</w:t>
            </w:r>
          </w:p>
        </w:tc>
        <w:tc>
          <w:tcPr>
            <w:tcW w:type="dxa" w:w="1128"/>
          </w:tcPr>
          <w:p>
            <w:pPr>
              <w:spacing w:after="0"/>
              <w:jc w:val="left"/>
            </w:pPr>
            <w:r/>
            <w:r>
              <w:rPr>
                <w:rFonts w:ascii="Times New Roman" w:hAnsi="Times New Roman"/>
                <w:sz w:val="22"/>
              </w:rPr>
              <w:t>0.391</w:t>
            </w:r>
          </w:p>
        </w:tc>
        <w:tc>
          <w:tcPr>
            <w:tcW w:type="dxa" w:w="1128"/>
          </w:tcPr>
          <w:p>
            <w:pPr>
              <w:spacing w:after="0"/>
              <w:jc w:val="left"/>
            </w:pPr>
            <w:r/>
            <w:r>
              <w:rPr>
                <w:rFonts w:ascii="Times New Roman" w:hAnsi="Times New Roman"/>
                <w:sz w:val="22"/>
              </w:rPr>
              <w:t>prev_hours</w:t>
            </w:r>
          </w:p>
        </w:tc>
        <w:tc>
          <w:tcPr>
            <w:tcW w:type="dxa" w:w="1128"/>
          </w:tcPr>
          <w:p>
            <w:pPr>
              <w:spacing w:after="0"/>
              <w:jc w:val="left"/>
            </w:pPr>
            <w:r/>
            <w:r>
              <w:rPr>
                <w:rFonts w:ascii="Times New Roman" w:hAnsi="Times New Roman"/>
                <w:sz w:val="22"/>
              </w:rPr>
              <w:t>176.4</w:t>
            </w:r>
          </w:p>
        </w:tc>
        <w:tc>
          <w:tcPr>
            <w:tcW w:type="dxa" w:w="1128"/>
          </w:tcPr>
          <w:p>
            <w:pPr>
              <w:spacing w:after="0"/>
              <w:jc w:val="left"/>
            </w:pPr>
            <w:r/>
            <w:r>
              <w:rPr>
                <w:rFonts w:ascii="Times New Roman" w:hAnsi="Times New Roman"/>
                <w:sz w:val="22"/>
              </w:rPr>
              <w:t>prev_employees (0.996)</w:t>
            </w:r>
          </w:p>
        </w:tc>
      </w:tr>
      <w:tr>
        <w:tc>
          <w:tcPr>
            <w:tcW w:type="dxa" w:w="1128"/>
          </w:tcPr>
          <w:p>
            <w:pPr>
              <w:spacing w:after="0"/>
              <w:jc w:val="left"/>
            </w:pPr>
            <w:r/>
            <w:r>
              <w:rPr>
                <w:rFonts w:ascii="Times New Roman" w:hAnsi="Times New Roman"/>
                <w:sz w:val="22"/>
              </w:rPr>
              <w:t>2</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0.205</w:t>
            </w:r>
          </w:p>
        </w:tc>
        <w:tc>
          <w:tcPr>
            <w:tcW w:type="dxa" w:w="1128"/>
          </w:tcPr>
          <w:p>
            <w:pPr>
              <w:spacing w:after="0"/>
              <w:jc w:val="left"/>
            </w:pPr>
            <w:r/>
            <w:r>
              <w:rPr>
                <w:rFonts w:ascii="Times New Roman" w:hAnsi="Times New Roman"/>
                <w:sz w:val="22"/>
              </w:rPr>
              <w:t>INJ_BODY_PART_CD (46)</w:t>
            </w:r>
          </w:p>
        </w:tc>
        <w:tc>
          <w:tcPr>
            <w:tcW w:type="dxa" w:w="1128"/>
          </w:tcPr>
          <w:p>
            <w:pPr>
              <w:spacing w:after="0"/>
              <w:jc w:val="left"/>
            </w:pPr>
            <w:r/>
            <w:r>
              <w:rPr>
                <w:rFonts w:ascii="Times New Roman" w:hAnsi="Times New Roman"/>
                <w:sz w:val="22"/>
              </w:rPr>
              <w:t>0.364</w:t>
            </w:r>
          </w:p>
        </w:tc>
        <w:tc>
          <w:tcPr>
            <w:tcW w:type="dxa" w:w="1128"/>
          </w:tcPr>
          <w:p>
            <w:pPr>
              <w:spacing w:after="0"/>
              <w:jc w:val="left"/>
            </w:pPr>
            <w:r/>
            <w:r>
              <w:rPr>
                <w:rFonts w:ascii="Times New Roman" w:hAnsi="Times New Roman"/>
                <w:sz w:val="22"/>
              </w:rPr>
              <w:t>prev_employees</w:t>
            </w:r>
          </w:p>
        </w:tc>
        <w:tc>
          <w:tcPr>
            <w:tcW w:type="dxa" w:w="1128"/>
          </w:tcPr>
          <w:p>
            <w:pPr>
              <w:spacing w:after="0"/>
              <w:jc w:val="left"/>
            </w:pPr>
            <w:r/>
            <w:r>
              <w:rPr>
                <w:rFonts w:ascii="Times New Roman" w:hAnsi="Times New Roman"/>
                <w:sz w:val="22"/>
              </w:rPr>
              <w:t>164.8</w:t>
            </w:r>
          </w:p>
        </w:tc>
        <w:tc>
          <w:tcPr>
            <w:tcW w:type="dxa" w:w="1128"/>
          </w:tcPr>
          <w:p>
            <w:pPr>
              <w:spacing w:after="0"/>
              <w:jc w:val="left"/>
            </w:pPr>
            <w:r/>
            <w:r>
              <w:rPr>
                <w:rFonts w:ascii="Times New Roman" w:hAnsi="Times New Roman"/>
                <w:sz w:val="22"/>
              </w:rPr>
              <w:t>prev_hours (0.996)</w:t>
            </w:r>
          </w:p>
        </w:tc>
      </w:tr>
      <w:tr>
        <w:tc>
          <w:tcPr>
            <w:tcW w:type="dxa" w:w="1128"/>
          </w:tcPr>
          <w:p>
            <w:pPr>
              <w:spacing w:after="0"/>
              <w:jc w:val="left"/>
            </w:pPr>
            <w:r/>
            <w:r>
              <w:rPr>
                <w:rFonts w:ascii="Times New Roman" w:hAnsi="Times New Roman"/>
                <w:sz w:val="22"/>
              </w:rPr>
              <w:t>3</w:t>
            </w:r>
          </w:p>
        </w:tc>
        <w:tc>
          <w:tcPr>
            <w:tcW w:type="dxa" w:w="1128"/>
          </w:tcPr>
          <w:p>
            <w:pPr>
              <w:spacing w:after="0"/>
              <w:jc w:val="left"/>
            </w:pPr>
            <w:r/>
            <w:r>
              <w:rPr>
                <w:rFonts w:ascii="Times New Roman" w:hAnsi="Times New Roman"/>
                <w:sz w:val="22"/>
              </w:rPr>
              <w:t>longitude</w:t>
            </w:r>
          </w:p>
        </w:tc>
        <w:tc>
          <w:tcPr>
            <w:tcW w:type="dxa" w:w="1128"/>
          </w:tcPr>
          <w:p>
            <w:pPr>
              <w:spacing w:after="0"/>
              <w:jc w:val="left"/>
            </w:pPr>
            <w:r/>
            <w:r>
              <w:rPr>
                <w:rFonts w:ascii="Times New Roman" w:hAnsi="Times New Roman"/>
                <w:sz w:val="22"/>
              </w:rPr>
              <w:t>0.135</w:t>
            </w:r>
          </w:p>
        </w:tc>
        <w:tc>
          <w:tcPr>
            <w:tcW w:type="dxa" w:w="1128"/>
          </w:tcPr>
          <w:p>
            <w:pPr>
              <w:spacing w:after="0"/>
              <w:jc w:val="left"/>
            </w:pPr>
            <w:r/>
            <w:r>
              <w:rPr>
                <w:rFonts w:ascii="Times New Roman" w:hAnsi="Times New Roman"/>
                <w:sz w:val="22"/>
              </w:rPr>
              <w:t>INJURY_SOURCE_CD (124)</w:t>
            </w:r>
          </w:p>
        </w:tc>
        <w:tc>
          <w:tcPr>
            <w:tcW w:type="dxa" w:w="1128"/>
          </w:tcPr>
          <w:p>
            <w:pPr>
              <w:spacing w:after="0"/>
              <w:jc w:val="left"/>
            </w:pPr>
            <w:r/>
            <w:r>
              <w:rPr>
                <w:rFonts w:ascii="Times New Roman" w:hAnsi="Times New Roman"/>
                <w:sz w:val="22"/>
              </w:rPr>
              <w:t>0.311</w:t>
            </w:r>
          </w:p>
        </w:tc>
        <w:tc>
          <w:tcPr>
            <w:tcW w:type="dxa" w:w="1128"/>
          </w:tcPr>
          <w:p>
            <w:pPr>
              <w:spacing w:after="0"/>
              <w:jc w:val="left"/>
            </w:pPr>
            <w:r/>
            <w:r>
              <w:rPr>
                <w:rFonts w:ascii="Times New Roman" w:hAnsi="Times New Roman"/>
                <w:sz w:val="22"/>
              </w:rPr>
              <w:t>prev_lost_time_rate_200k</w:t>
            </w:r>
          </w:p>
        </w:tc>
        <w:tc>
          <w:tcPr>
            <w:tcW w:type="dxa" w:w="1128"/>
          </w:tcPr>
          <w:p>
            <w:pPr>
              <w:spacing w:after="0"/>
              <w:jc w:val="left"/>
            </w:pPr>
            <w:r/>
            <w:r>
              <w:rPr>
                <w:rFonts w:ascii="Times New Roman" w:hAnsi="Times New Roman"/>
                <w:sz w:val="22"/>
              </w:rPr>
              <w:t>8.3</w:t>
            </w:r>
          </w:p>
        </w:tc>
        <w:tc>
          <w:tcPr>
            <w:tcW w:type="dxa" w:w="1128"/>
          </w:tcPr>
          <w:p>
            <w:pPr>
              <w:spacing w:after="0"/>
              <w:jc w:val="left"/>
            </w:pPr>
            <w:r/>
            <w:r>
              <w:rPr>
                <w:rFonts w:ascii="Times New Roman" w:hAnsi="Times New Roman"/>
                <w:sz w:val="22"/>
              </w:rPr>
              <w:t>prev_lost_time_share (0.772)</w:t>
            </w:r>
          </w:p>
        </w:tc>
      </w:tr>
      <w:tr>
        <w:tc>
          <w:tcPr>
            <w:tcW w:type="dxa" w:w="1128"/>
          </w:tcPr>
          <w:p>
            <w:pPr>
              <w:spacing w:after="0"/>
              <w:jc w:val="left"/>
            </w:pPr>
            <w:r/>
            <w:r>
              <w:rPr>
                <w:rFonts w:ascii="Times New Roman" w:hAnsi="Times New Roman"/>
                <w:sz w:val="22"/>
              </w:rPr>
              <w:t>4</w:t>
            </w:r>
          </w:p>
        </w:tc>
        <w:tc>
          <w:tcPr>
            <w:tcW w:type="dxa" w:w="1128"/>
          </w:tcPr>
          <w:p>
            <w:pPr>
              <w:spacing w:after="0"/>
              <w:jc w:val="left"/>
            </w:pPr>
            <w:r/>
            <w:r>
              <w:rPr>
                <w:rFonts w:ascii="Times New Roman" w:hAnsi="Times New Roman"/>
                <w:sz w:val="22"/>
              </w:rPr>
              <w:t>prev_incidents</w:t>
            </w:r>
          </w:p>
        </w:tc>
        <w:tc>
          <w:tcPr>
            <w:tcW w:type="dxa" w:w="1128"/>
          </w:tcPr>
          <w:p>
            <w:pPr>
              <w:spacing w:after="0"/>
              <w:jc w:val="left"/>
            </w:pPr>
            <w:r/>
            <w:r>
              <w:rPr>
                <w:rFonts w:ascii="Times New Roman" w:hAnsi="Times New Roman"/>
                <w:sz w:val="22"/>
              </w:rPr>
              <w:t>0.099</w:t>
            </w:r>
          </w:p>
        </w:tc>
        <w:tc>
          <w:tcPr>
            <w:tcW w:type="dxa" w:w="1128"/>
          </w:tcPr>
          <w:p>
            <w:pPr>
              <w:spacing w:after="0"/>
              <w:jc w:val="left"/>
            </w:pPr>
            <w:r/>
            <w:r>
              <w:rPr>
                <w:rFonts w:ascii="Times New Roman" w:hAnsi="Times New Roman"/>
                <w:sz w:val="22"/>
              </w:rPr>
              <w:t>ACCIDENT_TYPE_CD (41)</w:t>
            </w:r>
          </w:p>
        </w:tc>
        <w:tc>
          <w:tcPr>
            <w:tcW w:type="dxa" w:w="1128"/>
          </w:tcPr>
          <w:p>
            <w:pPr>
              <w:spacing w:after="0"/>
              <w:jc w:val="left"/>
            </w:pPr>
            <w:r/>
            <w:r>
              <w:rPr>
                <w:rFonts w:ascii="Times New Roman" w:hAnsi="Times New Roman"/>
                <w:sz w:val="22"/>
              </w:rPr>
              <w:t>0.282</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7.5</w:t>
            </w:r>
          </w:p>
        </w:tc>
        <w:tc>
          <w:tcPr>
            <w:tcW w:type="dxa" w:w="1128"/>
          </w:tcPr>
          <w:p>
            <w:pPr>
              <w:spacing w:after="0"/>
              <w:jc w:val="left"/>
            </w:pPr>
            <w:r/>
            <w:r>
              <w:rPr>
                <w:rFonts w:ascii="Times New Roman" w:hAnsi="Times New Roman"/>
                <w:sz w:val="22"/>
              </w:rPr>
              <w:t>log1p_tot_exper (0.895)</w:t>
            </w:r>
          </w:p>
        </w:tc>
      </w:tr>
      <w:tr>
        <w:tc>
          <w:tcPr>
            <w:tcW w:type="dxa" w:w="1128"/>
          </w:tcPr>
          <w:p>
            <w:pPr>
              <w:spacing w:after="0"/>
              <w:jc w:val="left"/>
            </w:pPr>
            <w:r/>
            <w:r>
              <w:rPr>
                <w:rFonts w:ascii="Times New Roman" w:hAnsi="Times New Roman"/>
                <w:sz w:val="22"/>
              </w:rPr>
              <w:t>5</w:t>
            </w:r>
          </w:p>
        </w:tc>
        <w:tc>
          <w:tcPr>
            <w:tcW w:type="dxa" w:w="1128"/>
          </w:tcPr>
          <w:p>
            <w:pPr>
              <w:spacing w:after="0"/>
              <w:jc w:val="left"/>
            </w:pPr>
            <w:r/>
            <w:r>
              <w:rPr>
                <w:rFonts w:ascii="Times New Roman" w:hAnsi="Times New Roman"/>
                <w:sz w:val="22"/>
              </w:rPr>
              <w:t>exper_ratio_mine</w:t>
            </w:r>
          </w:p>
        </w:tc>
        <w:tc>
          <w:tcPr>
            <w:tcW w:type="dxa" w:w="1128"/>
          </w:tcPr>
          <w:p>
            <w:pPr>
              <w:spacing w:after="0"/>
              <w:jc w:val="left"/>
            </w:pPr>
            <w:r/>
            <w:r>
              <w:rPr>
                <w:rFonts w:ascii="Times New Roman" w:hAnsi="Times New Roman"/>
                <w:sz w:val="22"/>
              </w:rPr>
              <w:t>-0.096</w:t>
            </w:r>
          </w:p>
        </w:tc>
        <w:tc>
          <w:tcPr>
            <w:tcW w:type="dxa" w:w="1128"/>
          </w:tcPr>
          <w:p>
            <w:pPr>
              <w:spacing w:after="0"/>
              <w:jc w:val="left"/>
            </w:pPr>
            <w:r/>
            <w:r>
              <w:rPr>
                <w:rFonts w:ascii="Times New Roman" w:hAnsi="Times New Roman"/>
                <w:sz w:val="22"/>
              </w:rPr>
              <w:t>FIPS_STATE_CD (54)</w:t>
            </w:r>
          </w:p>
        </w:tc>
        <w:tc>
          <w:tcPr>
            <w:tcW w:type="dxa" w:w="1128"/>
          </w:tcPr>
          <w:p>
            <w:pPr>
              <w:spacing w:after="0"/>
              <w:jc w:val="left"/>
            </w:pPr>
            <w:r/>
            <w:r>
              <w:rPr>
                <w:rFonts w:ascii="Times New Roman" w:hAnsi="Times New Roman"/>
                <w:sz w:val="22"/>
              </w:rPr>
              <w:t>0.243</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6.0</w:t>
            </w:r>
          </w:p>
        </w:tc>
        <w:tc>
          <w:tcPr>
            <w:tcW w:type="dxa" w:w="1128"/>
          </w:tcPr>
          <w:p>
            <w:pPr>
              <w:spacing w:after="0"/>
              <w:jc w:val="left"/>
            </w:pPr>
            <w:r/>
            <w:r>
              <w:rPr>
                <w:rFonts w:ascii="Times New Roman" w:hAnsi="Times New Roman"/>
                <w:sz w:val="22"/>
              </w:rPr>
              <w:t>TOT_EXPER (0.895)</w:t>
            </w:r>
          </w:p>
        </w:tc>
      </w:tr>
      <w:tr>
        <w:tc>
          <w:tcPr>
            <w:tcW w:type="dxa" w:w="1128"/>
          </w:tcPr>
          <w:p>
            <w:pPr>
              <w:spacing w:after="0"/>
              <w:jc w:val="left"/>
            </w:pPr>
            <w:r/>
            <w:r>
              <w:rPr>
                <w:rFonts w:ascii="Times New Roman" w:hAnsi="Times New Roman"/>
                <w:sz w:val="22"/>
              </w:rPr>
              <w:t>6</w:t>
            </w:r>
          </w:p>
        </w:tc>
        <w:tc>
          <w:tcPr>
            <w:tcW w:type="dxa" w:w="1128"/>
          </w:tcPr>
          <w:p>
            <w:pPr>
              <w:spacing w:after="0"/>
              <w:jc w:val="left"/>
            </w:pPr>
            <w:r/>
            <w:r>
              <w:rPr>
                <w:rFonts w:ascii="Times New Roman" w:hAnsi="Times New Roman"/>
                <w:sz w:val="22"/>
              </w:rPr>
              <w:t>exper_ratio_job</w:t>
            </w:r>
          </w:p>
        </w:tc>
        <w:tc>
          <w:tcPr>
            <w:tcW w:type="dxa" w:w="1128"/>
          </w:tcPr>
          <w:p>
            <w:pPr>
              <w:spacing w:after="0"/>
              <w:jc w:val="left"/>
            </w:pPr>
            <w:r/>
            <w:r>
              <w:rPr>
                <w:rFonts w:ascii="Times New Roman" w:hAnsi="Times New Roman"/>
                <w:sz w:val="22"/>
              </w:rPr>
              <w:t>-0.083</w:t>
            </w:r>
          </w:p>
        </w:tc>
        <w:tc>
          <w:tcPr>
            <w:tcW w:type="dxa" w:w="1128"/>
          </w:tcPr>
          <w:p>
            <w:pPr>
              <w:spacing w:after="0"/>
              <w:jc w:val="left"/>
            </w:pPr>
            <w:r/>
            <w:r>
              <w:rPr>
                <w:rFonts w:ascii="Times New Roman" w:hAnsi="Times New Roman"/>
                <w:sz w:val="22"/>
              </w:rPr>
              <w:t>PRIMARY_CANVASS (5)</w:t>
            </w:r>
          </w:p>
        </w:tc>
        <w:tc>
          <w:tcPr>
            <w:tcW w:type="dxa" w:w="1128"/>
          </w:tcPr>
          <w:p>
            <w:pPr>
              <w:spacing w:after="0"/>
              <w:jc w:val="left"/>
            </w:pPr>
            <w:r/>
            <w:r>
              <w:rPr>
                <w:rFonts w:ascii="Times New Roman" w:hAnsi="Times New Roman"/>
                <w:sz w:val="22"/>
              </w:rPr>
              <w:t>0.239</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7</w:t>
            </w:r>
          </w:p>
        </w:tc>
        <w:tc>
          <w:tcPr>
            <w:tcW w:type="dxa" w:w="1128"/>
          </w:tcPr>
          <w:p>
            <w:pPr>
              <w:spacing w:after="0"/>
              <w:jc w:val="left"/>
            </w:pPr>
            <w:r/>
            <w:r>
              <w:rPr>
                <w:rFonts w:ascii="Times New Roman" w:hAnsi="Times New Roman"/>
                <w:sz w:val="22"/>
              </w:rPr>
              <w:t>prev_incident_rate_200k</w:t>
            </w:r>
          </w:p>
        </w:tc>
        <w:tc>
          <w:tcPr>
            <w:tcW w:type="dxa" w:w="1128"/>
          </w:tcPr>
          <w:p>
            <w:pPr>
              <w:spacing w:after="0"/>
              <w:jc w:val="left"/>
            </w:pPr>
            <w:r/>
            <w:r>
              <w:rPr>
                <w:rFonts w:ascii="Times New Roman" w:hAnsi="Times New Roman"/>
                <w:sz w:val="22"/>
              </w:rPr>
              <w:t>0.073</w:t>
            </w:r>
          </w:p>
        </w:tc>
        <w:tc>
          <w:tcPr>
            <w:tcW w:type="dxa" w:w="1128"/>
          </w:tcPr>
          <w:p>
            <w:pPr>
              <w:spacing w:after="0"/>
              <w:jc w:val="left"/>
            </w:pPr>
            <w:r/>
            <w:r>
              <w:rPr>
                <w:rFonts w:ascii="Times New Roman" w:hAnsi="Times New Roman"/>
                <w:sz w:val="22"/>
              </w:rPr>
              <w:t>COAL_METAL_IND (2)</w:t>
            </w:r>
          </w:p>
        </w:tc>
        <w:tc>
          <w:tcPr>
            <w:tcW w:type="dxa" w:w="1128"/>
          </w:tcPr>
          <w:p>
            <w:pPr>
              <w:spacing w:after="0"/>
              <w:jc w:val="left"/>
            </w:pPr>
            <w:r/>
            <w:r>
              <w:rPr>
                <w:rFonts w:ascii="Times New Roman" w:hAnsi="Times New Roman"/>
                <w:sz w:val="22"/>
              </w:rPr>
              <w:t>0.237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8</w:t>
            </w:r>
          </w:p>
        </w:tc>
        <w:tc>
          <w:tcPr>
            <w:tcW w:type="dxa" w:w="1128"/>
          </w:tcPr>
          <w:p>
            <w:pPr>
              <w:spacing w:after="0"/>
              <w:jc w:val="left"/>
            </w:pPr>
            <w:r/>
            <w:r>
              <w:rPr>
                <w:rFonts w:ascii="Times New Roman" w:hAnsi="Times New Roman"/>
                <w:sz w:val="22"/>
              </w:rPr>
              <w:t>log1p_tot_exper</w:t>
            </w:r>
          </w:p>
        </w:tc>
        <w:tc>
          <w:tcPr>
            <w:tcW w:type="dxa" w:w="1128"/>
          </w:tcPr>
          <w:p>
            <w:pPr>
              <w:spacing w:after="0"/>
              <w:jc w:val="left"/>
            </w:pPr>
            <w:r/>
            <w:r>
              <w:rPr>
                <w:rFonts w:ascii="Times New Roman" w:hAnsi="Times New Roman"/>
                <w:sz w:val="22"/>
              </w:rPr>
              <w:t>0.068</w:t>
            </w:r>
          </w:p>
        </w:tc>
        <w:tc>
          <w:tcPr>
            <w:tcW w:type="dxa" w:w="1128"/>
          </w:tcPr>
          <w:p>
            <w:pPr>
              <w:spacing w:after="0"/>
              <w:jc w:val="left"/>
            </w:pPr>
            <w:r/>
            <w:r>
              <w:rPr>
                <w:rFonts w:ascii="Times New Roman" w:hAnsi="Times New Roman"/>
                <w:sz w:val="22"/>
              </w:rPr>
              <w:t>ACTIVITY_CD (96)</w:t>
            </w:r>
          </w:p>
        </w:tc>
        <w:tc>
          <w:tcPr>
            <w:tcW w:type="dxa" w:w="1128"/>
          </w:tcPr>
          <w:p>
            <w:pPr>
              <w:spacing w:after="0"/>
              <w:jc w:val="left"/>
            </w:pPr>
            <w:r/>
            <w:r>
              <w:rPr>
                <w:rFonts w:ascii="Times New Roman" w:hAnsi="Times New Roman"/>
                <w:sz w:val="22"/>
              </w:rPr>
              <w:t>0.225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9</w:t>
            </w:r>
          </w:p>
        </w:tc>
        <w:tc>
          <w:tcPr>
            <w:tcW w:type="dxa" w:w="1128"/>
          </w:tcPr>
          <w:p>
            <w:pPr>
              <w:spacing w:after="0"/>
              <w:jc w:val="left"/>
            </w:pPr>
            <w:r/>
            <w:r>
              <w:rPr>
                <w:rFonts w:ascii="Times New Roman" w:hAnsi="Times New Roman"/>
                <w:sz w:val="22"/>
              </w:rPr>
              <w:t>TOT_EXPER</w:t>
            </w:r>
          </w:p>
        </w:tc>
        <w:tc>
          <w:tcPr>
            <w:tcW w:type="dxa" w:w="1128"/>
          </w:tcPr>
          <w:p>
            <w:pPr>
              <w:spacing w:after="0"/>
              <w:jc w:val="left"/>
            </w:pPr>
            <w:r/>
            <w:r>
              <w:rPr>
                <w:rFonts w:ascii="Times New Roman" w:hAnsi="Times New Roman"/>
                <w:sz w:val="22"/>
              </w:rPr>
              <w:t>0.060</w:t>
            </w:r>
          </w:p>
        </w:tc>
        <w:tc>
          <w:tcPr>
            <w:tcW w:type="dxa" w:w="1128"/>
          </w:tcPr>
          <w:p>
            <w:pPr>
              <w:spacing w:after="0"/>
              <w:jc w:val="left"/>
            </w:pPr>
            <w:r/>
            <w:r>
              <w:rPr>
                <w:rFonts w:ascii="Times New Roman" w:hAnsi="Times New Roman"/>
                <w:sz w:val="22"/>
              </w:rPr>
              <w:t>CLASSIFICATION_CD (21)</w:t>
            </w:r>
          </w:p>
        </w:tc>
        <w:tc>
          <w:tcPr>
            <w:tcW w:type="dxa" w:w="1128"/>
          </w:tcPr>
          <w:p>
            <w:pPr>
              <w:spacing w:after="0"/>
              <w:jc w:val="left"/>
            </w:pPr>
            <w:r/>
            <w:r>
              <w:rPr>
                <w:rFonts w:ascii="Times New Roman" w:hAnsi="Times New Roman"/>
                <w:sz w:val="22"/>
              </w:rPr>
              <w:t>0.217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2"/>
              </w:rPr>
              <w:t>10</w:t>
            </w:r>
          </w:p>
        </w:tc>
        <w:tc>
          <w:tcPr>
            <w:tcW w:type="dxa" w:w="1128"/>
          </w:tcPr>
          <w:p>
            <w:pPr>
              <w:spacing w:after="0"/>
              <w:jc w:val="left"/>
            </w:pPr>
            <w:r/>
            <w:r>
              <w:rPr>
                <w:rFonts w:ascii="Times New Roman" w:hAnsi="Times New Roman"/>
                <w:sz w:val="22"/>
              </w:rPr>
              <w:t>shift_begin_hour</w:t>
            </w:r>
          </w:p>
        </w:tc>
        <w:tc>
          <w:tcPr>
            <w:tcW w:type="dxa" w:w="1128"/>
          </w:tcPr>
          <w:p>
            <w:pPr>
              <w:spacing w:after="0"/>
              <w:jc w:val="left"/>
            </w:pPr>
            <w:r/>
            <w:r>
              <w:rPr>
                <w:rFonts w:ascii="Times New Roman" w:hAnsi="Times New Roman"/>
                <w:sz w:val="22"/>
              </w:rPr>
              <w:t>0.058</w:t>
            </w:r>
          </w:p>
        </w:tc>
        <w:tc>
          <w:tcPr>
            <w:tcW w:type="dxa" w:w="1128"/>
          </w:tcPr>
          <w:p>
            <w:pPr>
              <w:spacing w:after="0"/>
              <w:jc w:val="left"/>
            </w:pPr>
            <w:r/>
            <w:r>
              <w:rPr>
                <w:rFonts w:ascii="Times New Roman" w:hAnsi="Times New Roman"/>
                <w:sz w:val="22"/>
              </w:rPr>
              <w:t>OCCUPATION (193)</w:t>
            </w:r>
          </w:p>
        </w:tc>
        <w:tc>
          <w:tcPr>
            <w:tcW w:type="dxa" w:w="1128"/>
          </w:tcPr>
          <w:p>
            <w:pPr>
              <w:spacing w:after="0"/>
              <w:jc w:val="left"/>
            </w:pPr>
            <w:r/>
            <w:r>
              <w:rPr>
                <w:rFonts w:ascii="Times New Roman" w:hAnsi="Times New Roman"/>
                <w:sz w:val="22"/>
              </w:rPr>
              <w:t>0.215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bl>
    <w:p>
      <w:pPr>
        <w:spacing w:after="80"/>
      </w:pPr>
    </w:p>
    <w:p>
      <w:r>
        <w:rPr>
          <w:rFonts w:ascii="Times New Roman" w:hAnsi="Times New Roman"/>
          <w:sz w:val="24"/>
        </w:rPr>
        <w:t>Multicollinearity is worst for mine size. Previous-year hours and employees correlate at r = 0.996, both with a variance inflation factor (VIF) above 160, and Table 7 lists three more features with a high VIF. In logistic regression this inflates coefficient variance and destabilises signs (Hosmer et al., 2013). In naive Bayes it breaks conditional independence, so size evidence is counted twice and posteriors become overconfident, although the ranking can survive (Domingos and Pazzani, 1997). Dropping one column assumes it adds nothing, and principal components give up interpretable features. I kept both, under the L2 penalty in logistic regression, and did not interpret the pair's coefficients. Overconfident probabilities would misplace the threshold, so calibration is checked in Section 4.</w:t>
      </w:r>
    </w:p>
    <w:p>
      <w:pPr>
        <w:pStyle w:val="Heading2"/>
      </w:pPr>
      <w:r>
        <w:rPr>
          <w:rFonts w:ascii="Times New Roman" w:hAnsi="Times New Roman"/>
          <w:b/>
          <w:color w:val="000000"/>
          <w:sz w:val="28"/>
        </w:rPr>
        <w:t>2.5 Visual analysis and plot justification</w:t>
      </w:r>
    </w:p>
    <w:p>
      <w:r>
        <w:rPr>
          <w:rFonts w:ascii="Times New Roman" w:hAnsi="Times New Roman"/>
          <w:sz w:val="24"/>
        </w:rPr>
        <w:t>Figures were drawn with Matplotlib (Hunter, 2007) and seaborn (Waskom, 2021). Bars in Figure 1 compare two counts by length, which reads more accurately than pie angles. The heatmaps in Figure 3 share one diverging scale but miss interactions and categorical features, covered by Figure 7. I did not plot a full scatter matrix of the 20 numeric features, because 190 panels would be unreadable.</w:t>
      </w:r>
    </w:p>
    <w:p>
      <w:r>
        <w:rPr>
          <w:rFonts w:ascii="Times New Roman" w:hAnsi="Times New Roman"/>
          <w:sz w:val="24"/>
        </w:rPr>
        <w:t>Figure 4 overlays class-wise density histograms and kernel density curves, because density puts unequal classes on one scale. All panels share 30 bins, since the Freedman-Diaconis rule would set between one bin for the capped victim count and 274 for hours per employee. Experience is often recorded in whole years, which gives the log-experience histogram regular spikes, a comb that the 60-bin panel in Figure 9 repeats. The classes overlap except on the previous-year lost-time share, where non-lost-time cases pile up at zero. Box plots (Figure 5) give the medians and quartiles that skewed features need; lost-time cases have the higher median lost-time share and lie further east, near the Appalachian coal fields.</w:t>
      </w:r>
    </w:p>
    <w:p>
      <w:pPr>
        <w:keepNext/>
        <w:jc w:val="center"/>
      </w:pPr>
      <w:r>
        <w:drawing>
          <wp:inline xmlns:a="http://schemas.openxmlformats.org/drawingml/2006/main" xmlns:pic="http://schemas.openxmlformats.org/drawingml/2006/picture">
            <wp:extent cx="5733288" cy="7239528"/>
            <wp:docPr id="4" name="Picture 4" descr="Figure 4. Density histograms (30 bins) with kernel density estimates of the 20 numeric features by outcome class on all 81,289 training rows, drawn as densities so that classes of unequal size share one scale. Source: author's analysis of MSHA open data." title="Figure 4"/>
            <wp:cNvGraphicFramePr>
              <a:graphicFrameLocks noChangeAspect="1"/>
            </wp:cNvGraphicFramePr>
            <a:graphic>
              <a:graphicData uri="http://schemas.openxmlformats.org/drawingml/2006/picture">
                <pic:pic>
                  <pic:nvPicPr>
                    <pic:cNvPr id="0" name="F03_histograms.png"/>
                    <pic:cNvPicPr/>
                  </pic:nvPicPr>
                  <pic:blipFill>
                    <a:blip r:embed="rId14"/>
                    <a:stretch>
                      <a:fillRect/>
                    </a:stretch>
                  </pic:blipFill>
                  <pic:spPr>
                    <a:xfrm>
                      <a:off x="0" y="0"/>
                      <a:ext cx="5733288" cy="723952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Density histograms (30 bins) with kernel density estimates of the 20 numeric features by outcome class on all 81,289 training rows, drawn as densities so that classes of unequal size share one scale. Source: author's analysis of MSHA open data.</w:t>
      </w:r>
    </w:p>
    <w:p>
      <w:pPr>
        <w:keepNext/>
        <w:jc w:val="center"/>
      </w:pPr>
      <w:r>
        <w:drawing>
          <wp:inline xmlns:a="http://schemas.openxmlformats.org/drawingml/2006/main" xmlns:pic="http://schemas.openxmlformats.org/drawingml/2006/picture">
            <wp:extent cx="5733288" cy="7493939"/>
            <wp:docPr id="5" name="Picture 5" descr="Figure 5. Box plots of the 20 numeric features by outcome class on all 81,289 training rows, with whiskers at 1.5 times the IQR and outlier points omitted, chosen because medians and quartiles are the comparison that skewed features need. Source: author's analysis of MSHA open data." title="Figure 5"/>
            <wp:cNvGraphicFramePr>
              <a:graphicFrameLocks noChangeAspect="1"/>
            </wp:cNvGraphicFramePr>
            <a:graphic>
              <a:graphicData uri="http://schemas.openxmlformats.org/drawingml/2006/picture">
                <pic:pic>
                  <pic:nvPicPr>
                    <pic:cNvPr id="0" name="F04_class_boxplots.png"/>
                    <pic:cNvPicPr/>
                  </pic:nvPicPr>
                  <pic:blipFill>
                    <a:blip r:embed="rId15"/>
                    <a:stretch>
                      <a:fillRect/>
                    </a:stretch>
                  </pic:blipFill>
                  <pic:spPr>
                    <a:xfrm>
                      <a:off x="0" y="0"/>
                      <a:ext cx="5733288" cy="7493939"/>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Box plots of the 20 numeric features by outcome class on all 81,289 training rows, with whiskers at 1.5 times the IQR and outlier points omitted, chosen because medians and quartiles are the comparison that skewed features need. Source: author's analysis of MSHA open data.</w:t>
      </w:r>
    </w:p>
    <w:p>
      <w:r>
        <w:rPr>
          <w:rFonts w:ascii="Times New Roman" w:hAnsi="Times New Roman"/>
          <w:sz w:val="24"/>
        </w:rPr>
        <w:t>The corner pair plot (Figure 6) draws the five features most correlated with the target on 5,000 seeded rows to avoid overplotting; the lost-time history measures fan out together and the classes mix in every panel. Figure 7 plots lost-time rates per level for the eight categorical features with the highest V, since a rate shows how far a level moves the probability. Cuts and lacerations sit near 18% against 48.6% overall, coal mines above it, and printed sizes flag thin data.</w:t>
      </w:r>
    </w:p>
    <w:p>
      <w:pPr>
        <w:keepNext/>
        <w:jc w:val="center"/>
      </w:pPr>
      <w:r>
        <w:drawing>
          <wp:inline xmlns:a="http://schemas.openxmlformats.org/drawingml/2006/main" xmlns:pic="http://schemas.openxmlformats.org/drawingml/2006/picture">
            <wp:extent cx="5303520" cy="5223736"/>
            <wp:docPr id="6" name="Picture 6" descr="Figure 6. Corner pair plot of the five numeric features with the largest absolute point-biserial correlation, for 5,000 seeded training rows without missing values, coloured by outcome to show pairwise structure and class overlap. Source: author's analysis of MSHA open data." title="Figure 6"/>
            <wp:cNvGraphicFramePr>
              <a:graphicFrameLocks noChangeAspect="1"/>
            </wp:cNvGraphicFramePr>
            <a:graphic>
              <a:graphicData uri="http://schemas.openxmlformats.org/drawingml/2006/picture">
                <pic:pic>
                  <pic:nvPicPr>
                    <pic:cNvPr id="0" name="F05_pairplot_top.png"/>
                    <pic:cNvPicPr/>
                  </pic:nvPicPr>
                  <pic:blipFill>
                    <a:blip r:embed="rId16"/>
                    <a:stretch>
                      <a:fillRect/>
                    </a:stretch>
                  </pic:blipFill>
                  <pic:spPr>
                    <a:xfrm>
                      <a:off x="0" y="0"/>
                      <a:ext cx="5303520" cy="522373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Corner pair plot of the five numeric features with the largest absolute point-biserial correlation, for 5,000 seeded training rows without missing values, coloured by outcome to show pairwise structure and class overlap. Source: author's analysis of MSHA open data.</w:t>
      </w:r>
    </w:p>
    <w:p>
      <w:pPr>
        <w:keepNext/>
        <w:jc w:val="center"/>
      </w:pPr>
      <w:r>
        <w:drawing>
          <wp:inline xmlns:a="http://schemas.openxmlformats.org/drawingml/2006/main" xmlns:pic="http://schemas.openxmlformats.org/drawingml/2006/picture">
            <wp:extent cx="4663440" cy="7789362"/>
            <wp:docPr id="7" name="Picture 7" descr="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 title="Figure 7"/>
            <wp:cNvGraphicFramePr>
              <a:graphicFrameLocks noChangeAspect="1"/>
            </wp:cNvGraphicFramePr>
            <a:graphic>
              <a:graphicData uri="http://schemas.openxmlformats.org/drawingml/2006/picture">
                <pic:pic>
                  <pic:nvPicPr>
                    <pic:cNvPr id="0" name="F07_categorical_vs_target.png"/>
                    <pic:cNvPicPr/>
                  </pic:nvPicPr>
                  <pic:blipFill>
                    <a:blip r:embed="rId17"/>
                    <a:stretch>
                      <a:fillRect/>
                    </a:stretch>
                  </pic:blipFill>
                  <pic:spPr>
                    <a:xfrm>
                      <a:off x="0" y="0"/>
                      <a:ext cx="4663440" cy="7789362"/>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r>
        <w:rPr>
          <w:rFonts w:ascii="Times New Roman" w:hAnsi="Times New Roman"/>
          <w:sz w:val="24"/>
        </w:rPr>
        <w:t>Because imputation is decided per column, Figure 8 ranks the most incomplete columns as bars; underground, equipment and contractor gaps are structural, and one indicator covers the 985 rows missing all exposure columns (Section 3.4). In Figure 9, IQR fences flag 4,020 raw experience values and Z-score fences 714, because the tail inflates the standard deviation. After log1p neither rule flags any experience value, and Section 3.5 kept these long careers.</w:t>
      </w:r>
    </w:p>
    <w:p>
      <w:pPr>
        <w:keepNext/>
        <w:jc w:val="center"/>
      </w:pPr>
      <w:r>
        <w:drawing>
          <wp:inline xmlns:a="http://schemas.openxmlformats.org/drawingml/2006/main" xmlns:pic="http://schemas.openxmlformats.org/drawingml/2006/picture">
            <wp:extent cx="5120639" cy="6557451"/>
            <wp:docPr id="8" name="Picture 8" descr="Figure 8. Percentage of missing values in the 30 most incomplete columns of the joined base table on the training rows, ranked as bars so that structural and sporadic gaps can be told apart. Source: author's analysis of MSHA open data." title="Figure 8"/>
            <wp:cNvGraphicFramePr>
              <a:graphicFrameLocks noChangeAspect="1"/>
            </wp:cNvGraphicFramePr>
            <a:graphic>
              <a:graphicData uri="http://schemas.openxmlformats.org/drawingml/2006/picture">
                <pic:pic>
                  <pic:nvPicPr>
                    <pic:cNvPr id="0" name="F08_missingness.png"/>
                    <pic:cNvPicPr/>
                  </pic:nvPicPr>
                  <pic:blipFill>
                    <a:blip r:embed="rId18"/>
                    <a:stretch>
                      <a:fillRect/>
                    </a:stretch>
                  </pic:blipFill>
                  <pic:spPr>
                    <a:xfrm>
                      <a:off x="0" y="0"/>
                      <a:ext cx="5120639" cy="655745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Percentage of missing values in the 30 most incomplete columns of the joined base table on the training rows, ranked as bars so that structural and sporadic gaps can be told apart. Source: author's analysis of MSHA open data.</w:t>
      </w:r>
    </w:p>
    <w:p>
      <w:pPr>
        <w:keepNext/>
        <w:jc w:val="center"/>
      </w:pPr>
      <w:r>
        <w:drawing>
          <wp:inline xmlns:a="http://schemas.openxmlformats.org/drawingml/2006/main" xmlns:pic="http://schemas.openxmlformats.org/drawingml/2006/picture">
            <wp:extent cx="5733288" cy="3823635"/>
            <wp:docPr id="9" name="Picture 9" descr="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 title="Figure 9"/>
            <wp:cNvGraphicFramePr>
              <a:graphicFrameLocks noChangeAspect="1"/>
            </wp:cNvGraphicFramePr>
            <a:graphic>
              <a:graphicData uri="http://schemas.openxmlformats.org/drawingml/2006/picture">
                <pic:pic>
                  <pic:nvPicPr>
                    <pic:cNvPr id="0" name="F10_outlier_fences.png"/>
                    <pic:cNvPicPr/>
                  </pic:nvPicPr>
                  <pic:blipFill>
                    <a:blip r:embed="rId19"/>
                    <a:stretch>
                      <a:fillRect/>
                    </a:stretch>
                  </pic:blipFill>
                  <pic:spPr>
                    <a:xfrm>
                      <a:off x="0" y="0"/>
                      <a:ext cx="5733288" cy="382363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r>
        <w:rPr>
          <w:rFonts w:ascii="Times New Roman" w:hAnsi="Times New Roman"/>
          <w:sz w:val="24"/>
        </w:rPr>
        <w:t>Two principal components of the standardised numeric features, explaining 18.5% and 16.1% of the variance, show whether the classes separate linearly (Figure 10). The classes overlap throughout, although a plane holding a third of the variance cannot rule out separation in more dimensions.</w:t>
      </w:r>
    </w:p>
    <w:p>
      <w:pPr>
        <w:keepNext/>
        <w:jc w:val="center"/>
      </w:pPr>
      <w:r>
        <w:drawing>
          <wp:inline xmlns:a="http://schemas.openxmlformats.org/drawingml/2006/main" xmlns:pic="http://schemas.openxmlformats.org/drawingml/2006/picture">
            <wp:extent cx="4206240" cy="3636361"/>
            <wp:docPr id="10" name="Picture 10" descr="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 title="Figure 10"/>
            <wp:cNvGraphicFramePr>
              <a:graphicFrameLocks noChangeAspect="1"/>
            </wp:cNvGraphicFramePr>
            <a:graphic>
              <a:graphicData uri="http://schemas.openxmlformats.org/drawingml/2006/picture">
                <pic:pic>
                  <pic:nvPicPr>
                    <pic:cNvPr id="0" name="F11_pca_projection.png"/>
                    <pic:cNvPicPr/>
                  </pic:nvPicPr>
                  <pic:blipFill>
                    <a:blip r:embed="rId20"/>
                    <a:stretch>
                      <a:fillRect/>
                    </a:stretch>
                  </pic:blipFill>
                  <pic:spPr>
                    <a:xfrm>
                      <a:off x="0" y="0"/>
                      <a:ext cx="4206240" cy="3636361"/>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r>
        <w:br w:type="page"/>
      </w:r>
    </w:p>
    <w:p>
      <w:pPr>
        <w:pStyle w:val="Heading1"/>
      </w:pPr>
      <w:r>
        <w:rPr>
          <w:rFonts w:ascii="Times New Roman" w:hAnsi="Times New Roman"/>
          <w:b/>
          <w:color w:val="000000"/>
          <w:sz w:val="32"/>
        </w:rPr>
        <w:t>3 Dataset preparation</w:t>
      </w:r>
    </w:p>
    <w:p>
      <w:pPr>
        <w:pStyle w:val="Heading2"/>
      </w:pPr>
      <w:r>
        <w:rPr>
          <w:rFonts w:ascii="Times New Roman" w:hAnsi="Times New Roman"/>
          <w:b/>
          <w:color w:val="000000"/>
          <w:sz w:val="28"/>
        </w:rPr>
        <w:t>3.1 Summary</w:t>
      </w:r>
    </w:p>
    <w:p>
      <w:r>
        <w:rPr>
          <w:rFonts w:ascii="Times New Roman" w:hAnsi="Times New Roman"/>
          <w:sz w:val="24"/>
        </w:rPr>
        <w:t>Preparation followed the order of Table 8, whose last column gives the shape after each step, and Figure 11 draws the same flow. Type-safe loading read every Accidents row as text, and scope filtering kept 101,609 in-scope reports. Integration added the Mines and previous-year production tables with asserted row counts, the error rules blanked or recoded impossible values, and the duplicate audit removed nothing. Feature engineering and the leakage audit left the features of Table 5, and the mine-year grouped split held out a fifth of the rows for testing, without resampling. Imputation, outlier handling, encoding and scaling then turned the training split into an 81,289 x 552 matrix. All learned transformations are fitted on the training split only inside a scikit-learn Pipeline with ColumnTransformer (Pedregosa et al., 2011).</w:t>
      </w:r>
    </w:p>
    <w:p>
      <w:pPr>
        <w:keepNext/>
        <w:jc w:val="center"/>
      </w:pPr>
      <w:r>
        <w:drawing>
          <wp:inline xmlns:a="http://schemas.openxmlformats.org/drawingml/2006/main" xmlns:pic="http://schemas.openxmlformats.org/drawingml/2006/picture">
            <wp:extent cx="5733288" cy="4095206"/>
            <wp:docPr id="11" name="Picture 11" descr="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 title="Figure 11"/>
            <wp:cNvGraphicFramePr>
              <a:graphicFrameLocks noChangeAspect="1"/>
            </wp:cNvGraphicFramePr>
            <a:graphic>
              <a:graphicData uri="http://schemas.openxmlformats.org/drawingml/2006/picture">
                <pic:pic>
                  <pic:nvPicPr>
                    <pic:cNvPr id="0" name="F01_pipeline.png"/>
                    <pic:cNvPicPr/>
                  </pic:nvPicPr>
                  <pic:blipFill>
                    <a:blip r:embed="rId21"/>
                    <a:stretch>
                      <a:fillRect/>
                    </a:stretch>
                  </pic:blipFill>
                  <pic:spPr>
                    <a:xfrm>
                      <a:off x="0" y="0"/>
                      <a:ext cx="5733288" cy="4095206"/>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pStyle w:val="Heading2"/>
      </w:pPr>
      <w:r>
        <w:rPr>
          <w:rFonts w:ascii="Times New Roman" w:hAnsi="Times New Roman"/>
          <w:b/>
          <w:color w:val="000000"/>
          <w:sz w:val="28"/>
        </w:rPr>
        <w:t>3.2 Integration and error correction</w:t>
      </w:r>
    </w:p>
    <w:p>
      <w:r>
        <w:rPr>
          <w:rFonts w:ascii="Times New Roman" w:hAnsi="Times New Roman"/>
          <w:sz w:val="24"/>
        </w:rPr>
        <w:t>I read every column as text, because type inference would strip the leading zeros from MINE_ID, and asserted every join's row count (Table 4). The error rules learn nothing, so they ran on all rows before the split. Job experience exceeded total experience on 3,731 rows by a median of six years, too much for rounding (Table 8). Clipping assumes the job field is overstated and a swap assumes a data-entry exchange; I set the value to missing with a flag, because neither assumption can be checked (Han et al., 2022). A blank stops invented tenure from moving a case across the review threshold.</w:t>
      </w:r>
    </w:p>
    <w:p>
      <w:pPr>
        <w:pStyle w:val="Heading2"/>
      </w:pPr>
      <w:r>
        <w:rPr>
          <w:rFonts w:ascii="Times New Roman" w:hAnsi="Times New Roman"/>
          <w:b/>
          <w:color w:val="000000"/>
          <w:sz w:val="28"/>
        </w:rPr>
        <w:t>3.3 Duplicates and multi-victim accidents</w:t>
      </w:r>
    </w:p>
    <w:p>
      <w:r>
        <w:rPr>
          <w:rFonts w:ascii="Times New Roman" w:hAnsi="Times New Roman"/>
          <w:sz w:val="24"/>
        </w:rPr>
        <w:t>No row is an exact duplicate, and five rows match only when the document number, closing document and narrative are ignored (Table 8). Dropping them assumes double filing; keeping them assumes distinct victims, as MSHA requires one Form 7000-1 per injured person (Mine Safety and Health Administration, no date). Collapsing the 2,614 same-day multi-victim groups would make the accident the unit, although insurers reserve per claimant. I kept every row, one per claimant to reserve, and the grouped split keeps each same-day group on one side.</w:t>
      </w:r>
    </w:p>
    <w:p>
      <w:pPr>
        <w:pStyle w:val="Heading2"/>
      </w:pPr>
      <w:r>
        <w:rPr>
          <w:rFonts w:ascii="Times New Roman" w:hAnsi="Times New Roman"/>
          <w:b/>
          <w:color w:val="000000"/>
          <w:sz w:val="28"/>
        </w:rPr>
        <w:t>3.4 Missing values</w:t>
      </w:r>
    </w:p>
    <w:p>
      <w:r>
        <w:rPr>
          <w:rFonts w:ascii="Times New Roman" w:hAnsi="Times New Roman"/>
          <w:sz w:val="24"/>
        </w:rPr>
        <w:t>Numeric gaps are small except for the previous-year lost-time share, absent on 19.8% of training rows (Figure 8). Blank-experience reports are lost-time in 59.3% of training cases against 48.5% of recorded ones, so the gaps are not missing completely at random (MCAR). Blank experience clusters in early years (Table 8), consistent with missing at random (MAR) given year and mine (Rubin, 1976). The lost-time share is structurally undefined (zero over zero) at mines without a previous-year case.</w:t>
      </w:r>
    </w:p>
    <w:p>
      <w:r>
        <w:rPr>
          <w:rFonts w:ascii="Times New Roman" w:hAnsi="Times New Roman"/>
          <w:sz w:val="24"/>
        </w:rPr>
        <w:t>Listwise deletion needs MCAR, mean imputation presumes symmetry, and KNNImputer or IterativeImputer, which predict gaps from other features, would invent histories for quiet mines (van Buuren, 2018). I chose SimpleImputer with the median for skewed numerics plus seven explicit indicators, since add_indicator would repeat one flag across six co-missing exposure columns. Structural placeholders became their own level and other categorical gaps a constant "missing" level, since most_frequent would place surface accidents underground. Columns over 60% blank, other than structural placeholders, were dropped. The indicators carry the higher lost-time rate of unrecorded reports into the score, so fewer such cases go unreviewed.</w:t>
      </w:r>
    </w:p>
    <w:p>
      <w:pPr>
        <w:pStyle w:val="Heading2"/>
      </w:pPr>
      <w:r>
        <w:rPr>
          <w:rFonts w:ascii="Times New Roman" w:hAnsi="Times New Roman"/>
          <w:b/>
          <w:color w:val="000000"/>
          <w:sz w:val="28"/>
        </w:rPr>
        <w:t>3.5 Outliers</w:t>
      </w:r>
    </w:p>
    <w:p>
      <w:r>
        <w:rPr>
          <w:rFonts w:ascii="Times New Roman" w:hAnsi="Times New Roman"/>
          <w:sz w:val="24"/>
        </w:rPr>
        <w:t>Total experience has a skewness of 1.37 and previous-year hours 4.27 (Table 6). Right skew inflates the standard deviation behind the Z-score rule and puts its lower fence below zero. Tukey's IQR fences rest on quartiles (Tukey, 1977) but assume symmetric tails, so at this skew they flag over five times as many experience rows as the Z-score rule (Figure 9), all plausible veteran careers. I kept the values, added log1p versions and left clipping as an application option. Lagged rates were winsorised, since at the smallest mines a single case gives an extreme rate. Linear, distance-based and Gaussian models react to such extremes, while tree splits use only rank.</w:t>
      </w:r>
    </w:p>
    <w:p>
      <w:pPr>
        <w:pStyle w:val="Heading2"/>
      </w:pPr>
      <w:r>
        <w:rPr>
          <w:rFonts w:ascii="Times New Roman" w:hAnsi="Times New Roman"/>
          <w:b/>
          <w:color w:val="000000"/>
          <w:sz w:val="28"/>
        </w:rPr>
        <w:t>3.6 Instance selection and class balance</w:t>
      </w:r>
    </w:p>
    <w:p>
      <w:r>
        <w:rPr>
          <w:rFonts w:ascii="Times New Roman" w:hAnsi="Times New Roman"/>
          <w:sz w:val="24"/>
        </w:rPr>
        <w:t>Scope filtering was the only instance selection and left a training prevalence of 48.6% (Table 8). SMOTE inside the folds assumes interpolated neighbours are plausible cases, which fails for one-hot codes (Chawla et al., 2002; Lemaitre et al., 2017), and under- or over-sampling discards or repeats rows. I applied no resampling, searched class_weight for logistic regression and left the cost asymmetry to an out-of-fold threshold tuned in Section 4. The test set was never resampled. Resampling would also bias the probabilities that adjusters see and that set the cost-optimal threshold.</w:t>
      </w:r>
    </w:p>
    <w:p>
      <w:pPr>
        <w:pStyle w:val="Heading2"/>
      </w:pPr>
      <w:r>
        <w:rPr>
          <w:rFonts w:ascii="Times New Roman" w:hAnsi="Times New Roman"/>
          <w:b/>
          <w:color w:val="000000"/>
          <w:sz w:val="28"/>
        </w:rPr>
        <w:t>3.7 Feature engineering</w:t>
      </w:r>
    </w:p>
    <w:p>
      <w:r>
        <w:rPr>
          <w:rFonts w:ascii="Times New Roman" w:hAnsi="Times New Roman"/>
          <w:sz w:val="24"/>
        </w:rPr>
        <w:t>Every engineered feature uses fields known at filing (Table 5). Clock and calendar features give accident and shift-start hours, a night flag, hours into shift, weekday, weekend and month. Experience features add log1p of total experience, mine and job shares of the total and a new-to-mine flag. Exposure features give hours per employee and size bands, and history features turn previous-year cases filed before the accident date into rates per 200,000 hours and a lost-time share. Same-year hours were rejected because quarterly hours reports arrive after the quarter (Legal Information Institute, no date b), and accident-date counting because 1.9% of prior cases were filed after the accident (Table 8; Kaufman et al., 2012; Kuhn and Johnson, 2019). Leakage would overstate the test recall on which review capacity is planned.</w:t>
      </w:r>
    </w:p>
    <w:p>
      <w:pPr>
        <w:pStyle w:val="Heading2"/>
      </w:pPr>
      <w:r>
        <w:rPr>
          <w:rFonts w:ascii="Times New Roman" w:hAnsi="Times New Roman"/>
          <w:b/>
          <w:color w:val="000000"/>
          <w:sz w:val="28"/>
        </w:rPr>
        <w:t>3.8 Encoding and scaling</w:t>
      </w:r>
    </w:p>
    <w:p>
      <w:r>
        <w:rPr>
          <w:rFonts w:ascii="Times New Roman" w:hAnsi="Times New Roman"/>
          <w:sz w:val="24"/>
        </w:rPr>
        <w:t>Most categorical features are nominal codes with up to 193 levels (Table 8). Ordinal encoding assumes an order that linear models read as magnitude and target encoding needs fold-safe estimates, so I chose OneHotEncoder with handle_unknown="infrequent_if_exist" and a min_frequency of 0.1%, which pools rare and unseen levels. The ordered size band stayed one-hot, as its lost-time rate is not monotonic, and only the target was label-encoded. Under MinMaxScaler a few very large mines would squeeze most previous-year hours into the bottom tenth of the range, and Normalizer mixes units within a row. I applied StandardScaler to logistic regression, K-nearest neighbours (KNN), support vector machine (SVM), multilayer perceptron (MLP) and Gaussian naive Bayes and no scaler to the tree models, whose splits ignore monotone rescaling (Pedregosa et al., 2011). Unscaled hours would dominate distances, so KNN flags would follow mine size.</w:t>
      </w:r>
    </w:p>
    <w:p>
      <w:pPr>
        <w:pStyle w:val="Heading2"/>
      </w:pPr>
      <w:r>
        <w:rPr>
          <w:rFonts w:ascii="Times New Roman" w:hAnsi="Times New Roman"/>
          <w:b/>
          <w:color w:val="000000"/>
          <w:sz w:val="28"/>
        </w:rPr>
        <w:t>3.9 Train, validation and test split</w:t>
      </w:r>
    </w:p>
    <w:p>
      <w:r>
        <w:rPr>
          <w:rFonts w:ascii="Times New Roman" w:hAnsi="Times New Roman"/>
          <w:sz w:val="24"/>
        </w:rPr>
        <w:t>A stratified random split would treat rows as independent. Yet the mean label of later accidents in the same mine-year ranks a row with a ROC-AUC of 0.667, near the best planned feature (Table 8). Four numeric features, the coordinates and previous-year hours and employees, identify the mine-year for 99.9% of rows, so KNN and tree ensembles could memorise outcomes. Grouping by mine alone would test only unseen mines, yet 91.9% of reports from 2020 came from mines that had filed before.</w:t>
      </w:r>
    </w:p>
    <w:p>
      <w:r>
        <w:rPr>
          <w:rFonts w:ascii="Times New Roman" w:hAnsi="Times New Roman"/>
          <w:sz w:val="24"/>
        </w:rPr>
        <w:t>I held out one StratifiedGroupKFold fold of mine-year groups (random_state 42) as the test set, with five-fold StratifiedGroupKFold on the training rows for validation (Kohavi, 1995). Assertions confirm disjoint groups and prevalence within one percentage point of the whole. The insurer therefore sees recall on unseen mine-years, with temporal and mine-grouped splits as secondary checks.</w:t>
      </w:r>
    </w:p>
    <w:p>
      <w:pPr>
        <w:sectPr>
          <w:headerReference w:type="default" r:id="rId9"/>
          <w:footerReference w:type="default" r:id="rId10"/>
          <w:pgSz w:w="11906" w:h="16838"/>
          <w:pgMar w:top="1440" w:right="1440" w:bottom="1440" w:left="1440" w:header="720" w:footer="720" w:gutter="0"/>
          <w:cols w:space="720"/>
          <w:docGrid w:linePitch="360"/>
        </w:sectPr>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tbl>
      <w:tblPr>
        <w:tblStyle w:val="TableGrid"/>
        <w:tblW w:type="auto" w:w="0"/>
        <w:jc w:val="center"/>
        <w:tblLook w:firstColumn="1" w:firstRow="1" w:lastColumn="0" w:lastRow="0" w:noHBand="0" w:noVBand="1" w:val="04A0"/>
      </w:tblPr>
      <w:tblGrid>
        <w:gridCol w:w="2326"/>
        <w:gridCol w:w="2326"/>
        <w:gridCol w:w="2326"/>
        <w:gridCol w:w="2326"/>
        <w:gridCol w:w="2326"/>
        <w:gridCol w:w="2326"/>
      </w:tblGrid>
      <w:tr>
        <w:tc>
          <w:tcPr>
            <w:tcW w:type="dxa" w:w="2326"/>
            <w:shd w:val="clear" w:color="auto" w:fill="E7E6E6"/>
          </w:tcPr>
          <w:p>
            <w:pPr>
              <w:jc w:val="left"/>
            </w:pPr>
            <w:r>
              <w:rPr>
                <w:b/>
              </w:rPr>
            </w:r>
            <w:r>
              <w:rPr>
                <w:rFonts w:ascii="Times New Roman" w:hAnsi="Times New Roman"/>
                <w:b/>
                <w:sz w:val="22"/>
              </w:rPr>
              <w:t>Step</w:t>
            </w:r>
          </w:p>
        </w:tc>
        <w:tc>
          <w:tcPr>
            <w:tcW w:type="dxa" w:w="2326"/>
            <w:shd w:val="clear" w:color="auto" w:fill="E7E6E6"/>
          </w:tcPr>
          <w:p>
            <w:pPr>
              <w:jc w:val="left"/>
            </w:pPr>
            <w:r>
              <w:rPr>
                <w:b/>
              </w:rPr>
            </w:r>
            <w:r>
              <w:rPr>
                <w:rFonts w:ascii="Times New Roman" w:hAnsi="Times New Roman"/>
                <w:b/>
                <w:sz w:val="22"/>
              </w:rPr>
              <w:t>Problem found (evidence, count)</w:t>
            </w:r>
          </w:p>
        </w:tc>
        <w:tc>
          <w:tcPr>
            <w:tcW w:type="dxa" w:w="2326"/>
            <w:shd w:val="clear" w:color="auto" w:fill="E7E6E6"/>
          </w:tcPr>
          <w:p>
            <w:pPr>
              <w:jc w:val="left"/>
            </w:pPr>
            <w:r>
              <w:rPr>
                <w:b/>
              </w:rPr>
            </w:r>
            <w:r>
              <w:rPr>
                <w:rFonts w:ascii="Times New Roman" w:hAnsi="Times New Roman"/>
                <w:b/>
                <w:sz w:val="22"/>
              </w:rPr>
              <w:t>Options considered</w:t>
            </w:r>
          </w:p>
        </w:tc>
        <w:tc>
          <w:tcPr>
            <w:tcW w:type="dxa" w:w="2326"/>
            <w:shd w:val="clear" w:color="auto" w:fill="E7E6E6"/>
          </w:tcPr>
          <w:p>
            <w:pPr>
              <w:jc w:val="left"/>
            </w:pPr>
            <w:r>
              <w:rPr>
                <w:b/>
              </w:rPr>
            </w:r>
            <w:r>
              <w:rPr>
                <w:rFonts w:ascii="Times New Roman" w:hAnsi="Times New Roman"/>
                <w:b/>
                <w:sz w:val="22"/>
              </w:rPr>
              <w:t>Chosen</w:t>
            </w:r>
          </w:p>
        </w:tc>
        <w:tc>
          <w:tcPr>
            <w:tcW w:type="dxa" w:w="2326"/>
            <w:shd w:val="clear" w:color="auto" w:fill="E7E6E6"/>
          </w:tcPr>
          <w:p>
            <w:pPr>
              <w:jc w:val="left"/>
            </w:pPr>
            <w:r>
              <w:rPr>
                <w:b/>
              </w:rPr>
            </w:r>
            <w:r>
              <w:rPr>
                <w:rFonts w:ascii="Times New Roman" w:hAnsi="Times New Roman"/>
                <w:b/>
                <w:sz w:val="22"/>
              </w:rPr>
              <w:t>Why</w:t>
            </w:r>
          </w:p>
        </w:tc>
        <w:tc>
          <w:tcPr>
            <w:tcW w:type="dxa" w:w="2326"/>
            <w:shd w:val="clear" w:color="auto" w:fill="E7E6E6"/>
          </w:tcPr>
          <w:p>
            <w:pPr>
              <w:jc w:val="left"/>
            </w:pPr>
            <w:r>
              <w:rPr>
                <w:b/>
              </w:rPr>
            </w:r>
            <w:r>
              <w:rPr>
                <w:rFonts w:ascii="Times New Roman" w:hAnsi="Times New Roman"/>
                <w:b/>
                <w:sz w:val="22"/>
              </w:rPr>
              <w:t>Rows x cols after</w:t>
            </w:r>
          </w:p>
        </w:tc>
      </w:tr>
      <w:tr>
        <w:tc>
          <w:tcPr>
            <w:tcW w:type="dxa" w:w="2326"/>
          </w:tcPr>
          <w:p>
            <w:pPr>
              <w:spacing w:after="0"/>
              <w:jc w:val="left"/>
            </w:pPr>
            <w:r/>
            <w:r>
              <w:rPr>
                <w:rFonts w:ascii="Times New Roman" w:hAnsi="Times New Roman"/>
                <w:sz w:val="22"/>
              </w:rPr>
              <w:t>1 Load and type coercion</w:t>
            </w:r>
          </w:p>
        </w:tc>
        <w:tc>
          <w:tcPr>
            <w:tcW w:type="dxa" w:w="2326"/>
          </w:tcPr>
          <w:p>
            <w:pPr>
              <w:spacing w:after="0"/>
              <w:jc w:val="left"/>
            </w:pPr>
            <w:r/>
            <w:r>
              <w:rPr>
                <w:rFonts w:ascii="Times New Roman" w:hAnsi="Times New Roman"/>
                <w:sz w:val="22"/>
              </w:rPr>
              <w:t xml:space="preserve">Pipe-delimited latin-1 files fail strict UTF-8; codes such as MINE_ID are zero-padded text; placeholders </w:t>
            </w:r>
            <w:r>
              <w:rPr>
                <w:rFonts w:ascii="Consolas" w:hAnsi="Consolas"/>
                <w:sz w:val="22"/>
              </w:rPr>
              <w:t>?</w:t>
            </w:r>
            <w:r>
              <w:rPr>
                <w:rFonts w:ascii="Times New Roman" w:hAnsi="Times New Roman"/>
                <w:sz w:val="22"/>
              </w:rPr>
              <w:t xml:space="preserve">, </w:t>
            </w:r>
            <w:r>
              <w:rPr>
                <w:rFonts w:ascii="Consolas" w:hAnsi="Consolas"/>
                <w:sz w:val="22"/>
              </w:rPr>
              <w:t xml:space="preserve">? </w:t>
            </w:r>
            <w:r>
              <w:rPr>
                <w:rFonts w:ascii="Times New Roman" w:hAnsi="Times New Roman"/>
                <w:sz w:val="22"/>
              </w:rPr>
              <w:t xml:space="preserve">, </w:t>
            </w:r>
            <w:r>
              <w:rPr>
                <w:rFonts w:ascii="Consolas" w:hAnsi="Consolas"/>
                <w:sz w:val="22"/>
              </w:rPr>
              <w:t>NO VALUE FOUND</w:t>
            </w:r>
            <w:r>
              <w:rPr>
                <w:rFonts w:ascii="Times New Roman" w:hAnsi="Times New Roman"/>
                <w:sz w:val="22"/>
              </w:rPr>
              <w:t>; trailing spaces (E26, E27)</w:t>
            </w:r>
          </w:p>
        </w:tc>
        <w:tc>
          <w:tcPr>
            <w:tcW w:type="dxa" w:w="2326"/>
          </w:tcPr>
          <w:p>
            <w:pPr>
              <w:spacing w:after="0"/>
              <w:jc w:val="left"/>
            </w:pPr>
            <w:r/>
            <w:r>
              <w:rPr>
                <w:rFonts w:ascii="Times New Roman" w:hAnsi="Times New Roman"/>
                <w:sz w:val="22"/>
              </w:rPr>
              <w:t>pandas type inference; all columns as text, then explicit conversion</w:t>
            </w:r>
          </w:p>
        </w:tc>
        <w:tc>
          <w:tcPr>
            <w:tcW w:type="dxa" w:w="2326"/>
          </w:tcPr>
          <w:p>
            <w:pPr>
              <w:spacing w:after="0"/>
              <w:jc w:val="left"/>
            </w:pPr>
            <w:r/>
            <w:r>
              <w:rPr>
                <w:rFonts w:ascii="Times New Roman" w:hAnsi="Times New Roman"/>
                <w:sz w:val="22"/>
              </w:rPr>
              <w:t xml:space="preserve">Text read, </w:t>
            </w:r>
            <w:r>
              <w:rPr>
                <w:rFonts w:ascii="Consolas" w:hAnsi="Consolas"/>
                <w:sz w:val="22"/>
              </w:rPr>
              <w:t>str.strip()</w:t>
            </w:r>
            <w:r>
              <w:rPr>
                <w:rFonts w:ascii="Times New Roman" w:hAnsi="Times New Roman"/>
                <w:sz w:val="22"/>
              </w:rPr>
              <w:t xml:space="preserve">, placeholders to NaN, </w:t>
            </w:r>
            <w:r>
              <w:rPr>
                <w:rFonts w:ascii="Consolas" w:hAnsi="Consolas"/>
                <w:sz w:val="22"/>
              </w:rPr>
              <w:t>to_numeric</w:t>
            </w:r>
            <w:r>
              <w:rPr>
                <w:rFonts w:ascii="Times New Roman" w:hAnsi="Times New Roman"/>
                <w:sz w:val="22"/>
              </w:rPr>
              <w:t xml:space="preserve"> for numeric fields only</w:t>
            </w:r>
          </w:p>
        </w:tc>
        <w:tc>
          <w:tcPr>
            <w:tcW w:type="dxa" w:w="2326"/>
          </w:tcPr>
          <w:p>
            <w:pPr>
              <w:spacing w:after="0"/>
              <w:jc w:val="left"/>
            </w:pPr>
            <w:r/>
            <w:r>
              <w:rPr>
                <w:rFonts w:ascii="Times New Roman" w:hAnsi="Times New Roman"/>
                <w:sz w:val="22"/>
              </w:rPr>
              <w:t>Inference turns 0200024 into an integer and breaks the join</w:t>
            </w:r>
          </w:p>
        </w:tc>
        <w:tc>
          <w:tcPr>
            <w:tcW w:type="dxa" w:w="2326"/>
          </w:tcPr>
          <w:p>
            <w:pPr>
              <w:spacing w:after="0"/>
              <w:jc w:val="left"/>
            </w:pPr>
            <w:r/>
            <w:r>
              <w:rPr>
                <w:rFonts w:ascii="Times New Roman" w:hAnsi="Times New Roman"/>
                <w:sz w:val="22"/>
              </w:rPr>
              <w:t>275,220 x 57 (Accidents)</w:t>
            </w:r>
          </w:p>
        </w:tc>
      </w:tr>
      <w:tr>
        <w:tc>
          <w:tcPr>
            <w:tcW w:type="dxa" w:w="2326"/>
          </w:tcPr>
          <w:p>
            <w:pPr>
              <w:spacing w:after="0"/>
              <w:jc w:val="left"/>
            </w:pPr>
            <w:r/>
            <w:r>
              <w:rPr>
                <w:rFonts w:ascii="Times New Roman" w:hAnsi="Times New Roman"/>
                <w:sz w:val="22"/>
              </w:rPr>
              <w:t>2 Scope filter</w:t>
            </w:r>
          </w:p>
        </w:tc>
        <w:tc>
          <w:tcPr>
            <w:tcW w:type="dxa" w:w="2326"/>
          </w:tcPr>
          <w:p>
            <w:pPr>
              <w:spacing w:after="0"/>
              <w:jc w:val="left"/>
            </w:pPr>
            <w:r/>
            <w:r>
              <w:rPr>
                <w:rFonts w:ascii="Times New Roman" w:hAnsi="Times New Roman"/>
                <w:sz w:val="22"/>
              </w:rPr>
              <w:t>2026 partial and provisional (47.0% of its code 03/04 rows lack DAYS_LOST); experience blank on 20.1% of pre-2010 rows; codes 00 and 07-10 are not accident injuries to employees (19,932 rows in 2010-2025)</w:t>
            </w:r>
          </w:p>
        </w:tc>
        <w:tc>
          <w:tcPr>
            <w:tcW w:type="dxa" w:w="2326"/>
          </w:tcPr>
          <w:p>
            <w:pPr>
              <w:spacing w:after="0"/>
              <w:jc w:val="left"/>
            </w:pPr>
            <w:r/>
            <w:r>
              <w:rPr>
                <w:rFonts w:ascii="Times New Roman" w:hAnsi="Times New Roman"/>
                <w:sz w:val="22"/>
              </w:rPr>
              <w:t>All years and codes; years only; years and codes</w:t>
            </w:r>
          </w:p>
        </w:tc>
        <w:tc>
          <w:tcPr>
            <w:tcW w:type="dxa" w:w="2326"/>
          </w:tcPr>
          <w:p>
            <w:pPr>
              <w:spacing w:after="0"/>
              <w:jc w:val="left"/>
            </w:pPr>
            <w:r/>
            <w:r>
              <w:rPr>
                <w:rFonts w:ascii="Times New Roman" w:hAnsi="Times New Roman"/>
                <w:sz w:val="22"/>
              </w:rPr>
              <w:t>CAL_YR 2010-2025 and degree codes 01-06</w:t>
            </w:r>
          </w:p>
        </w:tc>
        <w:tc>
          <w:tcPr>
            <w:tcW w:type="dxa" w:w="2326"/>
          </w:tcPr>
          <w:p>
            <w:pPr>
              <w:spacing w:after="0"/>
              <w:jc w:val="left"/>
            </w:pPr>
            <w:r/>
            <w:r>
              <w:rPr>
                <w:rFonts w:ascii="Times New Roman" w:hAnsi="Times New Roman"/>
                <w:sz w:val="22"/>
              </w:rPr>
              <w:t>Complete label; one row is one injured worker</w:t>
            </w:r>
          </w:p>
        </w:tc>
        <w:tc>
          <w:tcPr>
            <w:tcW w:type="dxa" w:w="2326"/>
          </w:tcPr>
          <w:p>
            <w:pPr>
              <w:spacing w:after="0"/>
              <w:jc w:val="left"/>
            </w:pPr>
            <w:r/>
            <w:r>
              <w:rPr>
                <w:rFonts w:ascii="Times New Roman" w:hAnsi="Times New Roman"/>
                <w:sz w:val="22"/>
              </w:rPr>
              <w:t>101,609 x 57</w:t>
            </w:r>
          </w:p>
        </w:tc>
      </w:tr>
      <w:tr>
        <w:tc>
          <w:tcPr>
            <w:tcW w:type="dxa" w:w="2326"/>
          </w:tcPr>
          <w:p>
            <w:pPr>
              <w:spacing w:after="0"/>
              <w:jc w:val="left"/>
            </w:pPr>
            <w:r/>
            <w:r>
              <w:rPr>
                <w:rFonts w:ascii="Times New Roman" w:hAnsi="Times New Roman"/>
                <w:sz w:val="22"/>
              </w:rPr>
              <w:t>3 Integration (Mines, previous-year production, lagged cases)</w:t>
            </w:r>
          </w:p>
        </w:tc>
        <w:tc>
          <w:tcPr>
            <w:tcW w:type="dxa" w:w="2326"/>
          </w:tcPr>
          <w:p>
            <w:pPr>
              <w:spacing w:after="0"/>
              <w:jc w:val="left"/>
            </w:pPr>
            <w:r/>
            <w:r>
              <w:rPr>
                <w:rFonts w:ascii="Times New Roman" w:hAnsi="Times New Roman"/>
                <w:sz w:val="22"/>
              </w:rPr>
              <w:t>Production unique on MINE_ID, year and subunit (658,922 of 658,922); 1,206 rows without previous-year production (lost-time 53.7% vs 48.5%)</w:t>
            </w:r>
          </w:p>
        </w:tc>
        <w:tc>
          <w:tcPr>
            <w:tcW w:type="dxa" w:w="2326"/>
          </w:tcPr>
          <w:p>
            <w:pPr>
              <w:spacing w:after="0"/>
              <w:jc w:val="left"/>
            </w:pPr>
            <w:r/>
            <w:r>
              <w:rPr>
                <w:rFonts w:ascii="Times New Roman" w:hAnsi="Times New Roman"/>
                <w:sz w:val="22"/>
              </w:rPr>
              <w:t>Inner join; same-year left join; previous-year left join</w:t>
            </w:r>
          </w:p>
        </w:tc>
        <w:tc>
          <w:tcPr>
            <w:tcW w:type="dxa" w:w="2326"/>
          </w:tcPr>
          <w:p>
            <w:pPr>
              <w:spacing w:after="0"/>
              <w:jc w:val="left"/>
            </w:pPr>
            <w:r/>
            <w:r>
              <w:rPr>
                <w:rFonts w:ascii="Times New Roman" w:hAnsi="Times New Roman"/>
                <w:sz w:val="22"/>
              </w:rPr>
              <w:t xml:space="preserve">Left joins, </w:t>
            </w:r>
            <w:r>
              <w:rPr>
                <w:rFonts w:ascii="Consolas" w:hAnsi="Consolas"/>
                <w:sz w:val="22"/>
              </w:rPr>
              <w:t>validate="many_to_one"</w:t>
            </w:r>
            <w:r>
              <w:rPr>
                <w:rFonts w:ascii="Times New Roman" w:hAnsi="Times New Roman"/>
                <w:sz w:val="22"/>
              </w:rPr>
              <w:t>, indicator columns, asserted row counts; Mines matched 100.0%, previous-year production 98.8%; commodity flags agree on 100.0%</w:t>
            </w:r>
          </w:p>
        </w:tc>
        <w:tc>
          <w:tcPr>
            <w:tcW w:type="dxa" w:w="2326"/>
          </w:tcPr>
          <w:p>
            <w:pPr>
              <w:spacing w:after="0"/>
              <w:jc w:val="left"/>
            </w:pPr>
            <w:r/>
            <w:r>
              <w:rPr>
                <w:rFonts w:ascii="Times New Roman" w:hAnsi="Times New Roman"/>
                <w:sz w:val="22"/>
              </w:rPr>
              <w:t>Inner join drops new or idle mines; same-year hours are unreported at filing</w:t>
            </w:r>
          </w:p>
        </w:tc>
        <w:tc>
          <w:tcPr>
            <w:tcW w:type="dxa" w:w="2326"/>
          </w:tcPr>
          <w:p>
            <w:pPr>
              <w:spacing w:after="0"/>
              <w:jc w:val="left"/>
            </w:pPr>
            <w:r/>
            <w:r>
              <w:rPr>
                <w:rFonts w:ascii="Times New Roman" w:hAnsi="Times New Roman"/>
                <w:sz w:val="22"/>
              </w:rPr>
              <w:t>101,609 x 88</w:t>
            </w:r>
          </w:p>
        </w:tc>
      </w:tr>
      <w:tr>
        <w:tc>
          <w:tcPr>
            <w:tcW w:type="dxa" w:w="2326"/>
          </w:tcPr>
          <w:p>
            <w:pPr>
              <w:spacing w:after="0"/>
              <w:jc w:val="left"/>
            </w:pPr>
            <w:r/>
            <w:r>
              <w:rPr>
                <w:rFonts w:ascii="Times New Roman" w:hAnsi="Times New Roman"/>
                <w:sz w:val="22"/>
              </w:rPr>
              <w:t>4 Error rules for experience and victim count (E1-E4, E21)</w:t>
            </w:r>
          </w:p>
        </w:tc>
        <w:tc>
          <w:tcPr>
            <w:tcW w:type="dxa" w:w="2326"/>
          </w:tcPr>
          <w:p>
            <w:pPr>
              <w:spacing w:after="0"/>
              <w:jc w:val="left"/>
            </w:pPr>
            <w:r/>
            <w:r>
              <w:rPr>
                <w:rFonts w:ascii="Times New Roman" w:hAnsi="Times New Roman"/>
                <w:sz w:val="22"/>
              </w:rPr>
              <w:t>Job experience above total on 3,731 rows (median excess 6.0 years); mine experience above total on 83; any value above 60 years on 3; negative values 0; victim count above 10 on 33</w:t>
            </w:r>
          </w:p>
        </w:tc>
        <w:tc>
          <w:tcPr>
            <w:tcW w:type="dxa" w:w="2326"/>
          </w:tcPr>
          <w:p>
            <w:pPr>
              <w:spacing w:after="0"/>
              <w:jc w:val="left"/>
            </w:pPr>
            <w:r/>
            <w:r>
              <w:rPr>
                <w:rFonts w:ascii="Times New Roman" w:hAnsi="Times New Roman"/>
                <w:sz w:val="22"/>
              </w:rPr>
              <w:t>Clip to total; swap fields; drop rows; NaN with flag</w:t>
            </w:r>
          </w:p>
        </w:tc>
        <w:tc>
          <w:tcPr>
            <w:tcW w:type="dxa" w:w="2326"/>
          </w:tcPr>
          <w:p>
            <w:pPr>
              <w:spacing w:after="0"/>
              <w:jc w:val="left"/>
            </w:pPr>
            <w:r/>
            <w:r>
              <w:rPr>
                <w:rFonts w:ascii="Times New Roman" w:hAnsi="Times New Roman"/>
                <w:sz w:val="22"/>
              </w:rPr>
              <w:t xml:space="preserve">NaN plus </w:t>
            </w:r>
            <w:r>
              <w:rPr>
                <w:rFonts w:ascii="Consolas" w:hAnsi="Consolas"/>
                <w:sz w:val="22"/>
              </w:rPr>
              <w:t>exper_inconsistent</w:t>
            </w:r>
            <w:r>
              <w:rPr>
                <w:rFonts w:ascii="Times New Roman" w:hAnsi="Times New Roman"/>
                <w:sz w:val="22"/>
              </w:rPr>
              <w:t xml:space="preserve"> flag; assertion for negatives; victim count capped at 10</w:t>
            </w:r>
          </w:p>
        </w:tc>
        <w:tc>
          <w:tcPr>
            <w:tcW w:type="dxa" w:w="2326"/>
          </w:tcPr>
          <w:p>
            <w:pPr>
              <w:spacing w:after="0"/>
              <w:jc w:val="left"/>
            </w:pPr>
            <w:r/>
            <w:r>
              <w:rPr>
                <w:rFonts w:ascii="Times New Roman" w:hAnsi="Times New Roman"/>
                <w:sz w:val="22"/>
              </w:rPr>
              <w:t>A swap is plausible but unprovable, so clipping invents tenure; dropping loses 3.7% of rows</w:t>
            </w:r>
          </w:p>
        </w:tc>
        <w:tc>
          <w:tcPr>
            <w:tcW w:type="dxa" w:w="2326"/>
          </w:tcPr>
          <w:p>
            <w:pPr>
              <w:spacing w:after="0"/>
              <w:jc w:val="left"/>
            </w:pPr>
            <w:r/>
            <w:r>
              <w:rPr>
                <w:rFonts w:ascii="Times New Roman" w:hAnsi="Times New Roman"/>
                <w:sz w:val="22"/>
              </w:rPr>
              <w:t>101,609 rows, values only</w:t>
            </w:r>
          </w:p>
        </w:tc>
      </w:tr>
      <w:tr>
        <w:tc>
          <w:tcPr>
            <w:tcW w:type="dxa" w:w="2326"/>
          </w:tcPr>
          <w:p>
            <w:pPr>
              <w:spacing w:after="0"/>
              <w:jc w:val="left"/>
            </w:pPr>
            <w:r/>
            <w:r>
              <w:rPr>
                <w:rFonts w:ascii="Times New Roman" w:hAnsi="Times New Roman"/>
                <w:sz w:val="22"/>
              </w:rPr>
              <w:t>5 Error rules for times, places, dates and mine attributes (E5-E12, E22-E25)</w:t>
            </w:r>
          </w:p>
        </w:tc>
        <w:tc>
          <w:tcPr>
            <w:tcW w:type="dxa" w:w="2326"/>
          </w:tcPr>
          <w:p>
            <w:pPr>
              <w:spacing w:after="0"/>
              <w:jc w:val="left"/>
            </w:pPr>
            <w:r/>
            <w:r>
              <w:rPr>
                <w:rFonts w:ascii="Times New Roman" w:hAnsi="Times New Roman"/>
                <w:sz w:val="22"/>
              </w:rPr>
              <w:t>Accident time 9999 on 3,091 rows and 2400 on 326; shift start 9999 or blank on 519, 2400 on 1,833, three characters on 48; shift wraps midnight on 11,538; more than 16 h into shift on 662; invalid coordinates 3; 103(i) status dated after the accident or blank 22,368; previous-year hours below 2,000 on 764</w:t>
            </w:r>
          </w:p>
        </w:tc>
        <w:tc>
          <w:tcPr>
            <w:tcW w:type="dxa" w:w="2326"/>
          </w:tcPr>
          <w:p>
            <w:pPr>
              <w:spacing w:after="0"/>
              <w:jc w:val="left"/>
            </w:pPr>
            <w:r/>
            <w:r>
              <w:rPr>
                <w:rFonts w:ascii="Times New Roman" w:hAnsi="Times New Roman"/>
                <w:sz w:val="22"/>
              </w:rPr>
              <w:t>String slicing; drop rows; NaN or recode</w:t>
            </w:r>
          </w:p>
        </w:tc>
        <w:tc>
          <w:tcPr>
            <w:tcW w:type="dxa" w:w="2326"/>
          </w:tcPr>
          <w:p>
            <w:pPr>
              <w:spacing w:after="0"/>
              <w:jc w:val="left"/>
            </w:pPr>
            <w:r/>
            <w:r>
              <w:rPr>
                <w:rFonts w:ascii="Times New Roman" w:hAnsi="Times New Roman"/>
                <w:sz w:val="22"/>
              </w:rPr>
              <w:t>Integer HHMM parsing, 2400 to 00:00, 9999 to NaN, minute difference modulo 1,440, more than 16 h to NaN; coordinates outside the valid box to NaN; later-dated 103(i) status to "Unknown"; lagged rates winsorised at 50 per 200,000 h; dates asserted valid (0 failures)</w:t>
            </w:r>
          </w:p>
        </w:tc>
        <w:tc>
          <w:tcPr>
            <w:tcW w:type="dxa" w:w="2326"/>
          </w:tcPr>
          <w:p>
            <w:pPr>
              <w:spacing w:after="0"/>
              <w:jc w:val="left"/>
            </w:pPr>
            <w:r/>
            <w:r>
              <w:rPr>
                <w:rFonts w:ascii="Times New Roman" w:hAnsi="Times New Roman"/>
                <w:sz w:val="22"/>
              </w:rPr>
              <w:t>Each rule decodes a convention or blanks an impossible value without inventing data; counts logged in error_rules.csv</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6 Duplicates and multi-victim accidents</w:t>
            </w:r>
          </w:p>
        </w:tc>
        <w:tc>
          <w:tcPr>
            <w:tcW w:type="dxa" w:w="2326"/>
          </w:tcPr>
          <w:p>
            <w:pPr>
              <w:spacing w:after="0"/>
              <w:jc w:val="left"/>
            </w:pPr>
            <w:r/>
            <w:r>
              <w:rPr>
                <w:rFonts w:ascii="Times New Roman" w:hAnsi="Times New Roman"/>
                <w:sz w:val="22"/>
              </w:rPr>
              <w:t>Exact duplicates 0; DOCUMENT_NO unique; 5 rows identical without DOCUMENT_NO, CLOSED_DOC_NO and NARRATIVE; 2,614 same-day mine groups hold 5,530 rows (883 with mixed labels)</w:t>
            </w:r>
          </w:p>
        </w:tc>
        <w:tc>
          <w:tcPr>
            <w:tcW w:type="dxa" w:w="2326"/>
          </w:tcPr>
          <w:p>
            <w:pPr>
              <w:spacing w:after="0"/>
              <w:jc w:val="left"/>
            </w:pPr>
            <w:r/>
            <w:r>
              <w:rPr>
                <w:rFonts w:ascii="Times New Roman" w:hAnsi="Times New Roman"/>
                <w:sz w:val="22"/>
              </w:rPr>
              <w:t>Drop near duplicates; one row per accident; keep</w:t>
            </w:r>
          </w:p>
        </w:tc>
        <w:tc>
          <w:tcPr>
            <w:tcW w:type="dxa" w:w="2326"/>
          </w:tcPr>
          <w:p>
            <w:pPr>
              <w:spacing w:after="0"/>
              <w:jc w:val="left"/>
            </w:pPr>
            <w:r/>
            <w:r>
              <w:rPr>
                <w:rFonts w:ascii="Times New Roman" w:hAnsi="Times New Roman"/>
                <w:sz w:val="22"/>
              </w:rPr>
              <w:t>Keep every row; same-day groups kept on one side of the split</w:t>
            </w:r>
          </w:p>
        </w:tc>
        <w:tc>
          <w:tcPr>
            <w:tcW w:type="dxa" w:w="2326"/>
          </w:tcPr>
          <w:p>
            <w:pPr>
              <w:spacing w:after="0"/>
              <w:jc w:val="left"/>
            </w:pPr>
            <w:r/>
            <w:r>
              <w:rPr>
                <w:rFonts w:ascii="Times New Roman" w:hAnsi="Times New Roman"/>
                <w:sz w:val="22"/>
              </w:rPr>
              <w:t>One Form 7000-1 per injured person, so the rows are distinct claimants</w:t>
            </w:r>
          </w:p>
        </w:tc>
        <w:tc>
          <w:tcPr>
            <w:tcW w:type="dxa" w:w="2326"/>
          </w:tcPr>
          <w:p>
            <w:pPr>
              <w:spacing w:after="0"/>
              <w:jc w:val="left"/>
            </w:pPr>
            <w:r/>
            <w:r>
              <w:rPr>
                <w:rFonts w:ascii="Times New Roman" w:hAnsi="Times New Roman"/>
                <w:sz w:val="22"/>
              </w:rPr>
              <w:t>101,609 x 96</w:t>
            </w:r>
          </w:p>
        </w:tc>
      </w:tr>
      <w:tr>
        <w:tc>
          <w:tcPr>
            <w:tcW w:type="dxa" w:w="2326"/>
          </w:tcPr>
          <w:p>
            <w:pPr>
              <w:spacing w:after="0"/>
              <w:jc w:val="left"/>
            </w:pPr>
            <w:r/>
            <w:r>
              <w:rPr>
                <w:rFonts w:ascii="Times New Roman" w:hAnsi="Times New Roman"/>
                <w:sz w:val="22"/>
              </w:rPr>
              <w:t>7 Leakage and sparse-column removal</w:t>
            </w:r>
          </w:p>
        </w:tc>
        <w:tc>
          <w:tcPr>
            <w:tcW w:type="dxa" w:w="2326"/>
          </w:tcPr>
          <w:p>
            <w:pPr>
              <w:spacing w:after="0"/>
              <w:jc w:val="left"/>
            </w:pPr>
            <w:r/>
            <w:r>
              <w:rPr>
                <w:rFonts w:ascii="Times New Roman" w:hAnsi="Times New Roman"/>
                <w:sz w:val="22"/>
              </w:rPr>
              <w:t>DAYS_LOST Cramer's V 0.955 with the target; CLOSED_DOC_NO present for 72.2% of positives vs 33.5% of negatives; Mines status date after the accident for 40.4% of rows; EQUIP_MODEL_NO 76.7% blank</w:t>
            </w:r>
          </w:p>
        </w:tc>
        <w:tc>
          <w:tcPr>
            <w:tcW w:type="dxa" w:w="2326"/>
          </w:tcPr>
          <w:p>
            <w:pPr>
              <w:spacing w:after="0"/>
              <w:jc w:val="left"/>
            </w:pPr>
            <w:r/>
            <w:r>
              <w:rPr>
                <w:rFonts w:ascii="Times New Roman" w:hAnsi="Times New Roman"/>
                <w:sz w:val="22"/>
              </w:rPr>
              <w:t>Keep with caveat; keep for EDA only; drop</w:t>
            </w:r>
          </w:p>
        </w:tc>
        <w:tc>
          <w:tcPr>
            <w:tcW w:type="dxa" w:w="2326"/>
          </w:tcPr>
          <w:p>
            <w:pPr>
              <w:spacing w:after="0"/>
              <w:jc w:val="left"/>
            </w:pPr>
            <w:r/>
            <w:r>
              <w:rPr>
                <w:rFonts w:ascii="Times New Roman" w:hAnsi="Times New Roman"/>
                <w:sz w:val="22"/>
              </w:rPr>
              <w:t>Drop outcome fields, snapshot attributes, identifiers and columns more than 60% missing</w:t>
            </w:r>
          </w:p>
        </w:tc>
        <w:tc>
          <w:tcPr>
            <w:tcW w:type="dxa" w:w="2326"/>
          </w:tcPr>
          <w:p>
            <w:pPr>
              <w:spacing w:after="0"/>
              <w:jc w:val="left"/>
            </w:pPr>
            <w:r/>
            <w:r>
              <w:rPr>
                <w:rFonts w:ascii="Times New Roman" w:hAnsi="Times New Roman"/>
                <w:sz w:val="22"/>
              </w:rPr>
              <w:t>Not known, or not reliable, when the form is filed</w:t>
            </w:r>
          </w:p>
        </w:tc>
        <w:tc>
          <w:tcPr>
            <w:tcW w:type="dxa" w:w="2326"/>
          </w:tcPr>
          <w:p>
            <w:pPr>
              <w:spacing w:after="0"/>
              <w:jc w:val="left"/>
            </w:pPr>
            <w:r/>
            <w:r>
              <w:rPr>
                <w:rFonts w:ascii="Times New Roman" w:hAnsi="Times New Roman"/>
                <w:sz w:val="22"/>
              </w:rPr>
              <w:t>101,609 rows</w:t>
            </w:r>
          </w:p>
        </w:tc>
      </w:tr>
      <w:tr>
        <w:tc>
          <w:tcPr>
            <w:tcW w:type="dxa" w:w="2326"/>
          </w:tcPr>
          <w:p>
            <w:pPr>
              <w:spacing w:after="0"/>
              <w:jc w:val="left"/>
            </w:pPr>
            <w:r/>
            <w:r>
              <w:rPr>
                <w:rFonts w:ascii="Times New Roman" w:hAnsi="Times New Roman"/>
                <w:sz w:val="22"/>
              </w:rPr>
              <w:t>8 Feature engineering</w:t>
            </w:r>
          </w:p>
        </w:tc>
        <w:tc>
          <w:tcPr>
            <w:tcW w:type="dxa" w:w="2326"/>
          </w:tcPr>
          <w:p>
            <w:pPr>
              <w:spacing w:after="0"/>
              <w:jc w:val="left"/>
            </w:pPr>
            <w:r/>
            <w:r>
              <w:rPr>
                <w:rFonts w:ascii="Times New Roman" w:hAnsi="Times New Roman"/>
                <w:sz w:val="22"/>
              </w:rPr>
              <w:t>Raw HHMM times, dates, counts and hours; 1.9% of previous-year cases filed after the row's accident date</w:t>
            </w:r>
          </w:p>
        </w:tc>
        <w:tc>
          <w:tcPr>
            <w:tcW w:type="dxa" w:w="2326"/>
          </w:tcPr>
          <w:p>
            <w:pPr>
              <w:spacing w:after="0"/>
              <w:jc w:val="left"/>
            </w:pPr>
            <w:r/>
            <w:r>
              <w:rPr>
                <w:rFonts w:ascii="Times New Roman" w:hAnsi="Times New Roman"/>
                <w:sz w:val="22"/>
              </w:rPr>
              <w:t>Raw fields; same-year exposure; previous-year counts cut at accident date; cut at filing date</w:t>
            </w:r>
          </w:p>
        </w:tc>
        <w:tc>
          <w:tcPr>
            <w:tcW w:type="dxa" w:w="2326"/>
          </w:tcPr>
          <w:p>
            <w:pPr>
              <w:spacing w:after="0"/>
              <w:jc w:val="left"/>
            </w:pPr>
            <w:r/>
            <w:r>
              <w:rPr>
                <w:rFonts w:ascii="Times New Roman" w:hAnsi="Times New Roman"/>
                <w:sz w:val="22"/>
              </w:rPr>
              <w:t>Clock, calendar, experience, report-flag, exposure, lagged-history, 103(i)-status, coordinate and missing-indicator features with the filing-date cut</w:t>
            </w:r>
          </w:p>
        </w:tc>
        <w:tc>
          <w:tcPr>
            <w:tcW w:type="dxa" w:w="2326"/>
          </w:tcPr>
          <w:p>
            <w:pPr>
              <w:spacing w:after="0"/>
              <w:jc w:val="left"/>
            </w:pPr>
            <w:r/>
            <w:r>
              <w:rPr>
                <w:rFonts w:ascii="Times New Roman" w:hAnsi="Times New Roman"/>
                <w:sz w:val="22"/>
              </w:rPr>
              <w:t>Every feature passes the known-at-filing check</w:t>
            </w:r>
          </w:p>
        </w:tc>
        <w:tc>
          <w:tcPr>
            <w:tcW w:type="dxa" w:w="2326"/>
          </w:tcPr>
          <w:p>
            <w:pPr>
              <w:spacing w:after="0"/>
              <w:jc w:val="left"/>
            </w:pPr>
            <w:r/>
            <w:r>
              <w:rPr>
                <w:rFonts w:ascii="Times New Roman" w:hAnsi="Times New Roman"/>
                <w:sz w:val="22"/>
              </w:rPr>
              <w:t>101,609 x 55 (23 categorical, 20 numeric, 12 binary)</w:t>
            </w:r>
          </w:p>
        </w:tc>
      </w:tr>
      <w:tr>
        <w:tc>
          <w:tcPr>
            <w:tcW w:type="dxa" w:w="2326"/>
          </w:tcPr>
          <w:p>
            <w:pPr>
              <w:spacing w:after="0"/>
              <w:jc w:val="left"/>
            </w:pPr>
            <w:r/>
            <w:r>
              <w:rPr>
                <w:rFonts w:ascii="Times New Roman" w:hAnsi="Times New Roman"/>
                <w:sz w:val="22"/>
              </w:rPr>
              <w:t>9 Train, validation and test split</w:t>
            </w:r>
          </w:p>
        </w:tc>
        <w:tc>
          <w:tcPr>
            <w:tcW w:type="dxa" w:w="2326"/>
          </w:tcPr>
          <w:p>
            <w:pPr>
              <w:spacing w:after="0"/>
              <w:jc w:val="left"/>
            </w:pPr>
            <w:r/>
            <w:r>
              <w:rPr>
                <w:rFonts w:ascii="Times New Roman" w:hAnsi="Times New Roman"/>
                <w:sz w:val="22"/>
              </w:rPr>
              <w:t>82.3% of rows share a mine-year with another date; later siblings' mean label gives ROC-AUC 0.667; unstratified group folds give prevalence 46.5-50.9%</w:t>
            </w:r>
          </w:p>
        </w:tc>
        <w:tc>
          <w:tcPr>
            <w:tcW w:type="dxa" w:w="2326"/>
          </w:tcPr>
          <w:p>
            <w:pPr>
              <w:spacing w:after="0"/>
              <w:jc w:val="left"/>
            </w:pPr>
            <w:r/>
            <w:r>
              <w:rPr>
                <w:rFonts w:ascii="Times New Roman" w:hAnsi="Times New Roman"/>
                <w:sz w:val="22"/>
              </w:rPr>
              <w:t>Stratified random 80/20; group by MINE_ID (8,303 groups); temporal 2010-2019 vs 2020-2025</w:t>
            </w:r>
          </w:p>
        </w:tc>
        <w:tc>
          <w:tcPr>
            <w:tcW w:type="dxa" w:w="2326"/>
          </w:tcPr>
          <w:p>
            <w:pPr>
              <w:spacing w:after="0"/>
              <w:jc w:val="left"/>
            </w:pPr>
            <w:r/>
            <w:r>
              <w:rPr>
                <w:rFonts w:ascii="Times New Roman" w:hAnsi="Times New Roman"/>
                <w:sz w:val="22"/>
              </w:rPr>
              <w:t>StratifiedGroupKFold (5 folds, shuffle, random_state = 42) on 32,732 mine-years, fold 0 as test; 5-fold StratifiedGroupKFold on the training rows as validation</w:t>
            </w:r>
          </w:p>
        </w:tc>
        <w:tc>
          <w:tcPr>
            <w:tcW w:type="dxa" w:w="2326"/>
          </w:tcPr>
          <w:p>
            <w:pPr>
              <w:spacing w:after="0"/>
              <w:jc w:val="left"/>
            </w:pPr>
            <w:r/>
            <w:r>
              <w:rPr>
                <w:rFonts w:ascii="Times New Roman" w:hAnsi="Times New Roman"/>
                <w:sz w:val="22"/>
              </w:rPr>
              <w:t>No mine-year or same-day group crosses the split; prevalence 48.6% in both train and test</w:t>
            </w:r>
          </w:p>
        </w:tc>
        <w:tc>
          <w:tcPr>
            <w:tcW w:type="dxa" w:w="2326"/>
          </w:tcPr>
          <w:p>
            <w:pPr>
              <w:spacing w:after="0"/>
              <w:jc w:val="left"/>
            </w:pPr>
            <w:r/>
            <w:r>
              <w:rPr>
                <w:rFonts w:ascii="Times New Roman" w:hAnsi="Times New Roman"/>
                <w:sz w:val="22"/>
              </w:rPr>
              <w:t>Train 81,289 x 55; test 20,320 x 55 (6,724 mine-years)</w:t>
            </w:r>
          </w:p>
        </w:tc>
      </w:tr>
      <w:tr>
        <w:tc>
          <w:tcPr>
            <w:tcW w:type="dxa" w:w="2326"/>
          </w:tcPr>
          <w:p>
            <w:pPr>
              <w:spacing w:after="0"/>
              <w:jc w:val="left"/>
            </w:pPr>
            <w:r/>
            <w:r>
              <w:rPr>
                <w:rFonts w:ascii="Times New Roman" w:hAnsi="Times New Roman"/>
                <w:sz w:val="22"/>
              </w:rPr>
              <w:t>10 Class balance</w:t>
            </w:r>
          </w:p>
        </w:tc>
        <w:tc>
          <w:tcPr>
            <w:tcW w:type="dxa" w:w="2326"/>
          </w:tcPr>
          <w:p>
            <w:pPr>
              <w:spacing w:after="0"/>
              <w:jc w:val="left"/>
            </w:pPr>
            <w:r/>
            <w:r>
              <w:rPr>
                <w:rFonts w:ascii="Times New Roman" w:hAnsi="Times New Roman"/>
                <w:sz w:val="22"/>
              </w:rPr>
              <w:t>Training prevalence 48.6%; negative to positive 1.058 on all rows</w:t>
            </w:r>
          </w:p>
        </w:tc>
        <w:tc>
          <w:tcPr>
            <w:tcW w:type="dxa" w:w="2326"/>
          </w:tcPr>
          <w:p>
            <w:pPr>
              <w:spacing w:after="0"/>
              <w:jc w:val="left"/>
            </w:pPr>
            <w:r/>
            <w:r>
              <w:rPr>
                <w:rFonts w:ascii="Times New Roman" w:hAnsi="Times New Roman"/>
                <w:sz w:val="22"/>
              </w:rPr>
              <w:t>None; class_weight; random under- or over-sampling; SMOTE inside folds; threshold tuning</w:t>
            </w:r>
          </w:p>
        </w:tc>
        <w:tc>
          <w:tcPr>
            <w:tcW w:type="dxa" w:w="2326"/>
          </w:tcPr>
          <w:p>
            <w:pPr>
              <w:spacing w:after="0"/>
              <w:jc w:val="left"/>
            </w:pPr>
            <w:r/>
            <w:r>
              <w:rPr>
                <w:rFonts w:ascii="Times New Roman" w:hAnsi="Times New Roman"/>
                <w:sz w:val="22"/>
              </w:rPr>
              <w:t>No resampling; class_weight in the logistic-regression grid; threshold tuned on out-of-fold probabilities; test set untouched</w:t>
            </w:r>
          </w:p>
        </w:tc>
        <w:tc>
          <w:tcPr>
            <w:tcW w:type="dxa" w:w="2326"/>
          </w:tcPr>
          <w:p>
            <w:pPr>
              <w:spacing w:after="0"/>
              <w:jc w:val="left"/>
            </w:pPr>
            <w:r/>
            <w:r>
              <w:rPr>
                <w:rFonts w:ascii="Times New Roman" w:hAnsi="Times New Roman"/>
                <w:sz w:val="22"/>
              </w:rPr>
              <w:t>Near balance; resampling distorts the probabilities used by the cost threshold</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11 Missing values</w:t>
            </w:r>
          </w:p>
        </w:tc>
        <w:tc>
          <w:tcPr>
            <w:tcW w:type="dxa" w:w="2326"/>
          </w:tcPr>
          <w:p>
            <w:pPr>
              <w:spacing w:after="0"/>
              <w:jc w:val="left"/>
            </w:pPr>
            <w:r/>
            <w:r>
              <w:rPr>
                <w:rFonts w:ascii="Times New Roman" w:hAnsi="Times New Roman"/>
                <w:sz w:val="22"/>
              </w:rPr>
              <w:t>Missing on training rows: TOT_EXPER 1.2%, JOB_EXPER 4.5% (after E1), hours_into_shift 3.8%, previous-year exposure 1.2%, prev_lost_time_share 19.8%, coordinates 0.2%; structural placeholders 53.9-66.6%; lost-time 59.3% when TOT_EXPER is blank vs 48.5% when recorded; TOT_EXPER blank on 2.2% of 2010 rows and under 1% from 2017 onwards</w:t>
            </w:r>
          </w:p>
        </w:tc>
        <w:tc>
          <w:tcPr>
            <w:tcW w:type="dxa" w:w="2326"/>
          </w:tcPr>
          <w:p>
            <w:pPr>
              <w:spacing w:after="0"/>
              <w:jc w:val="left"/>
            </w:pPr>
            <w:r/>
            <w:r>
              <w:rPr>
                <w:rFonts w:ascii="Times New Roman" w:hAnsi="Times New Roman"/>
                <w:sz w:val="22"/>
              </w:rPr>
              <w:t>Listwise deletion; mean; median; most_frequent; KNNImputer; IterativeImputer; add_indicator</w:t>
            </w:r>
          </w:p>
        </w:tc>
        <w:tc>
          <w:tcPr>
            <w:tcW w:type="dxa" w:w="2326"/>
          </w:tcPr>
          <w:p>
            <w:pPr>
              <w:spacing w:after="0"/>
              <w:jc w:val="left"/>
            </w:pPr>
            <w:r/>
            <w:r>
              <w:rPr>
                <w:rFonts w:ascii="Times New Roman" w:hAnsi="Times New Roman"/>
                <w:sz w:val="22"/>
              </w:rPr>
              <w:t>SimpleImputer(median) for numerics; seven explicit indicator flags; level "none" for structural placeholders; constant level "missing" for other categorical gaps</w:t>
            </w:r>
          </w:p>
        </w:tc>
        <w:tc>
          <w:tcPr>
            <w:tcW w:type="dxa" w:w="2326"/>
          </w:tcPr>
          <w:p>
            <w:pPr>
              <w:spacing w:after="0"/>
              <w:jc w:val="left"/>
            </w:pPr>
            <w:r/>
            <w:r>
              <w:rPr>
                <w:rFonts w:ascii="Times New Roman" w:hAnsi="Times New Roman"/>
                <w:sz w:val="22"/>
              </w:rPr>
              <w:t>Skewed columns; not MCAR; built-in indicators would repeat one flag six times</w:t>
            </w:r>
          </w:p>
        </w:tc>
        <w:tc>
          <w:tcPr>
            <w:tcW w:type="dxa" w:w="2326"/>
          </w:tcPr>
          <w:p>
            <w:pPr>
              <w:spacing w:after="0"/>
              <w:jc w:val="left"/>
            </w:pPr>
            <w:r/>
            <w:r>
              <w:rPr>
                <w:rFonts w:ascii="Times New Roman" w:hAnsi="Times New Roman"/>
                <w:sz w:val="22"/>
              </w:rPr>
              <w:t>81,289 x 55, no NaN</w:t>
            </w:r>
          </w:p>
        </w:tc>
      </w:tr>
      <w:tr>
        <w:tc>
          <w:tcPr>
            <w:tcW w:type="dxa" w:w="2326"/>
          </w:tcPr>
          <w:p>
            <w:pPr>
              <w:spacing w:after="0"/>
              <w:jc w:val="left"/>
            </w:pPr>
            <w:r/>
            <w:r>
              <w:rPr>
                <w:rFonts w:ascii="Times New Roman" w:hAnsi="Times New Roman"/>
                <w:sz w:val="22"/>
              </w:rPr>
              <w:t>12 Outliers and skew</w:t>
            </w:r>
          </w:p>
        </w:tc>
        <w:tc>
          <w:tcPr>
            <w:tcW w:type="dxa" w:w="2326"/>
          </w:tcPr>
          <w:p>
            <w:pPr>
              <w:spacing w:after="0"/>
              <w:jc w:val="left"/>
            </w:pPr>
            <w:r/>
            <w:r>
              <w:rPr>
                <w:rFonts w:ascii="Times New Roman" w:hAnsi="Times New Roman"/>
                <w:sz w:val="22"/>
              </w:rPr>
              <w:t>Skewness TOT_EXPER 1.37, prev_hours 4.27; TOT_EXPER flagged by IQR fences 4,020 (5.0%) vs Z-score 714 (0.9%); prev_hours 3,872 (4.8%) vs 1,454 (1.8%)</w:t>
            </w:r>
          </w:p>
        </w:tc>
        <w:tc>
          <w:tcPr>
            <w:tcW w:type="dxa" w:w="2326"/>
          </w:tcPr>
          <w:p>
            <w:pPr>
              <w:spacing w:after="0"/>
              <w:jc w:val="left"/>
            </w:pPr>
            <w:r/>
            <w:r>
              <w:rPr>
                <w:rFonts w:ascii="Times New Roman" w:hAnsi="Times New Roman"/>
                <w:sz w:val="22"/>
              </w:rPr>
              <w:t>IQR clip; Z-score clip; log1p; keep</w:t>
            </w:r>
          </w:p>
        </w:tc>
        <w:tc>
          <w:tcPr>
            <w:tcW w:type="dxa" w:w="2326"/>
          </w:tcPr>
          <w:p>
            <w:pPr>
              <w:spacing w:after="0"/>
              <w:jc w:val="left"/>
            </w:pPr>
            <w:r/>
            <w:r>
              <w:rPr>
                <w:rFonts w:ascii="Times New Roman" w:hAnsi="Times New Roman"/>
                <w:sz w:val="22"/>
              </w:rPr>
              <w:t>Keep values; add log1p of both (log1p TOT_EXPER flags 0 under both rules); clipping as an application option</w:t>
            </w:r>
          </w:p>
        </w:tc>
        <w:tc>
          <w:tcPr>
            <w:tcW w:type="dxa" w:w="2326"/>
          </w:tcPr>
          <w:p>
            <w:pPr>
              <w:spacing w:after="0"/>
              <w:jc w:val="left"/>
            </w:pPr>
            <w:r/>
            <w:r>
              <w:rPr>
                <w:rFonts w:ascii="Times New Roman" w:hAnsi="Times New Roman"/>
                <w:sz w:val="22"/>
              </w:rPr>
              <w:t>Flagged values are real veterans and large mines; impossible values handled by E3 and E25</w:t>
            </w:r>
          </w:p>
        </w:tc>
        <w:tc>
          <w:tcPr>
            <w:tcW w:type="dxa" w:w="2326"/>
          </w:tcPr>
          <w:p>
            <w:pPr>
              <w:spacing w:after="0"/>
              <w:jc w:val="left"/>
            </w:pPr>
            <w:r/>
            <w:r>
              <w:rPr>
                <w:rFonts w:ascii="Times New Roman" w:hAnsi="Times New Roman"/>
                <w:sz w:val="22"/>
              </w:rPr>
              <w:t>81,289 x 55</w:t>
            </w:r>
          </w:p>
        </w:tc>
      </w:tr>
      <w:tr>
        <w:tc>
          <w:tcPr>
            <w:tcW w:type="dxa" w:w="2326"/>
          </w:tcPr>
          <w:p>
            <w:pPr>
              <w:spacing w:after="0"/>
              <w:jc w:val="left"/>
            </w:pPr>
            <w:r/>
            <w:r>
              <w:rPr>
                <w:rFonts w:ascii="Times New Roman" w:hAnsi="Times New Roman"/>
                <w:sz w:val="22"/>
              </w:rPr>
              <w:t>13 Encoding</w:t>
            </w:r>
          </w:p>
        </w:tc>
        <w:tc>
          <w:tcPr>
            <w:tcW w:type="dxa" w:w="2326"/>
          </w:tcPr>
          <w:p>
            <w:pPr>
              <w:spacing w:after="0"/>
              <w:jc w:val="left"/>
            </w:pPr>
            <w:r/>
            <w:r>
              <w:rPr>
                <w:rFonts w:ascii="Times New Roman" w:hAnsi="Times New Roman"/>
                <w:sz w:val="22"/>
              </w:rPr>
              <w:t>23 nominal features; OCCUPATION 193 titles, EQUIP_MFR_NAME 132, INJURY_SOURCE_CD 124 on training rows; unseen levels possible at inference</w:t>
            </w:r>
          </w:p>
        </w:tc>
        <w:tc>
          <w:tcPr>
            <w:tcW w:type="dxa" w:w="2326"/>
          </w:tcPr>
          <w:p>
            <w:pPr>
              <w:spacing w:after="0"/>
              <w:jc w:val="left"/>
            </w:pPr>
            <w:r/>
            <w:r>
              <w:rPr>
                <w:rFonts w:ascii="Times New Roman" w:hAnsi="Times New Roman"/>
                <w:sz w:val="22"/>
              </w:rPr>
              <w:t>One-hot; ordinal; target encoding; label encoding</w:t>
            </w:r>
          </w:p>
        </w:tc>
        <w:tc>
          <w:tcPr>
            <w:tcW w:type="dxa" w:w="2326"/>
          </w:tcPr>
          <w:p>
            <w:pPr>
              <w:spacing w:after="0"/>
              <w:jc w:val="left"/>
            </w:pPr>
            <w:r/>
            <w:r>
              <w:rPr>
                <w:rFonts w:ascii="Times New Roman" w:hAnsi="Times New Roman"/>
                <w:sz w:val="22"/>
              </w:rPr>
              <w:t>OneHotEncoder(handle_unknown="infrequent_if_exist", min_frequency=0.001); OrdinalEncoder as application option; label encoding for the target only</w:t>
            </w:r>
          </w:p>
        </w:tc>
        <w:tc>
          <w:tcPr>
            <w:tcW w:type="dxa" w:w="2326"/>
          </w:tcPr>
          <w:p>
            <w:pPr>
              <w:spacing w:after="0"/>
              <w:jc w:val="left"/>
            </w:pPr>
            <w:r/>
            <w:r>
              <w:rPr>
                <w:rFonts w:ascii="Times New Roman" w:hAnsi="Times New Roman"/>
                <w:sz w:val="22"/>
              </w:rPr>
              <w:t>No false order; levels below about 81 training rows and unseen levels pooled</w:t>
            </w:r>
          </w:p>
        </w:tc>
        <w:tc>
          <w:tcPr>
            <w:tcW w:type="dxa" w:w="2326"/>
          </w:tcPr>
          <w:p>
            <w:pPr>
              <w:spacing w:after="0"/>
              <w:jc w:val="left"/>
            </w:pPr>
            <w:r/>
            <w:r>
              <w:rPr>
                <w:rFonts w:ascii="Times New Roman" w:hAnsi="Times New Roman"/>
                <w:sz w:val="22"/>
              </w:rPr>
              <w:t>81,289 x 552</w:t>
            </w:r>
          </w:p>
        </w:tc>
      </w:tr>
      <w:tr>
        <w:tc>
          <w:tcPr>
            <w:tcW w:type="dxa" w:w="2326"/>
          </w:tcPr>
          <w:p>
            <w:pPr>
              <w:spacing w:after="0"/>
              <w:jc w:val="left"/>
            </w:pPr>
            <w:r/>
            <w:r>
              <w:rPr>
                <w:rFonts w:ascii="Times New Roman" w:hAnsi="Times New Roman"/>
                <w:sz w:val="22"/>
              </w:rPr>
              <w:t>14 Scaling</w:t>
            </w:r>
          </w:p>
        </w:tc>
        <w:tc>
          <w:tcPr>
            <w:tcW w:type="dxa" w:w="2326"/>
          </w:tcPr>
          <w:p>
            <w:pPr>
              <w:spacing w:after="0"/>
              <w:jc w:val="left"/>
            </w:pPr>
            <w:r/>
            <w:r>
              <w:rPr>
                <w:rFonts w:ascii="Times New Roman" w:hAnsi="Times New Roman"/>
                <w:sz w:val="22"/>
              </w:rPr>
              <w:t>prev_hours from 1 to 7,735,308 h (median 246,979); experience 0.02 to 60 years</w:t>
            </w:r>
          </w:p>
        </w:tc>
        <w:tc>
          <w:tcPr>
            <w:tcW w:type="dxa" w:w="2326"/>
          </w:tcPr>
          <w:p>
            <w:pPr>
              <w:spacing w:after="0"/>
              <w:jc w:val="left"/>
            </w:pPr>
            <w:r/>
            <w:r>
              <w:rPr>
                <w:rFonts w:ascii="Times New Roman" w:hAnsi="Times New Roman"/>
                <w:sz w:val="22"/>
              </w:rPr>
              <w:t>StandardScaler; MinMaxScaler; RobustScaler; Normalizer; none</w:t>
            </w:r>
          </w:p>
        </w:tc>
        <w:tc>
          <w:tcPr>
            <w:tcW w:type="dxa" w:w="2326"/>
          </w:tcPr>
          <w:p>
            <w:pPr>
              <w:spacing w:after="0"/>
              <w:jc w:val="left"/>
            </w:pPr>
            <w:r/>
            <w:r>
              <w:rPr>
                <w:rFonts w:ascii="Times New Roman" w:hAnsi="Times New Roman"/>
                <w:sz w:val="22"/>
              </w:rPr>
              <w:t>StandardScaler for logistic regression, KNN, SVM, MLP and Gaussian naive Bayes; none for decision tree, random forest and histogram-based gradient boosting</w:t>
            </w:r>
          </w:p>
        </w:tc>
        <w:tc>
          <w:tcPr>
            <w:tcW w:type="dxa" w:w="2326"/>
          </w:tcPr>
          <w:p>
            <w:pPr>
              <w:spacing w:after="0"/>
              <w:jc w:val="left"/>
            </w:pPr>
            <w:r/>
            <w:r>
              <w:rPr>
                <w:rFonts w:ascii="Times New Roman" w:hAnsi="Times New Roman"/>
                <w:sz w:val="22"/>
              </w:rPr>
              <w:t>Distance, gradient and variance-based models need comparable scales; tree splits are invariant to monotone rescaling</w:t>
            </w:r>
          </w:p>
        </w:tc>
        <w:tc>
          <w:tcPr>
            <w:tcW w:type="dxa" w:w="2326"/>
          </w:tcPr>
          <w:p>
            <w:pPr>
              <w:spacing w:after="0"/>
              <w:jc w:val="left"/>
            </w:pPr>
            <w:r/>
            <w:r>
              <w:rPr>
                <w:rFonts w:ascii="Times New Roman" w:hAnsi="Times New Roman"/>
                <w:sz w:val="22"/>
              </w:rPr>
              <w:t>81,289 x 552</w:t>
            </w:r>
          </w:p>
        </w:tc>
      </w:tr>
    </w:tbl>
    <w:p>
      <w:pPr>
        <w:spacing w:after="80"/>
      </w:pPr>
    </w:p>
    <w:p>
      <w:pPr>
        <w:sectPr>
          <w:pgSz w:w="16838" w:h="11906" w:orient="landscape"/>
          <w:pgMar w:top="1440" w:right="1440" w:bottom="1440" w:left="1440" w:header="720" w:footer="720" w:gutter="0"/>
          <w:cols w:space="720"/>
          <w:docGrid w:linePitch="360"/>
        </w:sectPr>
      </w:pPr>
    </w:p>
    <w:p>
      <w:pPr>
        <w:pStyle w:val="Heading1"/>
      </w:pPr>
      <w:r>
        <w:rPr>
          <w:rFonts w:ascii="Times New Roman" w:hAnsi="Times New Roman"/>
          <w:b/>
          <w:color w:val="000000"/>
          <w:sz w:val="32"/>
        </w:rPr>
        <w:t>4 Modelling</w:t>
      </w:r>
    </w:p>
    <w:p>
      <w:pPr>
        <w:pStyle w:val="Heading2"/>
      </w:pPr>
      <w:r>
        <w:rPr>
          <w:rFonts w:ascii="Times New Roman" w:hAnsi="Times New Roman"/>
          <w:b/>
          <w:color w:val="000000"/>
          <w:sz w:val="28"/>
        </w:rPr>
        <w:t>4.1 Summary</w:t>
      </w:r>
    </w:p>
    <w:p>
      <w:r>
        <w:rPr>
          <w:rFonts w:ascii="Times New Roman" w:hAnsi="Times New Roman"/>
          <w:sz w:val="24"/>
        </w:rPr>
        <w:t>The task is supervised binary classification of each Form 7000-1 report as lost-time or not, with a probability that ranks the adjuster's review queue. Eight algorithms were compared on the same split and fold scheme (Table 9): logistic regression, KNN, Gaussian naive Bayes, a decision tree, a random forest, histogram-based gradient boosting (HGB), an SVM with a radial basis function (RBF) kernel and an MLP. Each was tuned by GridSearchCV, or RandomizedSearchCV for the forest, over five StratifiedGroupKFold folds of mine-year groups inside the training split. PR-AUC, computed as average precision, was the primary metric and the refit criterion (Table 10). Decision thresholds were then fixed on out-of-fold probabilities, so the test set was scored once. HGB ranked first in cross-validation (Table 11) and on the test set (Table 12), with a test PR-AUC of 0.841. At its capacity threshold it flags about three reports in four and finds 0.943 of lost-time cases with a precision of 0.599 (Table 13; Table 16). It passes five of the six performance criteria and misses recall at half capacity by a small margin (Table 17).</w:t>
      </w:r>
    </w:p>
    <w:p>
      <w:pPr>
        <w:pStyle w:val="Heading2"/>
      </w:pPr>
      <w:r>
        <w:rPr>
          <w:rFonts w:ascii="Times New Roman" w:hAnsi="Times New Roman"/>
          <w:b/>
          <w:color w:val="000000"/>
          <w:sz w:val="28"/>
        </w:rPr>
        <w:t>4.2 Algorithm selection</w:t>
      </w:r>
    </w:p>
    <w:p>
      <w:r>
        <w:rPr>
          <w:rFonts w:ascii="Times New Roman" w:hAnsi="Times New Roman"/>
          <w:sz w:val="24"/>
        </w:rPr>
        <w:t>Encoding yields 552 columns, mostly zero-valued one-hot indicators beside skewed numeric and binary features (Table 8). Size relations are monotone but curved and collinear (Table 7). Nominal codes lead the associations, and the classes are near balance. An adjuster needs a reason for every flag and the application scores forms on demand, so interpretability and speed also counted (Table 9).</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2"/>
              </w:rPr>
              <w:t>Algorithm</w:t>
            </w:r>
          </w:p>
        </w:tc>
        <w:tc>
          <w:tcPr>
            <w:tcW w:type="dxa" w:w="1289"/>
            <w:shd w:val="clear" w:color="auto" w:fill="E7E6E6"/>
          </w:tcPr>
          <w:p>
            <w:pPr>
              <w:jc w:val="left"/>
            </w:pPr>
            <w:r>
              <w:rPr>
                <w:b/>
              </w:rPr>
            </w:r>
            <w:r>
              <w:rPr>
                <w:rFonts w:ascii="Times New Roman" w:hAnsi="Times New Roman"/>
                <w:b/>
                <w:sz w:val="22"/>
              </w:rPr>
              <w:t>Paradigm</w:t>
            </w:r>
          </w:p>
        </w:tc>
        <w:tc>
          <w:tcPr>
            <w:tcW w:type="dxa" w:w="1289"/>
            <w:shd w:val="clear" w:color="auto" w:fill="E7E6E6"/>
          </w:tcPr>
          <w:p>
            <w:pPr>
              <w:jc w:val="left"/>
            </w:pPr>
            <w:r>
              <w:rPr>
                <w:b/>
              </w:rPr>
            </w:r>
            <w:r>
              <w:rPr>
                <w:rFonts w:ascii="Times New Roman" w:hAnsi="Times New Roman"/>
                <w:b/>
                <w:sz w:val="22"/>
              </w:rPr>
              <w:t>Key assumption</w:t>
            </w:r>
          </w:p>
        </w:tc>
        <w:tc>
          <w:tcPr>
            <w:tcW w:type="dxa" w:w="1289"/>
            <w:shd w:val="clear" w:color="auto" w:fill="E7E6E6"/>
          </w:tcPr>
          <w:p>
            <w:pPr>
              <w:jc w:val="left"/>
            </w:pPr>
            <w:r>
              <w:rPr>
                <w:b/>
              </w:rPr>
            </w:r>
            <w:r>
              <w:rPr>
                <w:rFonts w:ascii="Times New Roman" w:hAnsi="Times New Roman"/>
                <w:b/>
                <w:sz w:val="22"/>
              </w:rPr>
              <w:t>Violation in this data and resulting bias</w:t>
            </w:r>
          </w:p>
        </w:tc>
        <w:tc>
          <w:tcPr>
            <w:tcW w:type="dxa" w:w="1289"/>
            <w:shd w:val="clear" w:color="auto" w:fill="E7E6E6"/>
          </w:tcPr>
          <w:p>
            <w:pPr>
              <w:jc w:val="left"/>
            </w:pPr>
            <w:r>
              <w:rPr>
                <w:b/>
              </w:rPr>
            </w:r>
            <w:r>
              <w:rPr>
                <w:rFonts w:ascii="Times New Roman" w:hAnsi="Times New Roman"/>
                <w:b/>
                <w:sz w:val="22"/>
              </w:rPr>
              <w:t>Scaling</w:t>
            </w:r>
          </w:p>
        </w:tc>
        <w:tc>
          <w:tcPr>
            <w:tcW w:type="dxa" w:w="1289"/>
            <w:shd w:val="clear" w:color="auto" w:fill="E7E6E6"/>
          </w:tcPr>
          <w:p>
            <w:pPr>
              <w:jc w:val="left"/>
            </w:pPr>
            <w:r>
              <w:rPr>
                <w:b/>
              </w:rPr>
            </w:r>
            <w:r>
              <w:rPr>
                <w:rFonts w:ascii="Times New Roman" w:hAnsi="Times New Roman"/>
                <w:b/>
                <w:sz w:val="22"/>
              </w:rPr>
              <w:t>Interpretability</w:t>
            </w:r>
          </w:p>
        </w:tc>
        <w:tc>
          <w:tcPr>
            <w:tcW w:type="dxa" w:w="1289"/>
            <w:shd w:val="clear" w:color="auto" w:fill="E7E6E6"/>
          </w:tcPr>
          <w:p>
            <w:pPr>
              <w:jc w:val="left"/>
            </w:pPr>
            <w:r>
              <w:rPr>
                <w:b/>
              </w:rPr>
            </w:r>
            <w:r>
              <w:rPr>
                <w:rFonts w:ascii="Times New Roman" w:hAnsi="Times New Roman"/>
                <w:b/>
                <w:sz w:val="22"/>
              </w:rPr>
              <w:t>Taught week</w:t>
            </w:r>
          </w:p>
        </w:tc>
      </w:tr>
      <w:tr>
        <w:tc>
          <w:tcPr>
            <w:tcW w:type="dxa" w:w="1289"/>
          </w:tcPr>
          <w:p>
            <w:pPr>
              <w:spacing w:after="0"/>
              <w:jc w:val="left"/>
            </w:pPr>
            <w:r/>
            <w:r>
              <w:rPr>
                <w:rFonts w:ascii="Times New Roman" w:hAnsi="Times New Roman"/>
                <w:sz w:val="22"/>
              </w:rPr>
              <w:t>Logistic regression</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log-odds linear and additive in the encoded columns</w:t>
            </w:r>
          </w:p>
        </w:tc>
        <w:tc>
          <w:tcPr>
            <w:tcW w:type="dxa" w:w="1289"/>
          </w:tcPr>
          <w:p>
            <w:pPr>
              <w:spacing w:after="0"/>
              <w:jc w:val="left"/>
            </w:pPr>
            <w:r/>
            <w:r>
              <w:rPr>
                <w:rFonts w:ascii="Times New Roman" w:hAnsi="Times New Roman"/>
                <w:sz w:val="22"/>
              </w:rPr>
              <w:t>curved size effects (Pearson r 0.645 against Spearman 0.994) and nature x body part interactions; underfits (high bias)</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high: coefficients convert to odds ratios</w:t>
            </w:r>
          </w:p>
        </w:tc>
        <w:tc>
          <w:tcPr>
            <w:tcW w:type="dxa" w:w="1289"/>
          </w:tcPr>
          <w:p>
            <w:pPr>
              <w:spacing w:after="0"/>
              <w:jc w:val="left"/>
            </w:pPr>
            <w:r/>
            <w:r>
              <w:rPr>
                <w:rFonts w:ascii="Times New Roman" w:hAnsi="Times New Roman"/>
                <w:sz w:val="22"/>
              </w:rPr>
              <w:t>4</w:t>
            </w:r>
          </w:p>
        </w:tc>
      </w:tr>
      <w:tr>
        <w:tc>
          <w:tcPr>
            <w:tcW w:type="dxa" w:w="1289"/>
          </w:tcPr>
          <w:p>
            <w:pPr>
              <w:spacing w:after="0"/>
              <w:jc w:val="left"/>
            </w:pPr>
            <w:r/>
            <w:r>
              <w:rPr>
                <w:rFonts w:ascii="Times New Roman" w:hAnsi="Times New Roman"/>
                <w:sz w:val="22"/>
              </w:rPr>
              <w:t>KNN</w:t>
            </w:r>
          </w:p>
        </w:tc>
        <w:tc>
          <w:tcPr>
            <w:tcW w:type="dxa" w:w="1289"/>
          </w:tcPr>
          <w:p>
            <w:pPr>
              <w:spacing w:after="0"/>
              <w:jc w:val="left"/>
            </w:pPr>
            <w:r/>
            <w:r>
              <w:rPr>
                <w:rFonts w:ascii="Times New Roman" w:hAnsi="Times New Roman"/>
                <w:sz w:val="22"/>
              </w:rPr>
              <w:t>non-parametric; discriminative; lazy (instance-based)</w:t>
            </w:r>
          </w:p>
        </w:tc>
        <w:tc>
          <w:tcPr>
            <w:tcW w:type="dxa" w:w="1289"/>
          </w:tcPr>
          <w:p>
            <w:pPr>
              <w:spacing w:after="0"/>
              <w:jc w:val="left"/>
            </w:pPr>
            <w:r/>
            <w:r>
              <w:rPr>
                <w:rFonts w:ascii="Times New Roman" w:hAnsi="Times New Roman"/>
                <w:sz w:val="22"/>
              </w:rPr>
              <w:t>rows close in scaled Euclidean space share outcomes</w:t>
            </w:r>
          </w:p>
        </w:tc>
        <w:tc>
          <w:tcPr>
            <w:tcW w:type="dxa" w:w="1289"/>
          </w:tcPr>
          <w:p>
            <w:pPr>
              <w:spacing w:after="0"/>
              <w:jc w:val="left"/>
            </w:pPr>
            <w:r/>
            <w:r>
              <w:rPr>
                <w:rFonts w:ascii="Times New Roman" w:hAnsi="Times New Roman"/>
                <w:sz w:val="22"/>
              </w:rPr>
              <w:t>552 mostly binary dimensions flatten distances, so votes drift towards the local base rate</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a flag is explained only by similar past reports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Gaussian naive Bayes</w:t>
            </w:r>
          </w:p>
        </w:tc>
        <w:tc>
          <w:tcPr>
            <w:tcW w:type="dxa" w:w="1289"/>
          </w:tcPr>
          <w:p>
            <w:pPr>
              <w:spacing w:after="0"/>
              <w:jc w:val="left"/>
            </w:pPr>
            <w:r/>
            <w:r>
              <w:rPr>
                <w:rFonts w:ascii="Times New Roman" w:hAnsi="Times New Roman"/>
                <w:sz w:val="22"/>
              </w:rPr>
              <w:t>parametric; generative; eager</w:t>
            </w:r>
          </w:p>
        </w:tc>
        <w:tc>
          <w:tcPr>
            <w:tcW w:type="dxa" w:w="1289"/>
          </w:tcPr>
          <w:p>
            <w:pPr>
              <w:spacing w:after="0"/>
              <w:jc w:val="left"/>
            </w:pPr>
            <w:r/>
            <w:r>
              <w:rPr>
                <w:rFonts w:ascii="Times New Roman" w:hAnsi="Times New Roman"/>
                <w:sz w:val="22"/>
              </w:rPr>
              <w:t>features independent given the class, each Gaussian within a class</w:t>
            </w:r>
          </w:p>
        </w:tc>
        <w:tc>
          <w:tcPr>
            <w:tcW w:type="dxa" w:w="1289"/>
          </w:tcPr>
          <w:p>
            <w:pPr>
              <w:spacing w:after="0"/>
              <w:jc w:val="left"/>
            </w:pPr>
            <w:r/>
            <w:r>
              <w:rPr>
                <w:rFonts w:ascii="Times New Roman" w:hAnsi="Times New Roman"/>
                <w:sz w:val="22"/>
              </w:rPr>
              <w:t>collinear size measures (VIF above 160) and nine highly skewed numeric features; evidence counted twice, overconfident posteriors</w:t>
            </w:r>
          </w:p>
        </w:tc>
        <w:tc>
          <w:tcPr>
            <w:tcW w:type="dxa" w:w="1289"/>
          </w:tcPr>
          <w:p>
            <w:pPr>
              <w:spacing w:after="0"/>
              <w:jc w:val="left"/>
            </w:pPr>
            <w:r/>
            <w:r>
              <w:rPr>
                <w:rFonts w:ascii="Times New Roman" w:hAnsi="Times New Roman"/>
                <w:sz w:val="22"/>
              </w:rPr>
              <w:t>StandardScaler (var_smoothing is relative to the largest variance)</w:t>
            </w:r>
          </w:p>
        </w:tc>
        <w:tc>
          <w:tcPr>
            <w:tcW w:type="dxa" w:w="1289"/>
          </w:tcPr>
          <w:p>
            <w:pPr>
              <w:spacing w:after="0"/>
              <w:jc w:val="left"/>
            </w:pPr>
            <w:r/>
            <w:r>
              <w:rPr>
                <w:rFonts w:ascii="Times New Roman" w:hAnsi="Times New Roman"/>
                <w:sz w:val="22"/>
              </w:rPr>
              <w:t>medium: class-conditional means</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Decision tree (CART)</w:t>
            </w:r>
          </w:p>
        </w:tc>
        <w:tc>
          <w:tcPr>
            <w:tcW w:type="dxa" w:w="1289"/>
          </w:tcPr>
          <w:p>
            <w:pPr>
              <w:spacing w:after="0"/>
              <w:jc w:val="left"/>
            </w:pPr>
            <w:r/>
            <w:r>
              <w:rPr>
                <w:rFonts w:ascii="Times New Roman" w:hAnsi="Times New Roman"/>
                <w:sz w:val="22"/>
              </w:rPr>
              <w:t>non-parametric; discriminative; eager</w:t>
            </w:r>
          </w:p>
        </w:tc>
        <w:tc>
          <w:tcPr>
            <w:tcW w:type="dxa" w:w="1289"/>
          </w:tcPr>
          <w:p>
            <w:pPr>
              <w:spacing w:after="0"/>
              <w:jc w:val="left"/>
            </w:pPr>
            <w:r/>
            <w:r>
              <w:rPr>
                <w:rFonts w:ascii="Times New Roman" w:hAnsi="Times New Roman"/>
                <w:sz w:val="22"/>
              </w:rPr>
              <w:t>classes separate in axis-aligned boxes</w:t>
            </w:r>
          </w:p>
        </w:tc>
        <w:tc>
          <w:tcPr>
            <w:tcW w:type="dxa" w:w="1289"/>
          </w:tcPr>
          <w:p>
            <w:pPr>
              <w:spacing w:after="0"/>
              <w:jc w:val="left"/>
            </w:pPr>
            <w:r/>
            <w:r>
              <w:rPr>
                <w:rFonts w:ascii="Times New Roman" w:hAnsi="Times New Roman"/>
                <w:sz w:val="22"/>
              </w:rPr>
              <w:t>curved effects need many steps; greedy splits give high variance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high when shallow: if-then rules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Random forest</w:t>
            </w:r>
          </w:p>
        </w:tc>
        <w:tc>
          <w:tcPr>
            <w:tcW w:type="dxa" w:w="1289"/>
          </w:tcPr>
          <w:p>
            <w:pPr>
              <w:spacing w:after="0"/>
              <w:jc w:val="left"/>
            </w:pPr>
            <w:r/>
            <w:r>
              <w:rPr>
                <w:rFonts w:ascii="Times New Roman" w:hAnsi="Times New Roman"/>
                <w:sz w:val="22"/>
              </w:rPr>
              <w:t>non-parametric bagging ensemble; discriminative; eager</w:t>
            </w:r>
          </w:p>
        </w:tc>
        <w:tc>
          <w:tcPr>
            <w:tcW w:type="dxa" w:w="1289"/>
          </w:tcPr>
          <w:p>
            <w:pPr>
              <w:spacing w:after="0"/>
              <w:jc w:val="left"/>
            </w:pPr>
            <w:r/>
            <w:r>
              <w:rPr>
                <w:rFonts w:ascii="Times New Roman" w:hAnsi="Times New Roman"/>
                <w:sz w:val="22"/>
              </w:rPr>
              <w:t>averaging decorrelated deep trees cancels their variance</w:t>
            </w:r>
          </w:p>
        </w:tc>
        <w:tc>
          <w:tcPr>
            <w:tcW w:type="dxa" w:w="1289"/>
          </w:tcPr>
          <w:p>
            <w:pPr>
              <w:spacing w:after="0"/>
              <w:jc w:val="left"/>
            </w:pPr>
            <w:r/>
            <w:r>
              <w:rPr>
                <w:rFonts w:ascii="Times New Roman" w:hAnsi="Times New Roman"/>
                <w:sz w:val="22"/>
              </w:rPr>
              <w:t>few violations; averaged leaf frequencies pull probabilities towards the middle</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Histogram-based gradient boosting (HGB)</w:t>
            </w:r>
          </w:p>
        </w:tc>
        <w:tc>
          <w:tcPr>
            <w:tcW w:type="dxa" w:w="1289"/>
          </w:tcPr>
          <w:p>
            <w:pPr>
              <w:spacing w:after="0"/>
              <w:jc w:val="left"/>
            </w:pPr>
            <w:r/>
            <w:r>
              <w:rPr>
                <w:rFonts w:ascii="Times New Roman" w:hAnsi="Times New Roman"/>
                <w:sz w:val="22"/>
              </w:rPr>
              <w:t>non-parametric boosting ensemble; discriminative; eager</w:t>
            </w:r>
          </w:p>
        </w:tc>
        <w:tc>
          <w:tcPr>
            <w:tcW w:type="dxa" w:w="1289"/>
          </w:tcPr>
          <w:p>
            <w:pPr>
              <w:spacing w:after="0"/>
              <w:jc w:val="left"/>
            </w:pPr>
            <w:r/>
            <w:r>
              <w:rPr>
                <w:rFonts w:ascii="Times New Roman" w:hAnsi="Times New Roman"/>
                <w:sz w:val="22"/>
              </w:rPr>
              <w:t>log-odds is a sum of small trees on binned features</w:t>
            </w:r>
          </w:p>
        </w:tc>
        <w:tc>
          <w:tcPr>
            <w:tcW w:type="dxa" w:w="1289"/>
          </w:tcPr>
          <w:p>
            <w:pPr>
              <w:spacing w:after="0"/>
              <w:jc w:val="left"/>
            </w:pPr>
            <w:r/>
            <w:r>
              <w:rPr>
                <w:rFonts w:ascii="Times New Roman" w:hAnsi="Times New Roman"/>
                <w:sz w:val="22"/>
              </w:rPr>
              <w:t>rare levels pooled into one column; greedy binned splits; tied to the training-period mix of codes</w:t>
            </w:r>
          </w:p>
        </w:tc>
        <w:tc>
          <w:tcPr>
            <w:tcW w:type="dxa" w:w="1289"/>
          </w:tcPr>
          <w:p>
            <w:pPr>
              <w:spacing w:after="0"/>
              <w:jc w:val="left"/>
            </w:pPr>
            <w:r/>
            <w:r>
              <w:rPr>
                <w:rFonts w:ascii="Times New Roman" w:hAnsi="Times New Roman"/>
                <w:sz w:val="22"/>
              </w:rPr>
              <w:t>none</w:t>
            </w:r>
          </w:p>
        </w:tc>
        <w:tc>
          <w:tcPr>
            <w:tcW w:type="dxa" w:w="1289"/>
          </w:tcPr>
          <w:p>
            <w:pPr>
              <w:spacing w:after="0"/>
              <w:jc w:val="left"/>
            </w:pPr>
            <w:r/>
            <w:r>
              <w:rPr>
                <w:rFonts w:ascii="Times New Roman" w:hAnsi="Times New Roman"/>
                <w:sz w:val="22"/>
              </w:rPr>
              <w:t>medium: permutation importance and SHAP values</w:t>
            </w:r>
          </w:p>
        </w:tc>
        <w:tc>
          <w:tcPr>
            <w:tcW w:type="dxa" w:w="1289"/>
          </w:tcPr>
          <w:p>
            <w:pPr>
              <w:spacing w:after="0"/>
              <w:jc w:val="left"/>
            </w:pPr>
            <w:r/>
            <w:r>
              <w:rPr>
                <w:rFonts w:ascii="Times New Roman" w:hAnsi="Times New Roman"/>
                <w:sz w:val="22"/>
              </w:rPr>
              <w:t>6</w:t>
            </w:r>
          </w:p>
        </w:tc>
      </w:tr>
      <w:tr>
        <w:tc>
          <w:tcPr>
            <w:tcW w:type="dxa" w:w="1289"/>
          </w:tcPr>
          <w:p>
            <w:pPr>
              <w:spacing w:after="0"/>
              <w:jc w:val="left"/>
            </w:pPr>
            <w:r/>
            <w:r>
              <w:rPr>
                <w:rFonts w:ascii="Times New Roman" w:hAnsi="Times New Roman"/>
                <w:sz w:val="22"/>
              </w:rPr>
              <w:t>SVM, RBF kernel</w:t>
            </w:r>
          </w:p>
        </w:tc>
        <w:tc>
          <w:tcPr>
            <w:tcW w:type="dxa" w:w="1289"/>
          </w:tcPr>
          <w:p>
            <w:pPr>
              <w:spacing w:after="0"/>
              <w:jc w:val="left"/>
            </w:pPr>
            <w:r/>
            <w:r>
              <w:rPr>
                <w:rFonts w:ascii="Times New Roman" w:hAnsi="Times New Roman"/>
                <w:sz w:val="22"/>
              </w:rPr>
              <w:t>non-parametric (kernel); discriminative; eager</w:t>
            </w:r>
          </w:p>
        </w:tc>
        <w:tc>
          <w:tcPr>
            <w:tcW w:type="dxa" w:w="1289"/>
          </w:tcPr>
          <w:p>
            <w:pPr>
              <w:spacing w:after="0"/>
              <w:jc w:val="left"/>
            </w:pPr>
            <w:r/>
            <w:r>
              <w:rPr>
                <w:rFonts w:ascii="Times New Roman" w:hAnsi="Times New Roman"/>
                <w:sz w:val="22"/>
              </w:rPr>
              <w:t>a smooth wide-margin boundary in kernel space</w:t>
            </w:r>
          </w:p>
        </w:tc>
        <w:tc>
          <w:tcPr>
            <w:tcW w:type="dxa" w:w="1289"/>
          </w:tcPr>
          <w:p>
            <w:pPr>
              <w:spacing w:after="0"/>
              <w:jc w:val="left"/>
            </w:pPr>
            <w:r/>
            <w:r>
              <w:rPr>
                <w:rFonts w:ascii="Times New Roman" w:hAnsi="Times New Roman"/>
                <w:sz w:val="22"/>
              </w:rPr>
              <w:t>training cost at least quadratic in rows, so fitted on 10,000 rows; scores need Platt scaling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margin scores only</w:t>
            </w:r>
          </w:p>
        </w:tc>
        <w:tc>
          <w:tcPr>
            <w:tcW w:type="dxa" w:w="1289"/>
          </w:tcPr>
          <w:p>
            <w:pPr>
              <w:spacing w:after="0"/>
              <w:jc w:val="left"/>
            </w:pPr>
            <w:r/>
            <w:r>
              <w:rPr>
                <w:rFonts w:ascii="Times New Roman" w:hAnsi="Times New Roman"/>
                <w:sz w:val="22"/>
              </w:rPr>
              <w:t>5</w:t>
            </w:r>
          </w:p>
        </w:tc>
      </w:tr>
      <w:tr>
        <w:tc>
          <w:tcPr>
            <w:tcW w:type="dxa" w:w="1289"/>
          </w:tcPr>
          <w:p>
            <w:pPr>
              <w:spacing w:after="0"/>
              <w:jc w:val="left"/>
            </w:pPr>
            <w:r/>
            <w:r>
              <w:rPr>
                <w:rFonts w:ascii="Times New Roman" w:hAnsi="Times New Roman"/>
                <w:sz w:val="22"/>
              </w:rPr>
              <w:t>MLP</w:t>
            </w:r>
          </w:p>
        </w:tc>
        <w:tc>
          <w:tcPr>
            <w:tcW w:type="dxa" w:w="1289"/>
          </w:tcPr>
          <w:p>
            <w:pPr>
              <w:spacing w:after="0"/>
              <w:jc w:val="left"/>
            </w:pPr>
            <w:r/>
            <w:r>
              <w:rPr>
                <w:rFonts w:ascii="Times New Roman" w:hAnsi="Times New Roman"/>
                <w:sz w:val="22"/>
              </w:rPr>
              <w:t>parametric; discriminative; eager</w:t>
            </w:r>
          </w:p>
        </w:tc>
        <w:tc>
          <w:tcPr>
            <w:tcW w:type="dxa" w:w="1289"/>
          </w:tcPr>
          <w:p>
            <w:pPr>
              <w:spacing w:after="0"/>
              <w:jc w:val="left"/>
            </w:pPr>
            <w:r/>
            <w:r>
              <w:rPr>
                <w:rFonts w:ascii="Times New Roman" w:hAnsi="Times New Roman"/>
                <w:sz w:val="22"/>
              </w:rPr>
              <w:t>a smooth mapping learnable by gradient descent</w:t>
            </w:r>
          </w:p>
        </w:tc>
        <w:tc>
          <w:tcPr>
            <w:tcW w:type="dxa" w:w="1289"/>
          </w:tcPr>
          <w:p>
            <w:pPr>
              <w:spacing w:after="0"/>
              <w:jc w:val="left"/>
            </w:pPr>
            <w:r/>
            <w:r>
              <w:rPr>
                <w:rFonts w:ascii="Times New Roman" w:hAnsi="Times New Roman"/>
                <w:sz w:val="22"/>
              </w:rPr>
              <w:t>tens of thousands of weights on sparse one-hot inputs; overfits without alpha and early stopping</w:t>
            </w:r>
          </w:p>
        </w:tc>
        <w:tc>
          <w:tcPr>
            <w:tcW w:type="dxa" w:w="1289"/>
          </w:tcPr>
          <w:p>
            <w:pPr>
              <w:spacing w:after="0"/>
              <w:jc w:val="left"/>
            </w:pPr>
            <w:r/>
            <w:r>
              <w:rPr>
                <w:rFonts w:ascii="Times New Roman" w:hAnsi="Times New Roman"/>
                <w:sz w:val="22"/>
              </w:rPr>
              <w:t>StandardScaler</w:t>
            </w:r>
          </w:p>
        </w:tc>
        <w:tc>
          <w:tcPr>
            <w:tcW w:type="dxa" w:w="1289"/>
          </w:tcPr>
          <w:p>
            <w:pPr>
              <w:spacing w:after="0"/>
              <w:jc w:val="left"/>
            </w:pPr>
            <w:r/>
            <w:r>
              <w:rPr>
                <w:rFonts w:ascii="Times New Roman" w:hAnsi="Times New Roman"/>
                <w:sz w:val="22"/>
              </w:rPr>
              <w:t>low: needs post-hoc explanation</w:t>
            </w:r>
          </w:p>
        </w:tc>
        <w:tc>
          <w:tcPr>
            <w:tcW w:type="dxa" w:w="1289"/>
          </w:tcPr>
          <w:p>
            <w:pPr>
              <w:spacing w:after="0"/>
              <w:jc w:val="left"/>
            </w:pPr>
            <w:r/>
            <w:r>
              <w:rPr>
                <w:rFonts w:ascii="Times New Roman" w:hAnsi="Times New Roman"/>
                <w:sz w:val="22"/>
              </w:rPr>
              <w:t>10</w:t>
            </w:r>
          </w:p>
        </w:tc>
      </w:tr>
    </w:tbl>
    <w:p>
      <w:pPr>
        <w:spacing w:after="80"/>
      </w:pPr>
    </w:p>
    <w:p>
      <w:r>
        <w:rPr>
          <w:rFonts w:ascii="Times New Roman" w:hAnsi="Times New Roman"/>
          <w:sz w:val="24"/>
        </w:rPr>
        <w:t>Logistic regression passes a weighted sum of the inputs through the sigmoid and minimises binary cross-entropy by lbfgs, a quasi-Newton relative of gradient descent, under an L2 penalty that weakens as C rises (Hosmer et al., 2013). Linear log-odds miss curved size effects and code interactions, so it underfits. Its readable odds ratios made it the transparency benchmark. Gaussian naive Bayes applies Bayes' theorem, combining the class prior with per-feature Gaussian likelihoods into a posterior. Conditional independence fails for the duplicated size measures and normality for the skewed and binary features (Figure 2), so evidence is counted twice and posteriors become overconfident. Ranking can survive this (Domingos and Pazzani, 1997), and it stayed as a fast generative baseline and calibration test.</w:t>
      </w:r>
    </w:p>
    <w:p>
      <w:r>
        <w:rPr>
          <w:rFonts w:ascii="Times New Roman" w:hAnsi="Times New Roman"/>
          <w:sz w:val="24"/>
        </w:rPr>
        <w:t>KNN, a lazy instance-based learner, labels a report by the vote of its K nearest training rows under Euclidean distance, with K odd to avoid ties (Cover and Hart, 1967). Distances need standardised inputs and lose contrast across 552 mostly binary dimensions, the curse of dimensionality. It tests whether similarity to past claims adds signal; since scoring compares each report with every stored row, I fitted it on whole mine-years capped at 40,000 rows. An SVM maximises the margin between the classes, with C penalising rows inside the margin and the RBF width gamma setting how local the boundary is (Cortes and Vapnik, 1995). Training time grows at least quadratically with rows, so I fitted it on whole mine-years capped at 10,000 rows and obtained probabilities by Platt scaling. It stayed to check whether a smooth boundary ranks lost-time cases better than tree splits.</w:t>
      </w:r>
    </w:p>
    <w:p>
      <w:r>
        <w:rPr>
          <w:rFonts w:ascii="Times New Roman" w:hAnsi="Times New Roman"/>
          <w:sz w:val="24"/>
        </w:rPr>
        <w:t>A decision tree splits greedily on the axis-aligned threshold that most reduces Gini impurity or entropy. It needs no scaling and nests interactions, yet a small change in the rows can alter every split below the root. A random forest averages deep trees grown on bootstrap samples with a random feature subset per split, which decorrelates them and cuts that variance (Breiman, 2001). The tree stayed as the single-tree reference for the ensembles, the forest as the bagging rival to HGB.</w:t>
      </w:r>
    </w:p>
    <w:p>
      <w:r>
        <w:rPr>
          <w:rFonts w:ascii="Times New Roman" w:hAnsi="Times New Roman"/>
          <w:sz w:val="24"/>
        </w:rPr>
        <w:t>HGB adds shallow trees in stages, fitting each to the gradient of the log loss and shrinking it by the learning rate, with capped leaf nodes and early stopping. It follows the second-order boosting of XGBoost (Chen and Guestrin, 2016). As a sum of small trees, its log-odds can follow curved effects and code interactions. Tree ensembles lead on medium-sized tabular data (Grinsztajn et al., 2022), so it was expected to rank the review queue best.</w:t>
      </w:r>
    </w:p>
    <w:p>
      <w:r>
        <w:rPr>
          <w:rFonts w:ascii="Times New Roman" w:hAnsi="Times New Roman"/>
          <w:sz w:val="24"/>
        </w:rPr>
        <w:t>The MLP trains one or two hidden layers of rectified linear units by Adam, a gradient-descent variant, with alpha as an L2 penalty and early stopping (Bishop, 2006). Tens of thousands of weights on mostly zero inputs invite overfitting, so the network stayed small. It tests whether learned code combinations add recall at the capacity threshold.</w:t>
      </w:r>
    </w:p>
    <w:p>
      <w:r>
        <w:rPr>
          <w:rFonts w:ascii="Times New Roman" w:hAnsi="Times New Roman"/>
          <w:sz w:val="24"/>
        </w:rPr>
        <w:t>Three families were rejected. Time-series models such as ARIMA assume one quantity observed at regular intervals, but each row is a separate claim and time enters through lagged mine history. Clustering would discard the label, so unsupervised methods stayed in the exploratory analysis (Figure 10). Deep tabular networks trail tree ensembles at this scale and need more tuning than the MLP (Grinsztajn et al., 2022). Because no algorithm wins on every problem (Wolpert, 1996), the eight were compared under one protocol.</w:t>
      </w:r>
    </w:p>
    <w:p>
      <w:r>
        <w:rPr>
          <w:rFonts w:ascii="Times New Roman" w:hAnsi="Times New Roman"/>
          <w:sz w:val="24"/>
        </w:rPr>
        <w:t>The learning curve places that comparison in bias-variance terms (Hastie et al., 2009). On a 10,000-row subsample HGB's training score falls and validation score rises as rows are added (Figure 12), so its gap is variance that more data removes. Naive Bayes shows almost no gap at a low score, so its error is bias (Table 10). A flexible, regularised learner therefore suits this volume of data.</w:t>
      </w:r>
    </w:p>
    <w:p>
      <w:pPr>
        <w:keepNext/>
        <w:jc w:val="center"/>
      </w:pPr>
      <w:r>
        <w:drawing>
          <wp:inline xmlns:a="http://schemas.openxmlformats.org/drawingml/2006/main" xmlns:pic="http://schemas.openxmlformats.org/drawingml/2006/picture">
            <wp:extent cx="5029200" cy="3350948"/>
            <wp:docPr id="12" name="Picture 12" descr="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 title="Figure 12"/>
            <wp:cNvGraphicFramePr>
              <a:graphicFrameLocks noChangeAspect="1"/>
            </wp:cNvGraphicFramePr>
            <a:graphic>
              <a:graphicData uri="http://schemas.openxmlformats.org/drawingml/2006/picture">
                <pic:pic>
                  <pic:nvPicPr>
                    <pic:cNvPr id="0" name="F15_learning_curve_hist_gb.png"/>
                    <pic:cNvPicPr/>
                  </pic:nvPicPr>
                  <pic:blipFill>
                    <a:blip r:embed="rId22"/>
                    <a:stretch>
                      <a:fillRect/>
                    </a:stretch>
                  </pic:blipFill>
                  <pic:spPr>
                    <a:xfrm>
                      <a:off x="0" y="0"/>
                      <a:ext cx="5029200" cy="33509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pStyle w:val="Heading2"/>
      </w:pPr>
      <w:r>
        <w:rPr>
          <w:rFonts w:ascii="Times New Roman" w:hAnsi="Times New Roman"/>
          <w:b/>
          <w:color w:val="000000"/>
          <w:sz w:val="28"/>
        </w:rPr>
        <w:t>4.3 Model selection per algorithm</w:t>
      </w:r>
    </w:p>
    <w:p>
      <w:r>
        <w:rPr>
          <w:rFonts w:ascii="Times New Roman" w:hAnsi="Times New Roman"/>
          <w:sz w:val="24"/>
        </w:rPr>
        <w:t>Every search tuned the whole pipeline, which refitted imputers, encoder, scaler and classifier on the training rows of each fold (Figure 11). I used five StratifiedGroupKFold folds over mine-year groups inside the training split, which keep each mine-year on one side and the lost-time share near that of the whole. Kohavi (1995) favoured ten stratified folds; five halved the fits and left about 16,000 rows per validation fold. Grouping mirrors deployment, where the insurer scores mine-years the model has not seen, so no setting is rewarded for memorising a mine's other claims. PR-AUC was the refit metric, with the other metrics recorded alongside. Seed 42 fixed the folds, subsamples and estimators.</w:t>
      </w:r>
    </w:p>
    <w:p>
      <w:r>
        <w:rPr>
          <w:rFonts w:ascii="Times New Roman" w:hAnsi="Times New Roman"/>
          <w:sz w:val="24"/>
        </w:rPr>
        <w:t>Table 10 lists every searched hyperparameter with its meaning, bounds, selected value and the best score reached with any other value. Most grids contain the scikit-learn default and step towards stronger and weaker regularisation, and settings outside them kept defaults for the reasons listed. The random forest is the exception, since RandomizedSearchCV sampled only part of its grid; the full grid, searched after testing, added 0.001 with 200 trees. For HGB, both caps on boosting rounds scored identically at the faster learning rate, because early stopping ended training before either cap.</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Hyperparameter search per model on the 81,289 training rows with five grouped folds; the first row of each model gives the search, the number of candidates, the selected candidate's validation PR-AUC (mean ± SD) and its training-fold PR-AUC, the last column the best validation PR-AUC with another value (in brackets), and the rows marked as follow-up give wider grids searched after the test scoring, which changed no choice.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Model (search; validation PR-AUC; training PR-AUC)</w:t>
            </w:r>
          </w:p>
        </w:tc>
        <w:tc>
          <w:tcPr>
            <w:tcW w:type="dxa" w:w="1504"/>
            <w:shd w:val="clear" w:color="auto" w:fill="E7E6E6"/>
          </w:tcPr>
          <w:p>
            <w:pPr>
              <w:jc w:val="left"/>
            </w:pPr>
            <w:r>
              <w:rPr>
                <w:b/>
              </w:rPr>
            </w:r>
            <w:r>
              <w:rPr>
                <w:rFonts w:ascii="Times New Roman" w:hAnsi="Times New Roman"/>
                <w:b/>
                <w:sz w:val="22"/>
              </w:rPr>
              <w:t>Hyperparameter: meaning</w:t>
            </w:r>
          </w:p>
        </w:tc>
        <w:tc>
          <w:tcPr>
            <w:tcW w:type="dxa" w:w="1504"/>
            <w:shd w:val="clear" w:color="auto" w:fill="E7E6E6"/>
          </w:tcPr>
          <w:p>
            <w:pPr>
              <w:jc w:val="left"/>
            </w:pPr>
            <w:r>
              <w:rPr>
                <w:b/>
              </w:rPr>
            </w:r>
            <w:r>
              <w:rPr>
                <w:rFonts w:ascii="Times New Roman" w:hAnsi="Times New Roman"/>
                <w:b/>
                <w:sz w:val="22"/>
              </w:rPr>
              <w:t>Values searched</w:t>
            </w:r>
          </w:p>
        </w:tc>
        <w:tc>
          <w:tcPr>
            <w:tcW w:type="dxa" w:w="1504"/>
            <w:shd w:val="clear" w:color="auto" w:fill="E7E6E6"/>
          </w:tcPr>
          <w:p>
            <w:pPr>
              <w:jc w:val="left"/>
            </w:pPr>
            <w:r>
              <w:rPr>
                <w:b/>
              </w:rPr>
            </w:r>
            <w:r>
              <w:rPr>
                <w:rFonts w:ascii="Times New Roman" w:hAnsi="Times New Roman"/>
                <w:b/>
                <w:sz w:val="22"/>
              </w:rPr>
              <w:t>Why these bounds</w:t>
            </w:r>
          </w:p>
        </w:tc>
        <w:tc>
          <w:tcPr>
            <w:tcW w:type="dxa" w:w="1504"/>
            <w:shd w:val="clear" w:color="auto" w:fill="E7E6E6"/>
          </w:tcPr>
          <w:p>
            <w:pPr>
              <w:jc w:val="left"/>
            </w:pPr>
            <w:r>
              <w:rPr>
                <w:b/>
              </w:rPr>
            </w:r>
            <w:r>
              <w:rPr>
                <w:rFonts w:ascii="Times New Roman" w:hAnsi="Times New Roman"/>
                <w:b/>
                <w:sz w:val="22"/>
              </w:rPr>
              <w:t>Selected</w:t>
            </w:r>
          </w:p>
        </w:tc>
        <w:tc>
          <w:tcPr>
            <w:tcW w:type="dxa" w:w="1504"/>
            <w:shd w:val="clear" w:color="auto" w:fill="E7E6E6"/>
          </w:tcPr>
          <w:p>
            <w:pPr>
              <w:jc w:val="left"/>
            </w:pPr>
            <w:r>
              <w:rPr>
                <w:b/>
              </w:rPr>
            </w:r>
            <w:r>
              <w:rPr>
                <w:rFonts w:ascii="Times New Roman" w:hAnsi="Times New Roman"/>
                <w:b/>
                <w:sz w:val="22"/>
              </w:rPr>
              <w:t>Best other value</w:t>
            </w:r>
          </w:p>
        </w:tc>
      </w:tr>
      <w:tr>
        <w:tc>
          <w:tcPr>
            <w:tcW w:type="dxa" w:w="1504"/>
          </w:tcPr>
          <w:p>
            <w:pPr>
              <w:spacing w:after="0"/>
              <w:jc w:val="left"/>
            </w:pPr>
            <w:r/>
            <w:r>
              <w:rPr>
                <w:rFonts w:ascii="Times New Roman" w:hAnsi="Times New Roman"/>
                <w:sz w:val="22"/>
              </w:rPr>
              <w:t>Logistic regression (grid, 8 candidates; 0.820 ± 0.003; 0.828)</w:t>
            </w:r>
          </w:p>
        </w:tc>
        <w:tc>
          <w:tcPr>
            <w:tcW w:type="dxa" w:w="1504"/>
          </w:tcPr>
          <w:p>
            <w:pPr>
              <w:spacing w:after="0"/>
              <w:jc w:val="left"/>
            </w:pPr>
            <w:r/>
            <w:r>
              <w:rPr>
                <w:rFonts w:ascii="Times New Roman" w:hAnsi="Times New Roman"/>
                <w:sz w:val="22"/>
              </w:rPr>
              <w:t>C: inverse strength of the L2 penalty</w:t>
            </w:r>
          </w:p>
        </w:tc>
        <w:tc>
          <w:tcPr>
            <w:tcW w:type="dxa" w:w="1504"/>
          </w:tcPr>
          <w:p>
            <w:pPr>
              <w:spacing w:after="0"/>
              <w:jc w:val="left"/>
            </w:pPr>
            <w:r/>
            <w:r>
              <w:rPr>
                <w:rFonts w:ascii="Times New Roman" w:hAnsi="Times New Roman"/>
                <w:sz w:val="22"/>
              </w:rPr>
              <w:t>0.01, 0.1, 1, 10</w:t>
            </w:r>
          </w:p>
        </w:tc>
        <w:tc>
          <w:tcPr>
            <w:tcW w:type="dxa" w:w="1504"/>
          </w:tcPr>
          <w:p>
            <w:pPr>
              <w:spacing w:after="0"/>
              <w:jc w:val="left"/>
            </w:pPr>
            <w:r/>
            <w:r>
              <w:rPr>
                <w:rFonts w:ascii="Times New Roman" w:hAnsi="Times New Roman"/>
                <w:sz w:val="22"/>
              </w:rPr>
              <w:t>four decades around the default of 1</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0.820 (10); 0.815 (0.01)</w:t>
            </w:r>
          </w:p>
        </w:tc>
      </w:tr>
      <w:tr>
        <w:tc>
          <w:tcPr>
            <w:tcW w:type="dxa" w:w="1504"/>
          </w:tcPr>
          <w:p>
            <w:pPr>
              <w:spacing w:after="0"/>
              <w:jc w:val="left"/>
            </w:pPr>
            <w:r/>
          </w:p>
        </w:tc>
        <w:tc>
          <w:tcPr>
            <w:tcW w:type="dxa" w:w="1504"/>
          </w:tcPr>
          <w:p>
            <w:pPr>
              <w:spacing w:after="0"/>
              <w:jc w:val="left"/>
            </w:pPr>
            <w:r/>
            <w:r>
              <w:rPr>
                <w:rFonts w:ascii="Times New Roman" w:hAnsi="Times New Roman"/>
                <w:sz w:val="22"/>
              </w:rPr>
              <w:t>class_weight: reweights the classes in the loss</w:t>
            </w:r>
          </w:p>
        </w:tc>
        <w:tc>
          <w:tcPr>
            <w:tcW w:type="dxa" w:w="1504"/>
          </w:tcPr>
          <w:p>
            <w:pPr>
              <w:spacing w:after="0"/>
              <w:jc w:val="left"/>
            </w:pPr>
            <w:r/>
            <w:r>
              <w:rPr>
                <w:rFonts w:ascii="Times New Roman" w:hAnsi="Times New Roman"/>
                <w:sz w:val="22"/>
              </w:rPr>
              <w:t>None, balanced</w:t>
            </w:r>
          </w:p>
        </w:tc>
        <w:tc>
          <w:tcPr>
            <w:tcW w:type="dxa" w:w="1504"/>
          </w:tcPr>
          <w:p>
            <w:pPr>
              <w:spacing w:after="0"/>
              <w:jc w:val="left"/>
            </w:pPr>
            <w:r/>
            <w:r>
              <w:rPr>
                <w:rFonts w:ascii="Times New Roman" w:hAnsi="Times New Roman"/>
                <w:sz w:val="22"/>
              </w:rPr>
              <w:t>tests reweighting as the alternative to resampling at near balance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0.820 (balanced)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L2 penalty, lbfgs solver, max_iter 2,000</w:t>
            </w:r>
          </w:p>
        </w:tc>
        <w:tc>
          <w:tcPr>
            <w:tcW w:type="dxa" w:w="1504"/>
          </w:tcPr>
          <w:p>
            <w:pPr>
              <w:spacing w:after="0"/>
              <w:jc w:val="left"/>
            </w:pPr>
            <w:r/>
            <w:r>
              <w:rPr>
                <w:rFonts w:ascii="Times New Roman" w:hAnsi="Times New Roman"/>
                <w:sz w:val="22"/>
              </w:rPr>
              <w:t>L2 suits collinear columns; no convergence warning was logged</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KNN (grid, 6; 0.764 ± 0.009; 1.000)</w:t>
            </w:r>
          </w:p>
        </w:tc>
        <w:tc>
          <w:tcPr>
            <w:tcW w:type="dxa" w:w="1504"/>
          </w:tcPr>
          <w:p>
            <w:pPr>
              <w:spacing w:after="0"/>
              <w:jc w:val="left"/>
            </w:pPr>
            <w:r/>
            <w:r>
              <w:rPr>
                <w:rFonts w:ascii="Times New Roman" w:hAnsi="Times New Roman"/>
                <w:sz w:val="22"/>
              </w:rPr>
              <w:t>n_neighbors (K): number of voters</w:t>
            </w:r>
          </w:p>
        </w:tc>
        <w:tc>
          <w:tcPr>
            <w:tcW w:type="dxa" w:w="1504"/>
          </w:tcPr>
          <w:p>
            <w:pPr>
              <w:spacing w:after="0"/>
              <w:jc w:val="left"/>
            </w:pPr>
            <w:r/>
            <w:r>
              <w:rPr>
                <w:rFonts w:ascii="Times New Roman" w:hAnsi="Times New Roman"/>
                <w:sz w:val="22"/>
              </w:rPr>
              <w:t>11, 25, 51</w:t>
            </w:r>
          </w:p>
        </w:tc>
        <w:tc>
          <w:tcPr>
            <w:tcW w:type="dxa" w:w="1504"/>
          </w:tcPr>
          <w:p>
            <w:pPr>
              <w:spacing w:after="0"/>
              <w:jc w:val="left"/>
            </w:pPr>
            <w:r/>
            <w:r>
              <w:rPr>
                <w:rFonts w:ascii="Times New Roman" w:hAnsi="Times New Roman"/>
                <w:sz w:val="22"/>
              </w:rPr>
              <w:t>odd values from a local to a smooth vote</w:t>
            </w:r>
          </w:p>
        </w:tc>
        <w:tc>
          <w:tcPr>
            <w:tcW w:type="dxa" w:w="1504"/>
          </w:tcPr>
          <w:p>
            <w:pPr>
              <w:spacing w:after="0"/>
              <w:jc w:val="left"/>
            </w:pPr>
            <w:r/>
            <w:r>
              <w:rPr>
                <w:rFonts w:ascii="Times New Roman" w:hAnsi="Times New Roman"/>
                <w:sz w:val="22"/>
              </w:rPr>
              <w:t>51</w:t>
            </w:r>
          </w:p>
        </w:tc>
        <w:tc>
          <w:tcPr>
            <w:tcW w:type="dxa" w:w="1504"/>
          </w:tcPr>
          <w:p>
            <w:pPr>
              <w:spacing w:after="0"/>
              <w:jc w:val="left"/>
            </w:pPr>
            <w:r/>
            <w:r>
              <w:rPr>
                <w:rFonts w:ascii="Times New Roman" w:hAnsi="Times New Roman"/>
                <w:sz w:val="22"/>
              </w:rPr>
              <w:t>0.758 (25)</w:t>
            </w:r>
          </w:p>
        </w:tc>
      </w:tr>
      <w:tr>
        <w:tc>
          <w:tcPr>
            <w:tcW w:type="dxa" w:w="1504"/>
          </w:tcPr>
          <w:p>
            <w:pPr>
              <w:spacing w:after="0"/>
              <w:jc w:val="left"/>
            </w:pPr>
            <w:r/>
          </w:p>
        </w:tc>
        <w:tc>
          <w:tcPr>
            <w:tcW w:type="dxa" w:w="1504"/>
          </w:tcPr>
          <w:p>
            <w:pPr>
              <w:spacing w:after="0"/>
              <w:jc w:val="left"/>
            </w:pPr>
            <w:r/>
            <w:r>
              <w:rPr>
                <w:rFonts w:ascii="Times New Roman" w:hAnsi="Times New Roman"/>
                <w:sz w:val="22"/>
              </w:rPr>
              <w:t>weights: equal or inverse-distance votes</w:t>
            </w:r>
          </w:p>
        </w:tc>
        <w:tc>
          <w:tcPr>
            <w:tcW w:type="dxa" w:w="1504"/>
          </w:tcPr>
          <w:p>
            <w:pPr>
              <w:spacing w:after="0"/>
              <w:jc w:val="left"/>
            </w:pPr>
            <w:r/>
            <w:r>
              <w:rPr>
                <w:rFonts w:ascii="Times New Roman" w:hAnsi="Times New Roman"/>
                <w:sz w:val="22"/>
              </w:rPr>
              <w:t>uniform, distance</w:t>
            </w:r>
          </w:p>
        </w:tc>
        <w:tc>
          <w:tcPr>
            <w:tcW w:type="dxa" w:w="1504"/>
          </w:tcPr>
          <w:p>
            <w:pPr>
              <w:spacing w:after="0"/>
              <w:jc w:val="left"/>
            </w:pPr>
            <w:r/>
            <w:r>
              <w:rPr>
                <w:rFonts w:ascii="Times New Roman" w:hAnsi="Times New Roman"/>
                <w:sz w:val="22"/>
              </w:rPr>
              <w:t>lets close neighbours count more</w:t>
            </w:r>
          </w:p>
        </w:tc>
        <w:tc>
          <w:tcPr>
            <w:tcW w:type="dxa" w:w="1504"/>
          </w:tcPr>
          <w:p>
            <w:pPr>
              <w:spacing w:after="0"/>
              <w:jc w:val="left"/>
            </w:pPr>
            <w:r/>
            <w:r>
              <w:rPr>
                <w:rFonts w:ascii="Times New Roman" w:hAnsi="Times New Roman"/>
                <w:sz w:val="22"/>
              </w:rPr>
              <w:t>distance</w:t>
            </w:r>
          </w:p>
        </w:tc>
        <w:tc>
          <w:tcPr>
            <w:tcW w:type="dxa" w:w="1504"/>
          </w:tcPr>
          <w:p>
            <w:pPr>
              <w:spacing w:after="0"/>
              <w:jc w:val="left"/>
            </w:pPr>
            <w:r/>
            <w:r>
              <w:rPr>
                <w:rFonts w:ascii="Times New Roman" w:hAnsi="Times New Roman"/>
                <w:sz w:val="22"/>
              </w:rPr>
              <w:t>0.757 (uniform)</w:t>
            </w:r>
          </w:p>
        </w:tc>
      </w:tr>
      <w:tr>
        <w:tc>
          <w:tcPr>
            <w:tcW w:type="dxa" w:w="1504"/>
          </w:tcPr>
          <w:p>
            <w:pPr>
              <w:spacing w:after="0"/>
              <w:jc w:val="left"/>
            </w:pPr>
            <w:r/>
          </w:p>
        </w:tc>
        <w:tc>
          <w:tcPr>
            <w:tcW w:type="dxa" w:w="1504"/>
          </w:tcPr>
          <w:p>
            <w:pPr>
              <w:spacing w:after="0"/>
              <w:jc w:val="left"/>
            </w:pPr>
            <w:r/>
            <w:r>
              <w:rPr>
                <w:rFonts w:ascii="Times New Roman" w:hAnsi="Times New Roman"/>
                <w:sz w:val="22"/>
              </w:rPr>
              <w:t>p: Minkowski power</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Euclidean distance only, to keep six candidates</w:t>
            </w:r>
          </w:p>
        </w:tc>
        <w:tc>
          <w:tcPr>
            <w:tcW w:type="dxa" w:w="1504"/>
          </w:tcPr>
          <w:p>
            <w:pPr>
              <w:spacing w:after="0"/>
              <w:jc w:val="left"/>
            </w:pPr>
            <w:r/>
            <w:r>
              <w:rPr>
                <w:rFonts w:ascii="Times New Roman" w:hAnsi="Times New Roman"/>
                <w:sz w:val="22"/>
              </w:rPr>
              <w:t>2</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brute-force search; 39,999-row subsample of whole mine-years</w:t>
            </w:r>
          </w:p>
        </w:tc>
        <w:tc>
          <w:tcPr>
            <w:tcW w:type="dxa" w:w="1504"/>
          </w:tcPr>
          <w:p>
            <w:pPr>
              <w:spacing w:after="0"/>
              <w:jc w:val="left"/>
            </w:pPr>
            <w:r/>
            <w:r>
              <w:rPr>
                <w:rFonts w:ascii="Times New Roman" w:hAnsi="Times New Roman"/>
                <w:sz w:val="22"/>
              </w:rPr>
              <w:t>tree indexes do not help in 552 dimensions; scoring cost grows with stored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(6 candidates, 265 s)</w:t>
            </w:r>
          </w:p>
        </w:tc>
        <w:tc>
          <w:tcPr>
            <w:tcW w:type="dxa" w:w="1504"/>
          </w:tcPr>
          <w:p>
            <w:pPr>
              <w:spacing w:after="0"/>
              <w:jc w:val="left"/>
            </w:pPr>
            <w:r/>
            <w:r>
              <w:rPr>
                <w:rFonts w:ascii="Times New Roman" w:hAnsi="Times New Roman"/>
                <w:sz w:val="22"/>
              </w:rPr>
              <w:t>n_neighbors 51, 101, 151 with both weightings</w:t>
            </w:r>
          </w:p>
        </w:tc>
        <w:tc>
          <w:tcPr>
            <w:tcW w:type="dxa" w:w="1504"/>
          </w:tcPr>
          <w:p>
            <w:pPr>
              <w:spacing w:after="0"/>
              <w:jc w:val="left"/>
            </w:pPr>
            <w:r/>
            <w:r>
              <w:rPr>
                <w:rFonts w:ascii="Times New Roman" w:hAnsi="Times New Roman"/>
                <w:sz w:val="22"/>
              </w:rPr>
              <w:t>the original optimum sat at the grid edge</w:t>
            </w:r>
          </w:p>
        </w:tc>
        <w:tc>
          <w:tcPr>
            <w:tcW w:type="dxa" w:w="1504"/>
          </w:tcPr>
          <w:p>
            <w:pPr>
              <w:spacing w:after="0"/>
              <w:jc w:val="left"/>
            </w:pPr>
            <w:r/>
            <w:r>
              <w:rPr>
                <w:rFonts w:ascii="Times New Roman" w:hAnsi="Times New Roman"/>
                <w:sz w:val="22"/>
              </w:rPr>
              <w:t>51, distance (0.764)</w:t>
            </w:r>
          </w:p>
        </w:tc>
        <w:tc>
          <w:tcPr>
            <w:tcW w:type="dxa" w:w="1504"/>
          </w:tcPr>
          <w:p>
            <w:pPr>
              <w:spacing w:after="0"/>
              <w:jc w:val="left"/>
            </w:pPr>
            <w:r/>
            <w:r>
              <w:rPr>
                <w:rFonts w:ascii="Times New Roman" w:hAnsi="Times New Roman"/>
                <w:sz w:val="22"/>
              </w:rPr>
              <w:t>0.763 (101); 0.761 (151)</w:t>
            </w:r>
          </w:p>
        </w:tc>
      </w:tr>
      <w:tr>
        <w:tc>
          <w:tcPr>
            <w:tcW w:type="dxa" w:w="1504"/>
          </w:tcPr>
          <w:p>
            <w:pPr>
              <w:spacing w:after="0"/>
              <w:jc w:val="left"/>
            </w:pPr>
            <w:r/>
            <w:r>
              <w:rPr>
                <w:rFonts w:ascii="Times New Roman" w:hAnsi="Times New Roman"/>
                <w:sz w:val="22"/>
              </w:rPr>
              <w:t>Gaussian naive Bayes (grid, 5; 0.734 ± 0.006; 0.735)</w:t>
            </w:r>
          </w:p>
        </w:tc>
        <w:tc>
          <w:tcPr>
            <w:tcW w:type="dxa" w:w="1504"/>
          </w:tcPr>
          <w:p>
            <w:pPr>
              <w:spacing w:after="0"/>
              <w:jc w:val="left"/>
            </w:pPr>
            <w:r/>
            <w:r>
              <w:rPr>
                <w:rFonts w:ascii="Times New Roman" w:hAnsi="Times New Roman"/>
                <w:sz w:val="22"/>
              </w:rPr>
              <w:t>var_smoothing: share of the largest variance added to every variance</w:t>
            </w:r>
          </w:p>
        </w:tc>
        <w:tc>
          <w:tcPr>
            <w:tcW w:type="dxa" w:w="1504"/>
          </w:tcPr>
          <w:p>
            <w:pPr>
              <w:spacing w:after="0"/>
              <w:jc w:val="left"/>
            </w:pPr>
            <w:r/>
            <w:r>
              <w:rPr>
                <w:rFonts w:ascii="Times New Roman" w:hAnsi="Times New Roman"/>
                <w:sz w:val="22"/>
              </w:rPr>
              <w:t>1e-9, 1e-6, 1e-3, 0.1, 1</w:t>
            </w:r>
          </w:p>
        </w:tc>
        <w:tc>
          <w:tcPr>
            <w:tcW w:type="dxa" w:w="1504"/>
          </w:tcPr>
          <w:p>
            <w:pPr>
              <w:spacing w:after="0"/>
              <w:jc w:val="left"/>
            </w:pPr>
            <w:r/>
            <w:r>
              <w:rPr>
                <w:rFonts w:ascii="Times New Roman" w:hAnsi="Times New Roman"/>
                <w:sz w:val="22"/>
              </w:rPr>
              <w:t>log-spaced from the default upwards, since near-constant one-hot columns have tiny variances</w:t>
            </w:r>
          </w:p>
        </w:tc>
        <w:tc>
          <w:tcPr>
            <w:tcW w:type="dxa" w:w="1504"/>
          </w:tcPr>
          <w:p>
            <w:pPr>
              <w:spacing w:after="0"/>
              <w:jc w:val="left"/>
            </w:pPr>
            <w:r/>
            <w:r>
              <w:rPr>
                <w:rFonts w:ascii="Times New Roman" w:hAnsi="Times New Roman"/>
                <w:sz w:val="22"/>
              </w:rPr>
              <w:t>0.1</w:t>
            </w:r>
          </w:p>
        </w:tc>
        <w:tc>
          <w:tcPr>
            <w:tcW w:type="dxa" w:w="1504"/>
          </w:tcPr>
          <w:p>
            <w:pPr>
              <w:spacing w:after="0"/>
              <w:jc w:val="left"/>
            </w:pPr>
            <w:r/>
            <w:r>
              <w:rPr>
                <w:rFonts w:ascii="Times New Roman" w:hAnsi="Times New Roman"/>
                <w:sz w:val="22"/>
              </w:rPr>
              <w:t>0.702 (1)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class priors from training frequencies</w:t>
            </w:r>
          </w:p>
        </w:tc>
        <w:tc>
          <w:tcPr>
            <w:tcW w:type="dxa" w:w="1504"/>
          </w:tcPr>
          <w:p>
            <w:pPr>
              <w:spacing w:after="0"/>
              <w:jc w:val="left"/>
            </w:pPr>
            <w:r/>
            <w:r>
              <w:rPr>
                <w:rFonts w:ascii="Times New Roman" w:hAnsi="Times New Roman"/>
                <w:sz w:val="22"/>
              </w:rPr>
              <w:t>the priors then equal the 48.6% prevalence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Decision tree (grid, 24; 0.803 ± 0.004; 0.827)</w:t>
            </w:r>
          </w:p>
        </w:tc>
        <w:tc>
          <w:tcPr>
            <w:tcW w:type="dxa" w:w="1504"/>
          </w:tcPr>
          <w:p>
            <w:pPr>
              <w:spacing w:after="0"/>
              <w:jc w:val="left"/>
            </w:pPr>
            <w:r/>
            <w:r>
              <w:rPr>
                <w:rFonts w:ascii="Times New Roman" w:hAnsi="Times New Roman"/>
                <w:sz w:val="22"/>
              </w:rPr>
              <w:t>max_depth: longest root-to-leaf path</w:t>
            </w:r>
          </w:p>
        </w:tc>
        <w:tc>
          <w:tcPr>
            <w:tcW w:type="dxa" w:w="1504"/>
          </w:tcPr>
          <w:p>
            <w:pPr>
              <w:spacing w:after="0"/>
              <w:jc w:val="left"/>
            </w:pPr>
            <w:r/>
            <w:r>
              <w:rPr>
                <w:rFonts w:ascii="Times New Roman" w:hAnsi="Times New Roman"/>
                <w:sz w:val="22"/>
              </w:rPr>
              <w:t>4, 8, 12, None</w:t>
            </w:r>
          </w:p>
        </w:tc>
        <w:tc>
          <w:tcPr>
            <w:tcW w:type="dxa" w:w="1504"/>
          </w:tcPr>
          <w:p>
            <w:pPr>
              <w:spacing w:after="0"/>
              <w:jc w:val="left"/>
            </w:pPr>
            <w:r/>
            <w:r>
              <w:rPr>
                <w:rFonts w:ascii="Times New Roman" w:hAnsi="Times New Roman"/>
                <w:sz w:val="22"/>
              </w:rPr>
              <w:t>from a readable tree to unlimited growth</w:t>
            </w:r>
          </w:p>
        </w:tc>
        <w:tc>
          <w:tcPr>
            <w:tcW w:type="dxa" w:w="1504"/>
          </w:tcPr>
          <w:p>
            <w:pPr>
              <w:spacing w:after="0"/>
              <w:jc w:val="left"/>
            </w:pPr>
            <w:r/>
            <w:r>
              <w:rPr>
                <w:rFonts w:ascii="Times New Roman" w:hAnsi="Times New Roman"/>
                <w:sz w:val="22"/>
              </w:rPr>
              <w:t>12</w:t>
            </w:r>
          </w:p>
        </w:tc>
        <w:tc>
          <w:tcPr>
            <w:tcW w:type="dxa" w:w="1504"/>
          </w:tcPr>
          <w:p>
            <w:pPr>
              <w:spacing w:after="0"/>
              <w:jc w:val="left"/>
            </w:pPr>
            <w:r/>
            <w:r>
              <w:rPr>
                <w:rFonts w:ascii="Times New Roman" w:hAnsi="Times New Roman"/>
                <w:sz w:val="22"/>
              </w:rPr>
              <w:t>0.793 (None)</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5, 20, 50</w:t>
            </w:r>
          </w:p>
        </w:tc>
        <w:tc>
          <w:tcPr>
            <w:tcW w:type="dxa" w:w="1504"/>
          </w:tcPr>
          <w:p>
            <w:pPr>
              <w:spacing w:after="0"/>
              <w:jc w:val="left"/>
            </w:pPr>
            <w:r/>
            <w:r>
              <w:rPr>
                <w:rFonts w:ascii="Times New Roman" w:hAnsi="Times New Roman"/>
                <w:sz w:val="22"/>
              </w:rPr>
              <w:t>larger leaves give steadier lost-time rates</w:t>
            </w:r>
          </w:p>
        </w:tc>
        <w:tc>
          <w:tcPr>
            <w:tcW w:type="dxa" w:w="1504"/>
          </w:tcPr>
          <w:p>
            <w:pPr>
              <w:spacing w:after="0"/>
              <w:jc w:val="left"/>
            </w:pPr>
            <w:r/>
            <w:r>
              <w:rPr>
                <w:rFonts w:ascii="Times New Roman" w:hAnsi="Times New Roman"/>
                <w:sz w:val="22"/>
              </w:rPr>
              <w:t>50</w:t>
            </w:r>
          </w:p>
        </w:tc>
        <w:tc>
          <w:tcPr>
            <w:tcW w:type="dxa" w:w="1504"/>
          </w:tcPr>
          <w:p>
            <w:pPr>
              <w:spacing w:after="0"/>
              <w:jc w:val="left"/>
            </w:pPr>
            <w:r/>
            <w:r>
              <w:rPr>
                <w:rFonts w:ascii="Times New Roman" w:hAnsi="Times New Roman"/>
                <w:sz w:val="22"/>
              </w:rPr>
              <w:t>0.794 (20)</w:t>
            </w:r>
          </w:p>
        </w:tc>
      </w:tr>
      <w:tr>
        <w:tc>
          <w:tcPr>
            <w:tcW w:type="dxa" w:w="1504"/>
          </w:tcPr>
          <w:p>
            <w:pPr>
              <w:spacing w:after="0"/>
              <w:jc w:val="left"/>
            </w:pPr>
            <w:r/>
          </w:p>
        </w:tc>
        <w:tc>
          <w:tcPr>
            <w:tcW w:type="dxa" w:w="1504"/>
          </w:tcPr>
          <w:p>
            <w:pPr>
              <w:spacing w:after="0"/>
              <w:jc w:val="left"/>
            </w:pPr>
            <w:r/>
            <w:r>
              <w:rPr>
                <w:rFonts w:ascii="Times New Roman" w:hAnsi="Times New Roman"/>
                <w:sz w:val="22"/>
              </w:rPr>
              <w:t>criterion: impurity measure</w:t>
            </w:r>
          </w:p>
        </w:tc>
        <w:tc>
          <w:tcPr>
            <w:tcW w:type="dxa" w:w="1504"/>
          </w:tcPr>
          <w:p>
            <w:pPr>
              <w:spacing w:after="0"/>
              <w:jc w:val="left"/>
            </w:pPr>
            <w:r/>
            <w:r>
              <w:rPr>
                <w:rFonts w:ascii="Times New Roman" w:hAnsi="Times New Roman"/>
                <w:sz w:val="22"/>
              </w:rPr>
              <w:t>gini, entropy</w:t>
            </w:r>
          </w:p>
        </w:tc>
        <w:tc>
          <w:tcPr>
            <w:tcW w:type="dxa" w:w="1504"/>
          </w:tcPr>
          <w:p>
            <w:pPr>
              <w:spacing w:after="0"/>
              <w:jc w:val="left"/>
            </w:pPr>
            <w:r/>
            <w:r>
              <w:rPr>
                <w:rFonts w:ascii="Times New Roman" w:hAnsi="Times New Roman"/>
                <w:sz w:val="22"/>
              </w:rPr>
              <w:t>the two impurity measures taught</w:t>
            </w:r>
          </w:p>
        </w:tc>
        <w:tc>
          <w:tcPr>
            <w:tcW w:type="dxa" w:w="1504"/>
          </w:tcPr>
          <w:p>
            <w:pPr>
              <w:spacing w:after="0"/>
              <w:jc w:val="left"/>
            </w:pPr>
            <w:r/>
            <w:r>
              <w:rPr>
                <w:rFonts w:ascii="Times New Roman" w:hAnsi="Times New Roman"/>
                <w:sz w:val="22"/>
              </w:rPr>
              <w:t>gini</w:t>
            </w:r>
          </w:p>
        </w:tc>
        <w:tc>
          <w:tcPr>
            <w:tcW w:type="dxa" w:w="1504"/>
          </w:tcPr>
          <w:p>
            <w:pPr>
              <w:spacing w:after="0"/>
              <w:jc w:val="left"/>
            </w:pPr>
            <w:r/>
            <w:r>
              <w:rPr>
                <w:rFonts w:ascii="Times New Roman" w:hAnsi="Times New Roman"/>
                <w:sz w:val="22"/>
              </w:rPr>
              <w:t>0.802 (entropy)</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best split over all features; no cost-complexity pruning</w:t>
            </w:r>
          </w:p>
        </w:tc>
        <w:tc>
          <w:tcPr>
            <w:tcW w:type="dxa" w:w="1504"/>
          </w:tcPr>
          <w:p>
            <w:pPr>
              <w:spacing w:after="0"/>
              <w:jc w:val="left"/>
            </w:pPr>
            <w:r/>
            <w:r>
              <w:rPr>
                <w:rFonts w:ascii="Times New Roman" w:hAnsi="Times New Roman"/>
                <w:sz w:val="22"/>
              </w:rPr>
              <w:t>depth and leaf size already prune the tree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Random forest (random search, 4 of 24 grid points; 0.821 ± 0.003; 0.946)</w:t>
            </w:r>
          </w:p>
        </w:tc>
        <w:tc>
          <w:tcPr>
            <w:tcW w:type="dxa" w:w="1504"/>
          </w:tcPr>
          <w:p>
            <w:pPr>
              <w:spacing w:after="0"/>
              <w:jc w:val="left"/>
            </w:pPr>
            <w:r/>
            <w:r>
              <w:rPr>
                <w:rFonts w:ascii="Times New Roman" w:hAnsi="Times New Roman"/>
                <w:sz w:val="22"/>
              </w:rPr>
              <w:t>n_estimators: number of trees</w:t>
            </w:r>
          </w:p>
        </w:tc>
        <w:tc>
          <w:tcPr>
            <w:tcW w:type="dxa" w:w="1504"/>
          </w:tcPr>
          <w:p>
            <w:pPr>
              <w:spacing w:after="0"/>
              <w:jc w:val="left"/>
            </w:pPr>
            <w:r/>
            <w:r>
              <w:rPr>
                <w:rFonts w:ascii="Times New Roman" w:hAnsi="Times New Roman"/>
                <w:sz w:val="22"/>
              </w:rPr>
              <w:t>100, 200</w:t>
            </w:r>
          </w:p>
        </w:tc>
        <w:tc>
          <w:tcPr>
            <w:tcW w:type="dxa" w:w="1504"/>
          </w:tcPr>
          <w:p>
            <w:pPr>
              <w:spacing w:after="0"/>
              <w:jc w:val="left"/>
            </w:pPr>
            <w:r/>
            <w:r>
              <w:rPr>
                <w:rFonts w:ascii="Times New Roman" w:hAnsi="Times New Roman"/>
                <w:sz w:val="22"/>
              </w:rPr>
              <w:t>the default and double</w:t>
            </w:r>
          </w:p>
        </w:tc>
        <w:tc>
          <w:tcPr>
            <w:tcW w:type="dxa" w:w="1504"/>
          </w:tcPr>
          <w:p>
            <w:pPr>
              <w:spacing w:after="0"/>
              <w:jc w:val="left"/>
            </w:pPr>
            <w:r/>
            <w:r>
              <w:rPr>
                <w:rFonts w:ascii="Times New Roman" w:hAnsi="Times New Roman"/>
                <w:sz w:val="22"/>
              </w:rPr>
              <w:t>100</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max_depth: longest path in each tree</w:t>
            </w:r>
          </w:p>
        </w:tc>
        <w:tc>
          <w:tcPr>
            <w:tcW w:type="dxa" w:w="1504"/>
          </w:tcPr>
          <w:p>
            <w:pPr>
              <w:spacing w:after="0"/>
              <w:jc w:val="left"/>
            </w:pPr>
            <w:r/>
            <w:r>
              <w:rPr>
                <w:rFonts w:ascii="Times New Roman" w:hAnsi="Times New Roman"/>
                <w:sz w:val="22"/>
              </w:rPr>
              <w:t>8, 12, None</w:t>
            </w:r>
          </w:p>
        </w:tc>
        <w:tc>
          <w:tcPr>
            <w:tcW w:type="dxa" w:w="1504"/>
          </w:tcPr>
          <w:p>
            <w:pPr>
              <w:spacing w:after="0"/>
              <w:jc w:val="left"/>
            </w:pPr>
            <w:r/>
            <w:r>
              <w:rPr>
                <w:rFonts w:ascii="Times New Roman" w:hAnsi="Times New Roman"/>
                <w:sz w:val="22"/>
              </w:rPr>
              <w:t>as for the single tree</w:t>
            </w:r>
          </w:p>
        </w:tc>
        <w:tc>
          <w:tcPr>
            <w:tcW w:type="dxa" w:w="1504"/>
          </w:tcPr>
          <w:p>
            <w:pPr>
              <w:spacing w:after="0"/>
              <w:jc w:val="left"/>
            </w:pPr>
            <w:r/>
            <w:r>
              <w:rPr>
                <w:rFonts w:ascii="Times New Roman" w:hAnsi="Times New Roman"/>
                <w:sz w:val="22"/>
              </w:rPr>
              <w:t>None</w:t>
            </w:r>
          </w:p>
        </w:tc>
        <w:tc>
          <w:tcPr>
            <w:tcW w:type="dxa" w:w="1504"/>
          </w:tcPr>
          <w:p>
            <w:pPr>
              <w:spacing w:after="0"/>
              <w:jc w:val="left"/>
            </w:pPr>
            <w:r/>
            <w:r>
              <w:rPr>
                <w:rFonts w:ascii="Times New Roman" w:hAnsi="Times New Roman"/>
                <w:sz w:val="22"/>
              </w:rPr>
              <w:t>0.808 (12)</w:t>
            </w:r>
          </w:p>
        </w:tc>
      </w:tr>
      <w:tr>
        <w:tc>
          <w:tcPr>
            <w:tcW w:type="dxa" w:w="1504"/>
          </w:tcPr>
          <w:p>
            <w:pPr>
              <w:spacing w:after="0"/>
              <w:jc w:val="left"/>
            </w:pPr>
            <w:r/>
          </w:p>
        </w:tc>
        <w:tc>
          <w:tcPr>
            <w:tcW w:type="dxa" w:w="1504"/>
          </w:tcPr>
          <w:p>
            <w:pPr>
              <w:spacing w:after="0"/>
              <w:jc w:val="left"/>
            </w:pPr>
            <w:r/>
            <w:r>
              <w:rPr>
                <w:rFonts w:ascii="Times New Roman" w:hAnsi="Times New Roman"/>
                <w:sz w:val="22"/>
              </w:rPr>
              <w:t>min_samples_leaf: smallest leaf</w:t>
            </w:r>
          </w:p>
        </w:tc>
        <w:tc>
          <w:tcPr>
            <w:tcW w:type="dxa" w:w="1504"/>
          </w:tcPr>
          <w:p>
            <w:pPr>
              <w:spacing w:after="0"/>
              <w:jc w:val="left"/>
            </w:pPr>
            <w:r/>
            <w:r>
              <w:rPr>
                <w:rFonts w:ascii="Times New Roman" w:hAnsi="Times New Roman"/>
                <w:sz w:val="22"/>
              </w:rPr>
              <w:t>5, 20</w:t>
            </w:r>
          </w:p>
        </w:tc>
        <w:tc>
          <w:tcPr>
            <w:tcW w:type="dxa" w:w="1504"/>
          </w:tcPr>
          <w:p>
            <w:pPr>
              <w:spacing w:after="0"/>
              <w:jc w:val="left"/>
            </w:pPr>
            <w:r/>
            <w:r>
              <w:rPr>
                <w:rFonts w:ascii="Times New Roman" w:hAnsi="Times New Roman"/>
                <w:sz w:val="22"/>
              </w:rPr>
              <w:t>small leaves suit averaged deep trees</w:t>
            </w:r>
          </w:p>
        </w:tc>
        <w:tc>
          <w:tcPr>
            <w:tcW w:type="dxa" w:w="1504"/>
          </w:tcPr>
          <w:p>
            <w:pPr>
              <w:spacing w:after="0"/>
              <w:jc w:val="left"/>
            </w:pPr>
            <w:r/>
            <w:r>
              <w:rPr>
                <w:rFonts w:ascii="Times New Roman" w:hAnsi="Times New Roman"/>
                <w:sz w:val="22"/>
              </w:rPr>
              <w:t>5</w:t>
            </w:r>
          </w:p>
        </w:tc>
        <w:tc>
          <w:tcPr>
            <w:tcW w:type="dxa" w:w="1504"/>
          </w:tcPr>
          <w:p>
            <w:pPr>
              <w:spacing w:after="0"/>
              <w:jc w:val="left"/>
            </w:pPr>
            <w:r/>
            <w:r>
              <w:rPr>
                <w:rFonts w:ascii="Times New Roman" w:hAnsi="Times New Roman"/>
                <w:sz w:val="22"/>
              </w:rPr>
              <w:t>0.815 (20)</w:t>
            </w:r>
          </w:p>
        </w:tc>
      </w:tr>
      <w:tr>
        <w:tc>
          <w:tcPr>
            <w:tcW w:type="dxa" w:w="1504"/>
          </w:tcPr>
          <w:p>
            <w:pPr>
              <w:spacing w:after="0"/>
              <w:jc w:val="left"/>
            </w:pPr>
            <w:r/>
          </w:p>
        </w:tc>
        <w:tc>
          <w:tcPr>
            <w:tcW w:type="dxa" w:w="1504"/>
          </w:tcPr>
          <w:p>
            <w:pPr>
              <w:spacing w:after="0"/>
              <w:jc w:val="left"/>
            </w:pPr>
            <w:r/>
            <w:r>
              <w:rPr>
                <w:rFonts w:ascii="Times New Roman" w:hAnsi="Times New Roman"/>
                <w:sz w:val="22"/>
              </w:rPr>
              <w:t>max_features: features tried per split</w:t>
            </w:r>
          </w:p>
        </w:tc>
        <w:tc>
          <w:tcPr>
            <w:tcW w:type="dxa" w:w="1504"/>
          </w:tcPr>
          <w:p>
            <w:pPr>
              <w:spacing w:after="0"/>
              <w:jc w:val="left"/>
            </w:pPr>
            <w:r/>
            <w:r>
              <w:rPr>
                <w:rFonts w:ascii="Times New Roman" w:hAnsi="Times New Roman"/>
                <w:sz w:val="22"/>
              </w:rPr>
              <w:t>sqrt, log2</w:t>
            </w:r>
          </w:p>
        </w:tc>
        <w:tc>
          <w:tcPr>
            <w:tcW w:type="dxa" w:w="1504"/>
          </w:tcPr>
          <w:p>
            <w:pPr>
              <w:spacing w:after="0"/>
              <w:jc w:val="left"/>
            </w:pPr>
            <w:r/>
            <w:r>
              <w:rPr>
                <w:rFonts w:ascii="Times New Roman" w:hAnsi="Times New Roman"/>
                <w:sz w:val="22"/>
              </w:rPr>
              <w:t>the two usual subset sizes for decorrelation</w:t>
            </w:r>
          </w:p>
        </w:tc>
        <w:tc>
          <w:tcPr>
            <w:tcW w:type="dxa" w:w="1504"/>
          </w:tcPr>
          <w:p>
            <w:pPr>
              <w:spacing w:after="0"/>
              <w:jc w:val="left"/>
            </w:pPr>
            <w:r/>
            <w:r>
              <w:rPr>
                <w:rFonts w:ascii="Times New Roman" w:hAnsi="Times New Roman"/>
                <w:sz w:val="22"/>
              </w:rPr>
              <w:t>sqrt</w:t>
            </w:r>
          </w:p>
        </w:tc>
        <w:tc>
          <w:tcPr>
            <w:tcW w:type="dxa" w:w="1504"/>
          </w:tcPr>
          <w:p>
            <w:pPr>
              <w:spacing w:after="0"/>
              <w:jc w:val="left"/>
            </w:pPr>
            <w:r/>
            <w:r>
              <w:rPr>
                <w:rFonts w:ascii="Times New Roman" w:hAnsi="Times New Roman"/>
                <w:sz w:val="22"/>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bootstrap samples, Gini impurity</w:t>
            </w:r>
          </w:p>
        </w:tc>
        <w:tc>
          <w:tcPr>
            <w:tcW w:type="dxa" w:w="1504"/>
          </w:tcPr>
          <w:p>
            <w:pPr>
              <w:spacing w:after="0"/>
              <w:jc w:val="left"/>
            </w:pPr>
            <w:r/>
            <w:r>
              <w:rPr>
                <w:rFonts w:ascii="Times New Roman" w:hAnsi="Times New Roman"/>
                <w:sz w:val="22"/>
              </w:rPr>
              <w:t>the design of Breiman (2001)</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(all 24 points, 559 s)</w:t>
            </w:r>
          </w:p>
        </w:tc>
        <w:tc>
          <w:tcPr>
            <w:tcW w:type="dxa" w:w="1504"/>
          </w:tcPr>
          <w:p>
            <w:pPr>
              <w:spacing w:after="0"/>
              <w:jc w:val="left"/>
            </w:pPr>
            <w:r/>
            <w:r>
              <w:rPr>
                <w:rFonts w:ascii="Times New Roman" w:hAnsi="Times New Roman"/>
                <w:sz w:val="22"/>
              </w:rPr>
              <w:t>every combination of the values above</w:t>
            </w:r>
          </w:p>
        </w:tc>
        <w:tc>
          <w:tcPr>
            <w:tcW w:type="dxa" w:w="1504"/>
          </w:tcPr>
          <w:p>
            <w:pPr>
              <w:spacing w:after="0"/>
              <w:jc w:val="left"/>
            </w:pPr>
            <w:r/>
            <w:r>
              <w:rPr>
                <w:rFonts w:ascii="Times New Roman" w:hAnsi="Times New Roman"/>
                <w:sz w:val="22"/>
              </w:rPr>
              <w:t>the random search sampled four points</w:t>
            </w:r>
          </w:p>
        </w:tc>
        <w:tc>
          <w:tcPr>
            <w:tcW w:type="dxa" w:w="1504"/>
          </w:tcPr>
          <w:p>
            <w:pPr>
              <w:spacing w:after="0"/>
              <w:jc w:val="left"/>
            </w:pPr>
            <w:r/>
            <w:r>
              <w:rPr>
                <w:rFonts w:ascii="Times New Roman" w:hAnsi="Times New Roman"/>
                <w:sz w:val="22"/>
              </w:rPr>
              <w:t>200 trees, otherwise as selected (0.822 ± 0.003)</w:t>
            </w:r>
          </w:p>
        </w:tc>
        <w:tc>
          <w:tcPr>
            <w:tcW w:type="dxa" w:w="1504"/>
          </w:tcPr>
          <w:p>
            <w:pPr>
              <w:spacing w:after="0"/>
              <w:jc w:val="left"/>
            </w:pPr>
            <w:r/>
            <w:r>
              <w:rPr>
                <w:rFonts w:ascii="Times New Roman" w:hAnsi="Times New Roman"/>
                <w:sz w:val="22"/>
              </w:rPr>
              <w:t>0.821 (100 trees); 0.810 (log2)</w:t>
            </w:r>
          </w:p>
        </w:tc>
      </w:tr>
      <w:tr>
        <w:tc>
          <w:tcPr>
            <w:tcW w:type="dxa" w:w="1504"/>
          </w:tcPr>
          <w:p>
            <w:pPr>
              <w:spacing w:after="0"/>
              <w:jc w:val="left"/>
            </w:pPr>
            <w:r/>
            <w:r>
              <w:rPr>
                <w:rFonts w:ascii="Times New Roman" w:hAnsi="Times New Roman"/>
                <w:sz w:val="22"/>
              </w:rPr>
              <w:t>HGB (grid, 16; 0.838 ± 0.003; 0.873)</w:t>
            </w:r>
          </w:p>
        </w:tc>
        <w:tc>
          <w:tcPr>
            <w:tcW w:type="dxa" w:w="1504"/>
          </w:tcPr>
          <w:p>
            <w:pPr>
              <w:spacing w:after="0"/>
              <w:jc w:val="left"/>
            </w:pPr>
            <w:r/>
            <w:r>
              <w:rPr>
                <w:rFonts w:ascii="Times New Roman" w:hAnsi="Times New Roman"/>
                <w:sz w:val="22"/>
              </w:rPr>
              <w:t>learning_rate: shrinkage applied to each tree</w:t>
            </w:r>
          </w:p>
        </w:tc>
        <w:tc>
          <w:tcPr>
            <w:tcW w:type="dxa" w:w="1504"/>
          </w:tcPr>
          <w:p>
            <w:pPr>
              <w:spacing w:after="0"/>
              <w:jc w:val="left"/>
            </w:pPr>
            <w:r/>
            <w:r>
              <w:rPr>
                <w:rFonts w:ascii="Times New Roman" w:hAnsi="Times New Roman"/>
                <w:sz w:val="22"/>
              </w:rPr>
              <w:t>0.05, 0.1</w:t>
            </w:r>
          </w:p>
        </w:tc>
        <w:tc>
          <w:tcPr>
            <w:tcW w:type="dxa" w:w="1504"/>
          </w:tcPr>
          <w:p>
            <w:pPr>
              <w:spacing w:after="0"/>
              <w:jc w:val="left"/>
            </w:pPr>
            <w:r/>
            <w:r>
              <w:rPr>
                <w:rFonts w:ascii="Times New Roman" w:hAnsi="Times New Roman"/>
                <w:sz w:val="22"/>
              </w:rPr>
              <w:t>the default and half of it</w:t>
            </w:r>
          </w:p>
        </w:tc>
        <w:tc>
          <w:tcPr>
            <w:tcW w:type="dxa" w:w="1504"/>
          </w:tcPr>
          <w:p>
            <w:pPr>
              <w:spacing w:after="0"/>
              <w:jc w:val="left"/>
            </w:pPr>
            <w:r/>
            <w:r>
              <w:rPr>
                <w:rFonts w:ascii="Times New Roman" w:hAnsi="Times New Roman"/>
                <w:sz w:val="22"/>
              </w:rPr>
              <w:t>0.05</w:t>
            </w:r>
          </w:p>
        </w:tc>
        <w:tc>
          <w:tcPr>
            <w:tcW w:type="dxa" w:w="1504"/>
          </w:tcPr>
          <w:p>
            <w:pPr>
              <w:spacing w:after="0"/>
              <w:jc w:val="left"/>
            </w:pPr>
            <w:r/>
            <w:r>
              <w:rPr>
                <w:rFonts w:ascii="Times New Roman" w:hAnsi="Times New Roman"/>
                <w:sz w:val="22"/>
              </w:rPr>
              <w:t>0.837 (0.1)</w:t>
            </w:r>
          </w:p>
        </w:tc>
      </w:tr>
      <w:tr>
        <w:tc>
          <w:tcPr>
            <w:tcW w:type="dxa" w:w="1504"/>
          </w:tcPr>
          <w:p>
            <w:pPr>
              <w:spacing w:after="0"/>
              <w:jc w:val="left"/>
            </w:pPr>
            <w:r/>
          </w:p>
        </w:tc>
        <w:tc>
          <w:tcPr>
            <w:tcW w:type="dxa" w:w="1504"/>
          </w:tcPr>
          <w:p>
            <w:pPr>
              <w:spacing w:after="0"/>
              <w:jc w:val="left"/>
            </w:pPr>
            <w:r/>
            <w:r>
              <w:rPr>
                <w:rFonts w:ascii="Times New Roman" w:hAnsi="Times New Roman"/>
                <w:sz w:val="22"/>
              </w:rPr>
              <w:t>max_iter: cap on boosting rounds</w:t>
            </w:r>
          </w:p>
        </w:tc>
        <w:tc>
          <w:tcPr>
            <w:tcW w:type="dxa" w:w="1504"/>
          </w:tcPr>
          <w:p>
            <w:pPr>
              <w:spacing w:after="0"/>
              <w:jc w:val="left"/>
            </w:pPr>
            <w:r/>
            <w:r>
              <w:rPr>
                <w:rFonts w:ascii="Times New Roman" w:hAnsi="Times New Roman"/>
                <w:sz w:val="22"/>
              </w:rPr>
              <w:t>200, 400</w:t>
            </w:r>
          </w:p>
        </w:tc>
        <w:tc>
          <w:tcPr>
            <w:tcW w:type="dxa" w:w="1504"/>
          </w:tcPr>
          <w:p>
            <w:pPr>
              <w:spacing w:after="0"/>
              <w:jc w:val="left"/>
            </w:pPr>
            <w:r/>
            <w:r>
              <w:rPr>
                <w:rFonts w:ascii="Times New Roman" w:hAnsi="Times New Roman"/>
                <w:sz w:val="22"/>
              </w:rPr>
              <w:t>caps only, since early stopping ends training</w:t>
            </w:r>
          </w:p>
        </w:tc>
        <w:tc>
          <w:tcPr>
            <w:tcW w:type="dxa" w:w="1504"/>
          </w:tcPr>
          <w:p>
            <w:pPr>
              <w:spacing w:after="0"/>
              <w:jc w:val="left"/>
            </w:pPr>
            <w:r/>
            <w:r>
              <w:rPr>
                <w:rFonts w:ascii="Times New Roman" w:hAnsi="Times New Roman"/>
                <w:sz w:val="22"/>
              </w:rPr>
              <w:t>400</w:t>
            </w:r>
          </w:p>
        </w:tc>
        <w:tc>
          <w:tcPr>
            <w:tcW w:type="dxa" w:w="1504"/>
          </w:tcPr>
          <w:p>
            <w:pPr>
              <w:spacing w:after="0"/>
              <w:jc w:val="left"/>
            </w:pPr>
            <w:r/>
            <w:r>
              <w:rPr>
                <w:rFonts w:ascii="Times New Roman" w:hAnsi="Times New Roman"/>
                <w:sz w:val="22"/>
              </w:rPr>
              <w:t>0.837 (200)</w:t>
            </w:r>
          </w:p>
        </w:tc>
      </w:tr>
      <w:tr>
        <w:tc>
          <w:tcPr>
            <w:tcW w:type="dxa" w:w="1504"/>
          </w:tcPr>
          <w:p>
            <w:pPr>
              <w:spacing w:after="0"/>
              <w:jc w:val="left"/>
            </w:pPr>
            <w:r/>
          </w:p>
        </w:tc>
        <w:tc>
          <w:tcPr>
            <w:tcW w:type="dxa" w:w="1504"/>
          </w:tcPr>
          <w:p>
            <w:pPr>
              <w:spacing w:after="0"/>
              <w:jc w:val="left"/>
            </w:pPr>
            <w:r/>
            <w:r>
              <w:rPr>
                <w:rFonts w:ascii="Times New Roman" w:hAnsi="Times New Roman"/>
                <w:sz w:val="22"/>
              </w:rPr>
              <w:t>max_leaf_nodes: leaves per tree</w:t>
            </w:r>
          </w:p>
        </w:tc>
        <w:tc>
          <w:tcPr>
            <w:tcW w:type="dxa" w:w="1504"/>
          </w:tcPr>
          <w:p>
            <w:pPr>
              <w:spacing w:after="0"/>
              <w:jc w:val="left"/>
            </w:pPr>
            <w:r/>
            <w:r>
              <w:rPr>
                <w:rFonts w:ascii="Times New Roman" w:hAnsi="Times New Roman"/>
                <w:sz w:val="22"/>
              </w:rPr>
              <w:t>15, 31</w:t>
            </w:r>
          </w:p>
        </w:tc>
        <w:tc>
          <w:tcPr>
            <w:tcW w:type="dxa" w:w="1504"/>
          </w:tcPr>
          <w:p>
            <w:pPr>
              <w:spacing w:after="0"/>
              <w:jc w:val="left"/>
            </w:pPr>
            <w:r/>
            <w:r>
              <w:rPr>
                <w:rFonts w:ascii="Times New Roman" w:hAnsi="Times New Roman"/>
                <w:sz w:val="22"/>
              </w:rPr>
              <w:t>the default and about half</w:t>
            </w:r>
          </w:p>
        </w:tc>
        <w:tc>
          <w:tcPr>
            <w:tcW w:type="dxa" w:w="1504"/>
          </w:tcPr>
          <w:p>
            <w:pPr>
              <w:spacing w:after="0"/>
              <w:jc w:val="left"/>
            </w:pPr>
            <w:r/>
            <w:r>
              <w:rPr>
                <w:rFonts w:ascii="Times New Roman" w:hAnsi="Times New Roman"/>
                <w:sz w:val="22"/>
              </w:rPr>
              <w:t>31</w:t>
            </w:r>
          </w:p>
        </w:tc>
        <w:tc>
          <w:tcPr>
            <w:tcW w:type="dxa" w:w="1504"/>
          </w:tcPr>
          <w:p>
            <w:pPr>
              <w:spacing w:after="0"/>
              <w:jc w:val="left"/>
            </w:pPr>
            <w:r/>
            <w:r>
              <w:rPr>
                <w:rFonts w:ascii="Times New Roman" w:hAnsi="Times New Roman"/>
                <w:sz w:val="22"/>
              </w:rPr>
              <w:t>0.836 (15)</w:t>
            </w:r>
          </w:p>
        </w:tc>
      </w:tr>
      <w:tr>
        <w:tc>
          <w:tcPr>
            <w:tcW w:type="dxa" w:w="1504"/>
          </w:tcPr>
          <w:p>
            <w:pPr>
              <w:spacing w:after="0"/>
              <w:jc w:val="left"/>
            </w:pPr>
            <w:r/>
          </w:p>
        </w:tc>
        <w:tc>
          <w:tcPr>
            <w:tcW w:type="dxa" w:w="1504"/>
          </w:tcPr>
          <w:p>
            <w:pPr>
              <w:spacing w:after="0"/>
              <w:jc w:val="left"/>
            </w:pPr>
            <w:r/>
            <w:r>
              <w:rPr>
                <w:rFonts w:ascii="Times New Roman" w:hAnsi="Times New Roman"/>
                <w:sz w:val="22"/>
              </w:rPr>
              <w:t>l2_regularization: penalty on leaf values</w:t>
            </w:r>
          </w:p>
        </w:tc>
        <w:tc>
          <w:tcPr>
            <w:tcW w:type="dxa" w:w="1504"/>
          </w:tcPr>
          <w:p>
            <w:pPr>
              <w:spacing w:after="0"/>
              <w:jc w:val="left"/>
            </w:pPr>
            <w:r/>
            <w:r>
              <w:rPr>
                <w:rFonts w:ascii="Times New Roman" w:hAnsi="Times New Roman"/>
                <w:sz w:val="22"/>
              </w:rPr>
              <w:t>0, 1</w:t>
            </w:r>
          </w:p>
        </w:tc>
        <w:tc>
          <w:tcPr>
            <w:tcW w:type="dxa" w:w="1504"/>
          </w:tcPr>
          <w:p>
            <w:pPr>
              <w:spacing w:after="0"/>
              <w:jc w:val="left"/>
            </w:pPr>
            <w:r/>
            <w:r>
              <w:rPr>
                <w:rFonts w:ascii="Times New Roman" w:hAnsi="Times New Roman"/>
                <w:sz w:val="22"/>
              </w:rPr>
              <w:t>no penalty or a unit penalty</w:t>
            </w:r>
          </w:p>
        </w:tc>
        <w:tc>
          <w:tcPr>
            <w:tcW w:type="dxa" w:w="1504"/>
          </w:tcPr>
          <w:p>
            <w:pPr>
              <w:spacing w:after="0"/>
              <w:jc w:val="left"/>
            </w:pPr>
            <w:r/>
            <w:r>
              <w:rPr>
                <w:rFonts w:ascii="Times New Roman" w:hAnsi="Times New Roman"/>
                <w:sz w:val="22"/>
              </w:rPr>
              <w:t>0</w:t>
            </w:r>
          </w:p>
        </w:tc>
        <w:tc>
          <w:tcPr>
            <w:tcW w:type="dxa" w:w="1504"/>
          </w:tcPr>
          <w:p>
            <w:pPr>
              <w:spacing w:after="0"/>
              <w:jc w:val="left"/>
            </w:pPr>
            <w:r/>
            <w:r>
              <w:rPr>
                <w:rFonts w:ascii="Times New Roman" w:hAnsi="Times New Roman"/>
                <w:sz w:val="22"/>
              </w:rPr>
              <w:t>0.838 (1)</w:t>
            </w:r>
          </w:p>
        </w:tc>
      </w:tr>
      <w:tr>
        <w:tc>
          <w:tcPr>
            <w:tcW w:type="dxa" w:w="1504"/>
          </w:tcPr>
          <w:p>
            <w:pPr>
              <w:spacing w:after="0"/>
              <w:jc w:val="left"/>
            </w:pPr>
            <w:r/>
          </w:p>
        </w:tc>
        <w:tc>
          <w:tcPr>
            <w:tcW w:type="dxa" w:w="1504"/>
          </w:tcPr>
          <w:p>
            <w:pPr>
              <w:spacing w:after="0"/>
              <w:jc w:val="left"/>
            </w:pPr>
            <w:r/>
            <w:r>
              <w:rPr>
                <w:rFonts w:ascii="Times New Roman" w:hAnsi="Times New Roman"/>
                <w:sz w:val="22"/>
              </w:rPr>
              <w:t>early_stopping</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stops after 10 rounds without loss improvement on a 10% validation split</w:t>
            </w:r>
          </w:p>
        </w:tc>
        <w:tc>
          <w:tcPr>
            <w:tcW w:type="dxa" w:w="1504"/>
          </w:tcPr>
          <w:p>
            <w:pPr>
              <w:spacing w:after="0"/>
              <w:jc w:val="left"/>
            </w:pPr>
            <w:r/>
            <w:r>
              <w:rPr>
                <w:rFonts w:ascii="Times New Roman" w:hAnsi="Times New Roman"/>
                <w:sz w:val="22"/>
              </w:rPr>
              <w:t>True</w:t>
            </w:r>
          </w:p>
        </w:tc>
        <w:tc>
          <w:tcPr>
            <w:tcW w:type="dxa" w:w="1504"/>
          </w:tcPr>
          <w:p>
            <w:pPr>
              <w:spacing w:after="0"/>
              <w:jc w:val="left"/>
            </w:pPr>
            <w:r/>
            <w:r>
              <w:rPr>
                <w:rFonts w:ascii="Times New Roman" w:hAnsi="Times New Roman"/>
                <w:sz w:val="22"/>
              </w:rPr>
              <w:t>none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min_samples_leaf 20, 255 bins, no depth limit</w:t>
            </w:r>
          </w:p>
        </w:tc>
        <w:tc>
          <w:tcPr>
            <w:tcW w:type="dxa" w:w="1504"/>
          </w:tcPr>
          <w:p>
            <w:pPr>
              <w:spacing w:after="0"/>
              <w:jc w:val="left"/>
            </w:pPr>
            <w:r/>
            <w:r>
              <w:rPr>
                <w:rFonts w:ascii="Times New Roman" w:hAnsi="Times New Roman"/>
                <w:sz w:val="22"/>
              </w:rPr>
              <w:t>the leaf count already limits tree size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p>
        </w:tc>
        <w:tc>
          <w:tcPr>
            <w:tcW w:type="dxa" w:w="1504"/>
          </w:tcPr>
          <w:p>
            <w:pPr>
              <w:spacing w:after="0"/>
              <w:jc w:val="left"/>
            </w:pPr>
            <w:r/>
            <w:r>
              <w:rPr>
                <w:rFonts w:ascii="Times New Roman" w:hAnsi="Times New Roman"/>
                <w:sz w:val="22"/>
              </w:rPr>
              <w:t>Follow-up grid (24 candidates, 1,104 s)</w:t>
            </w:r>
          </w:p>
        </w:tc>
        <w:tc>
          <w:tcPr>
            <w:tcW w:type="dxa" w:w="1504"/>
          </w:tcPr>
          <w:p>
            <w:pPr>
              <w:spacing w:after="0"/>
              <w:jc w:val="left"/>
            </w:pPr>
            <w:r/>
            <w:r>
              <w:rPr>
                <w:rFonts w:ascii="Times New Roman" w:hAnsi="Times New Roman"/>
                <w:sz w:val="22"/>
              </w:rPr>
              <w:t>max_leaf_nodes 15, 31, 63; min_samples_leaf 20, 100 in place of the inert max_iter (fixed at 400); learning_rate and l2_regularization as above</w:t>
            </w:r>
          </w:p>
        </w:tc>
        <w:tc>
          <w:tcPr>
            <w:tcW w:type="dxa" w:w="1504"/>
          </w:tcPr>
          <w:p>
            <w:pPr>
              <w:spacing w:after="0"/>
              <w:jc w:val="left"/>
            </w:pPr>
            <w:r/>
            <w:r>
              <w:rPr>
                <w:rFonts w:ascii="Times New Roman" w:hAnsi="Times New Roman"/>
                <w:sz w:val="22"/>
              </w:rPr>
              <w:t>31 leaves sat at the grid edge, and leaf size was not searched</w:t>
            </w:r>
          </w:p>
        </w:tc>
        <w:tc>
          <w:tcPr>
            <w:tcW w:type="dxa" w:w="1504"/>
          </w:tcPr>
          <w:p>
            <w:pPr>
              <w:spacing w:after="0"/>
              <w:jc w:val="left"/>
            </w:pPr>
            <w:r/>
            <w:r>
              <w:rPr>
                <w:rFonts w:ascii="Times New Roman" w:hAnsi="Times New Roman"/>
                <w:sz w:val="22"/>
              </w:rPr>
              <w:t>63 leaves, min_samples_leaf 100, l2 1 (0.840 ± 0.003; training 0.886)</w:t>
            </w:r>
          </w:p>
        </w:tc>
        <w:tc>
          <w:tcPr>
            <w:tcW w:type="dxa" w:w="1504"/>
          </w:tcPr>
          <w:p>
            <w:pPr>
              <w:spacing w:after="0"/>
              <w:jc w:val="left"/>
            </w:pPr>
            <w:r/>
            <w:r>
              <w:rPr>
                <w:rFonts w:ascii="Times New Roman" w:hAnsi="Times New Roman"/>
                <w:sz w:val="22"/>
              </w:rPr>
              <w:t>0.838 (selected settings)</w:t>
            </w:r>
          </w:p>
        </w:tc>
      </w:tr>
      <w:tr>
        <w:tc>
          <w:tcPr>
            <w:tcW w:type="dxa" w:w="1504"/>
          </w:tcPr>
          <w:p>
            <w:pPr>
              <w:spacing w:after="0"/>
              <w:jc w:val="left"/>
            </w:pPr>
            <w:r/>
            <w:r>
              <w:rPr>
                <w:rFonts w:ascii="Times New Roman" w:hAnsi="Times New Roman"/>
                <w:sz w:val="22"/>
              </w:rPr>
              <w:t>SVM, RBF kernel (grid, 4; 0.795 ± 0.014; 0.858)</w:t>
            </w:r>
          </w:p>
        </w:tc>
        <w:tc>
          <w:tcPr>
            <w:tcW w:type="dxa" w:w="1504"/>
          </w:tcPr>
          <w:p>
            <w:pPr>
              <w:spacing w:after="0"/>
              <w:jc w:val="left"/>
            </w:pPr>
            <w:r/>
            <w:r>
              <w:rPr>
                <w:rFonts w:ascii="Times New Roman" w:hAnsi="Times New Roman"/>
                <w:sz w:val="22"/>
              </w:rPr>
              <w:t>C: penalty on margin violations</w:t>
            </w:r>
          </w:p>
        </w:tc>
        <w:tc>
          <w:tcPr>
            <w:tcW w:type="dxa" w:w="1504"/>
          </w:tcPr>
          <w:p>
            <w:pPr>
              <w:spacing w:after="0"/>
              <w:jc w:val="left"/>
            </w:pPr>
            <w:r/>
            <w:r>
              <w:rPr>
                <w:rFonts w:ascii="Times New Roman" w:hAnsi="Times New Roman"/>
                <w:sz w:val="22"/>
              </w:rPr>
              <w:t>1, 10</w:t>
            </w:r>
          </w:p>
        </w:tc>
        <w:tc>
          <w:tcPr>
            <w:tcW w:type="dxa" w:w="1504"/>
          </w:tcPr>
          <w:p>
            <w:pPr>
              <w:spacing w:after="0"/>
              <w:jc w:val="left"/>
            </w:pPr>
            <w:r/>
            <w:r>
              <w:rPr>
                <w:rFonts w:ascii="Times New Roman" w:hAnsi="Times New Roman"/>
                <w:sz w:val="22"/>
              </w:rPr>
              <w:t>the default and a weaker penalty; each fit took about three minutes</w:t>
            </w:r>
          </w:p>
        </w:tc>
        <w:tc>
          <w:tcPr>
            <w:tcW w:type="dxa" w:w="1504"/>
          </w:tcPr>
          <w:p>
            <w:pPr>
              <w:spacing w:after="0"/>
              <w:jc w:val="left"/>
            </w:pPr>
            <w:r/>
            <w:r>
              <w:rPr>
                <w:rFonts w:ascii="Times New Roman" w:hAnsi="Times New Roman"/>
                <w:sz w:val="22"/>
              </w:rPr>
              <w:t>1</w:t>
            </w:r>
          </w:p>
        </w:tc>
        <w:tc>
          <w:tcPr>
            <w:tcW w:type="dxa" w:w="1504"/>
          </w:tcPr>
          <w:p>
            <w:pPr>
              <w:spacing w:after="0"/>
              <w:jc w:val="left"/>
            </w:pPr>
            <w:r/>
            <w:r>
              <w:rPr>
                <w:rFonts w:ascii="Times New Roman" w:hAnsi="Times New Roman"/>
                <w:sz w:val="22"/>
              </w:rPr>
              <w:t>0.786 (10)</w:t>
            </w:r>
          </w:p>
        </w:tc>
      </w:tr>
      <w:tr>
        <w:tc>
          <w:tcPr>
            <w:tcW w:type="dxa" w:w="1504"/>
          </w:tcPr>
          <w:p>
            <w:pPr>
              <w:spacing w:after="0"/>
              <w:jc w:val="left"/>
            </w:pPr>
            <w:r/>
          </w:p>
        </w:tc>
        <w:tc>
          <w:tcPr>
            <w:tcW w:type="dxa" w:w="1504"/>
          </w:tcPr>
          <w:p>
            <w:pPr>
              <w:spacing w:after="0"/>
              <w:jc w:val="left"/>
            </w:pPr>
            <w:r/>
            <w:r>
              <w:rPr>
                <w:rFonts w:ascii="Times New Roman" w:hAnsi="Times New Roman"/>
                <w:sz w:val="22"/>
              </w:rPr>
              <w:t>gamma: RBF kernel width</w:t>
            </w:r>
          </w:p>
        </w:tc>
        <w:tc>
          <w:tcPr>
            <w:tcW w:type="dxa" w:w="1504"/>
          </w:tcPr>
          <w:p>
            <w:pPr>
              <w:spacing w:after="0"/>
              <w:jc w:val="left"/>
            </w:pPr>
            <w:r/>
            <w:r>
              <w:rPr>
                <w:rFonts w:ascii="Times New Roman" w:hAnsi="Times New Roman"/>
                <w:sz w:val="22"/>
              </w:rPr>
              <w:t>scale, 0.01</w:t>
            </w:r>
          </w:p>
        </w:tc>
        <w:tc>
          <w:tcPr>
            <w:tcW w:type="dxa" w:w="1504"/>
          </w:tcPr>
          <w:p>
            <w:pPr>
              <w:spacing w:after="0"/>
              <w:jc w:val="left"/>
            </w:pPr>
            <w:r/>
            <w:r>
              <w:rPr>
                <w:rFonts w:ascii="Times New Roman" w:hAnsi="Times New Roman"/>
                <w:sz w:val="22"/>
              </w:rPr>
              <w:t>the default heuristic and one fixed value</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0.791 (scale)</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Platt scaling over five inner folds; 9,913-row subsample of whole mine-years</w:t>
            </w:r>
          </w:p>
        </w:tc>
        <w:tc>
          <w:tcPr>
            <w:tcW w:type="dxa" w:w="1504"/>
          </w:tcPr>
          <w:p>
            <w:pPr>
              <w:spacing w:after="0"/>
              <w:jc w:val="left"/>
            </w:pPr>
            <w:r/>
            <w:r>
              <w:rPr>
                <w:rFonts w:ascii="Times New Roman" w:hAnsi="Times New Roman"/>
                <w:sz w:val="22"/>
              </w:rPr>
              <w:t>probabilities are needed for thresholds; training time is quadratic in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2"/>
              </w:rPr>
              <w:t>MLP (grid, 9; 0.833 ± 0.004; 0.870)</w:t>
            </w:r>
          </w:p>
        </w:tc>
        <w:tc>
          <w:tcPr>
            <w:tcW w:type="dxa" w:w="1504"/>
          </w:tcPr>
          <w:p>
            <w:pPr>
              <w:spacing w:after="0"/>
              <w:jc w:val="left"/>
            </w:pPr>
            <w:r/>
            <w:r>
              <w:rPr>
                <w:rFonts w:ascii="Times New Roman" w:hAnsi="Times New Roman"/>
                <w:sz w:val="22"/>
              </w:rPr>
              <w:t>hidden_layer_sizes: units per hidden layer</w:t>
            </w:r>
          </w:p>
        </w:tc>
        <w:tc>
          <w:tcPr>
            <w:tcW w:type="dxa" w:w="1504"/>
          </w:tcPr>
          <w:p>
            <w:pPr>
              <w:spacing w:after="0"/>
              <w:jc w:val="left"/>
            </w:pPr>
            <w:r/>
            <w:r>
              <w:rPr>
                <w:rFonts w:ascii="Times New Roman" w:hAnsi="Times New Roman"/>
                <w:sz w:val="22"/>
              </w:rPr>
              <w:t>(64), (128), (128, 64)</w:t>
            </w:r>
          </w:p>
        </w:tc>
        <w:tc>
          <w:tcPr>
            <w:tcW w:type="dxa" w:w="1504"/>
          </w:tcPr>
          <w:p>
            <w:pPr>
              <w:spacing w:after="0"/>
              <w:jc w:val="left"/>
            </w:pPr>
            <w:r/>
            <w:r>
              <w:rPr>
                <w:rFonts w:ascii="Times New Roman" w:hAnsi="Times New Roman"/>
                <w:sz w:val="22"/>
              </w:rPr>
              <w:t>one or two small layers for about 65,000 rows per fold</w:t>
            </w:r>
          </w:p>
        </w:tc>
        <w:tc>
          <w:tcPr>
            <w:tcW w:type="dxa" w:w="1504"/>
          </w:tcPr>
          <w:p>
            <w:pPr>
              <w:spacing w:after="0"/>
              <w:jc w:val="left"/>
            </w:pPr>
            <w:r/>
            <w:r>
              <w:rPr>
                <w:rFonts w:ascii="Times New Roman" w:hAnsi="Times New Roman"/>
                <w:sz w:val="22"/>
              </w:rPr>
              <w:t>(128)</w:t>
            </w:r>
          </w:p>
        </w:tc>
        <w:tc>
          <w:tcPr>
            <w:tcW w:type="dxa" w:w="1504"/>
          </w:tcPr>
          <w:p>
            <w:pPr>
              <w:spacing w:after="0"/>
              <w:jc w:val="left"/>
            </w:pPr>
            <w:r/>
            <w:r>
              <w:rPr>
                <w:rFonts w:ascii="Times New Roman" w:hAnsi="Times New Roman"/>
                <w:sz w:val="22"/>
              </w:rPr>
              <w:t>0.832 (64)</w:t>
            </w:r>
          </w:p>
        </w:tc>
      </w:tr>
      <w:tr>
        <w:tc>
          <w:tcPr>
            <w:tcW w:type="dxa" w:w="1504"/>
          </w:tcPr>
          <w:p>
            <w:pPr>
              <w:spacing w:after="0"/>
              <w:jc w:val="left"/>
            </w:pPr>
            <w:r/>
          </w:p>
        </w:tc>
        <w:tc>
          <w:tcPr>
            <w:tcW w:type="dxa" w:w="1504"/>
          </w:tcPr>
          <w:p>
            <w:pPr>
              <w:spacing w:after="0"/>
              <w:jc w:val="left"/>
            </w:pPr>
            <w:r/>
            <w:r>
              <w:rPr>
                <w:rFonts w:ascii="Times New Roman" w:hAnsi="Times New Roman"/>
                <w:sz w:val="22"/>
              </w:rPr>
              <w:t>alpha: L2 weight penalty</w:t>
            </w:r>
          </w:p>
        </w:tc>
        <w:tc>
          <w:tcPr>
            <w:tcW w:type="dxa" w:w="1504"/>
          </w:tcPr>
          <w:p>
            <w:pPr>
              <w:spacing w:after="0"/>
              <w:jc w:val="left"/>
            </w:pPr>
            <w:r/>
            <w:r>
              <w:rPr>
                <w:rFonts w:ascii="Times New Roman" w:hAnsi="Times New Roman"/>
                <w:sz w:val="22"/>
              </w:rPr>
              <w:t>1e-4, 1e-2, 1e-1</w:t>
            </w:r>
          </w:p>
        </w:tc>
        <w:tc>
          <w:tcPr>
            <w:tcW w:type="dxa" w:w="1504"/>
          </w:tcPr>
          <w:p>
            <w:pPr>
              <w:spacing w:after="0"/>
              <w:jc w:val="left"/>
            </w:pPr>
            <w:r/>
            <w:r>
              <w:rPr>
                <w:rFonts w:ascii="Times New Roman" w:hAnsi="Times New Roman"/>
                <w:sz w:val="22"/>
              </w:rPr>
              <w:t>log-spaced from the default upwards</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0.832 (0.1)</w:t>
            </w:r>
          </w:p>
        </w:tc>
      </w:tr>
      <w:tr>
        <w:tc>
          <w:tcPr>
            <w:tcW w:type="dxa" w:w="1504"/>
          </w:tcPr>
          <w:p>
            <w:pPr>
              <w:spacing w:after="0"/>
              <w:jc w:val="left"/>
            </w:pPr>
            <w:r/>
          </w:p>
        </w:tc>
        <w:tc>
          <w:tcPr>
            <w:tcW w:type="dxa" w:w="1504"/>
          </w:tcPr>
          <w:p>
            <w:pPr>
              <w:spacing w:after="0"/>
              <w:jc w:val="left"/>
            </w:pPr>
            <w:r/>
            <w:r>
              <w:rPr>
                <w:rFonts w:ascii="Times New Roman" w:hAnsi="Times New Roman"/>
                <w:sz w:val="22"/>
              </w:rPr>
              <w:t>Fixed settings</w:t>
            </w:r>
          </w:p>
        </w:tc>
        <w:tc>
          <w:tcPr>
            <w:tcW w:type="dxa" w:w="1504"/>
          </w:tcPr>
          <w:p>
            <w:pPr>
              <w:spacing w:after="0"/>
              <w:jc w:val="left"/>
            </w:pPr>
            <w:r/>
            <w:r>
              <w:rPr>
                <w:rFonts w:ascii="Times New Roman" w:hAnsi="Times New Roman"/>
                <w:sz w:val="22"/>
              </w:rPr>
              <w:t>ReLU units; Adam with initial learning rate 0.001; batches of 200; early stopping on a 10% split; at most 200 epochs</w:t>
            </w:r>
          </w:p>
        </w:tc>
        <w:tc>
          <w:tcPr>
            <w:tcW w:type="dxa" w:w="1504"/>
          </w:tcPr>
          <w:p>
            <w:pPr>
              <w:spacing w:after="0"/>
              <w:jc w:val="left"/>
            </w:pPr>
            <w:r/>
            <w:r>
              <w:rPr>
                <w:rFonts w:ascii="Times New Roman" w:hAnsi="Times New Roman"/>
                <w:sz w:val="22"/>
              </w:rPr>
              <w:t>standard settings, with early stopping against overfitting</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Figure 13 plots training and validation PR-AUC against each search's most varied hyperparameter. The decision tree underfits at depth 4 with equal scores, overfits at unlimited depth with a wide gap and peaks at depth 12 with large leaves. The random forest's deep trees open a wider gap still, yet its validation score rises with depth, because averaging cancels much of each tree's variance. The SVM overfits as C grows and has the largest fold-to-fold spread, a cost of its small subsample.</w:t>
      </w:r>
    </w:p>
    <w:p>
      <w:pPr>
        <w:keepNext/>
        <w:jc w:val="center"/>
      </w:pPr>
      <w:r>
        <w:drawing>
          <wp:inline xmlns:a="http://schemas.openxmlformats.org/drawingml/2006/main" xmlns:pic="http://schemas.openxmlformats.org/drawingml/2006/picture">
            <wp:extent cx="5029200" cy="8086703"/>
            <wp:docPr id="13" name="Picture 13" descr="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 title="Figure 13"/>
            <wp:cNvGraphicFramePr>
              <a:graphicFrameLocks noChangeAspect="1"/>
            </wp:cNvGraphicFramePr>
            <a:graphic>
              <a:graphicData uri="http://schemas.openxmlformats.org/drawingml/2006/picture">
                <pic:pic>
                  <pic:nvPicPr>
                    <pic:cNvPr id="0" name="F14_validation_curves.png"/>
                    <pic:cNvPicPr/>
                  </pic:nvPicPr>
                  <pic:blipFill>
                    <a:blip r:embed="rId23"/>
                    <a:stretch>
                      <a:fillRect/>
                    </a:stretch>
                  </pic:blipFill>
                  <pic:spPr>
                    <a:xfrm>
                      <a:off x="0" y="0"/>
                      <a:ext cx="5029200" cy="8086703"/>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r>
        <w:rPr>
          <w:rFonts w:ascii="Times New Roman" w:hAnsi="Times New Roman"/>
          <w:sz w:val="24"/>
        </w:rPr>
        <w:t>Logistic regression is flat from C = 0.1 upwards, with training and validation scores close together, which marks a high-bias model. KNN scores 1.000 on its training folds under distance weighting, because each training row is its own nearest neighbour. Its validation score was still rising at the grid edge of K = 51, yet K = 101 and 151, tried after testing, scored lower. Gaussian naive Bayes peaks sharply in var_smoothing without a gap; one smoothing constant decides its score. HGB and the MLP have flat curves and moderate gaps, so their model class matters more than the selected values.</w:t>
      </w:r>
    </w:p>
    <w:p>
      <w:r>
        <w:rPr>
          <w:rFonts w:ascii="Times New Roman" w:hAnsi="Times New Roman"/>
          <w:sz w:val="24"/>
        </w:rPr>
        <w:t>The threshold was tuned as a further hyperparameter on out-of-fold probabilities, never on test rows, whose labels would then make the reported recall optimistic. The capacity rule takes the lowest threshold whose out-of-fold specificity reaches the target, a second rule flags half the cases, and a cost rule minimises out-of-fold expected cost at each cost ratio (Figure 14). For HGB the capacity threshold of 0.210 gave a test specificity of 0.403 against the 0.40 target, so the review workload planned on training rows held on unseen mine-years.</w:t>
      </w:r>
    </w:p>
    <w:p>
      <w:r>
        <w:rPr>
          <w:rFonts w:ascii="Times New Roman" w:hAnsi="Times New Roman"/>
          <w:sz w:val="24"/>
        </w:rPr>
        <w:t>The grids stayed narrow for compute reasons (Table 15). Searches took from about a minute for logistic regression to twenty minutes for four SVM candidates, and the temporal split repeated all of them. Wider grids for KNN, the forest and HGB, searched after the test scoring and not used for selection, raised no validation PR-AUC by more than 0.002 (Table 10), within one fold standard deviation. Under the one-standard-error rule, which picks the simplest candidate within one standard error of the best mean (Hastie et al., 2009), logistic regression would take a tenfold stronger penalty, the MLP its smaller layer and HGB the faster learning rate with fewer rounds. I kept the highest mean, since each alternative lies within fold noise and none changes the ranking of algorithms.</w:t>
      </w:r>
    </w:p>
    <w:p>
      <w:pPr>
        <w:pStyle w:val="Heading2"/>
      </w:pPr>
      <w:r>
        <w:rPr>
          <w:rFonts w:ascii="Times New Roman" w:hAnsi="Times New Roman"/>
          <w:b/>
          <w:color w:val="000000"/>
          <w:sz w:val="28"/>
        </w:rPr>
        <w:t>4.4 Evaluation metrics</w:t>
      </w:r>
    </w:p>
    <w:p>
      <w:r>
        <w:rPr>
          <w:rFonts w:ascii="Times New Roman" w:hAnsi="Times New Roman"/>
          <w:sz w:val="24"/>
        </w:rPr>
        <w:t>A true positive (TP) is a lost-time case flagged at filing, whose reserve and return-to-work plan then start early. A false negative (FN) is a lost-time case left in routine handling, the miss priced at USD 4,000 in Table 1. A false positive (FP) sends a restricted-duty or no-lost-time case to an unnecessary review costing about USD 200, and a true negative (TN) is such a case left alone. Accuracy, the share of correct cells, was reported but not used, because it prices both errors alike and the majority class reaches 0.514 while flagging nothing (Table 12).</w:t>
      </w:r>
    </w:p>
    <w:p>
      <w:r>
        <w:rPr>
          <w:rFonts w:ascii="Times New Roman" w:hAnsi="Times New Roman"/>
          <w:sz w:val="24"/>
        </w:rPr>
        <w:t>Recall, the true positive rate (TPR), is TP / (TP + FN), the share of lost-time cases flagged and the quantity the insurer most needs. Precision, TP / (TP + FP), is the share of flags that are lost-time and sets the review effort per catch. Specificity, the true negative rate (TNR), is TN / (TN + FP), the share of other cases left alone, which fixes the workload. F1, the harmonic mean of precision and recall, weights both errors equally, so it was reported but not optimised; the expected cost states the asymmetry that an F-beta score would only approximate. Balanced accuracy averages TPR and TNR, and the Matthews correlation coefficient (MCC) is zero for any constant prediction, so both expose a model that flags everything.</w:t>
      </w:r>
    </w:p>
    <w:p>
      <w:r>
        <w:rPr>
          <w:rFonts w:ascii="Times New Roman" w:hAnsi="Times New Roman"/>
          <w:sz w:val="24"/>
        </w:rPr>
        <w:t>ROC-AUC is the probability that a random lost-time case scores above a random other case and does not depend on prevalence (Fawcett, 2006). PR-AUC averages precision over all recall levels, and its no-skill level equals the prevalence of 0.486. A model dominates in precision-recall space exactly when it dominates in ROC space (Davis and Goadrich, 2006). At this prevalence the imbalance argument of Saito and Rehmsmeier (2015) does not apply, and the two measures rank the models alike. PR-AUC is primary because precision is the review yield along the adjuster's queue, while S3 measures recall at the planned capacity.</w:t>
      </w:r>
    </w:p>
    <w:p>
      <w:r>
        <w:rPr>
          <w:rFonts w:ascii="Times New Roman" w:hAnsi="Times New Roman"/>
          <w:sz w:val="24"/>
        </w:rPr>
        <w:t>Because the application shows each probability and the cost rule takes it at face value, calibration was checked. The Brier score, the mean squared gap between probability and outcome, is 0.250 for a constant prediction at the prevalence, and Figure 15 compares predicted with observed rates. Gaussian naive Bayes places many lost-time cases in its lowest bin, the overconfidence expected in Section 2.4. HGB follows the diagonal. Expected cost per 1,000 cases is 1,000 x (FN x C_FN + FP x C_FP) / N, with C_FP from Table 1 and C_FN set by the cost ratio (Figure 14). Reviewing everything costs the same at any ratio, and at high ratios the cheapest threshold flags nearly every case at about that cost, so cost separates models only at the low ratios that S4 tests.</w:t>
      </w:r>
    </w:p>
    <w:p>
      <w:pPr>
        <w:keepNext/>
        <w:jc w:val="center"/>
      </w:pPr>
      <w:r>
        <w:drawing>
          <wp:inline xmlns:a="http://schemas.openxmlformats.org/drawingml/2006/main" xmlns:pic="http://schemas.openxmlformats.org/drawingml/2006/picture">
            <wp:extent cx="5733288" cy="4928930"/>
            <wp:docPr id="14" name="Picture 14" descr="Figure 14. 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 title="Figure 14"/>
            <wp:cNvGraphicFramePr>
              <a:graphicFrameLocks noChangeAspect="1"/>
            </wp:cNvGraphicFramePr>
            <a:graphic>
              <a:graphicData uri="http://schemas.openxmlformats.org/drawingml/2006/picture">
                <pic:pic>
                  <pic:nvPicPr>
                    <pic:cNvPr id="0" name="F18_threshold_cost_curve_hist_gb.png"/>
                    <pic:cNvPicPr/>
                  </pic:nvPicPr>
                  <pic:blipFill>
                    <a:blip r:embed="rId24"/>
                    <a:stretch>
                      <a:fillRect/>
                    </a:stretch>
                  </pic:blipFill>
                  <pic:spPr>
                    <a:xfrm>
                      <a:off x="0" y="0"/>
                      <a:ext cx="5733288" cy="4928930"/>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Recall, specificity, precision, F1 and flag rate (top) and expected cost per 1,000 cases at six cost ratios on a log scale (bottom) against the decision threshold of HGB on the 20,320 test reports, with the three out-of-fold thresholds dashed and the cost of reviewing everything dotted; one threshold axis lets each rate and cost be read at the same cut-off. Source: author's analysis of MSHA open data.</w:t>
      </w:r>
    </w:p>
    <w:p>
      <w:pPr>
        <w:keepNext/>
        <w:jc w:val="center"/>
      </w:pPr>
      <w:r>
        <w:drawing>
          <wp:inline xmlns:a="http://schemas.openxmlformats.org/drawingml/2006/main" xmlns:pic="http://schemas.openxmlformats.org/drawingml/2006/picture">
            <wp:extent cx="4572000" cy="4444845"/>
            <wp:docPr id="15" name="Picture 15" descr="Figure 15.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 title="Figure 15"/>
            <wp:cNvGraphicFramePr>
              <a:graphicFrameLocks noChangeAspect="1"/>
            </wp:cNvGraphicFramePr>
            <a:graphic>
              <a:graphicData uri="http://schemas.openxmlformats.org/drawingml/2006/picture">
                <pic:pic>
                  <pic:nvPicPr>
                    <pic:cNvPr id="0" name="F19_calibration.png"/>
                    <pic:cNvPicPr/>
                  </pic:nvPicPr>
                  <pic:blipFill>
                    <a:blip r:embed="rId25"/>
                    <a:stretch>
                      <a:fillRect/>
                    </a:stretch>
                  </pic:blipFill>
                  <pic:spPr>
                    <a:xfrm>
                      <a:off x="0" y="0"/>
                      <a:ext cx="4572000" cy="444484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r>
        <w:rPr>
          <w:rFonts w:ascii="Times New Roman" w:hAnsi="Times New Roman"/>
          <w:sz w:val="24"/>
        </w:rPr>
        <w:t>Cross-validated scores are fold means and standard deviations on training rows and served selection only; the test set was scored once with every choice fixed, and the two sit in separate tables. No metric here captures fairness between sectors, whose label partly records employer practice, or drift after the training years, so results are also reported by sector and on a temporal split (Table 21).</w:t>
      </w:r>
    </w:p>
    <w:p>
      <w:pPr>
        <w:pStyle w:val="Heading2"/>
      </w:pPr>
      <w:r>
        <w:rPr>
          <w:rFonts w:ascii="Times New Roman" w:hAnsi="Times New Roman"/>
          <w:b/>
          <w:color w:val="000000"/>
          <w:sz w:val="28"/>
        </w:rPr>
        <w:t>4.5 Comparison and final model</w:t>
      </w:r>
    </w:p>
    <w:p>
      <w:r>
        <w:rPr>
          <w:rFonts w:ascii="Times New Roman" w:hAnsi="Times New Roman"/>
          <w:sz w:val="24"/>
        </w:rPr>
        <w:t>Table 11 gives the cross-validated scores and Table 12 the test scores at the default threshold of 0.5. HGB leads both, the MLP is second, and logistic regression nearly ties the random forest. The curves of the top six models lie close together, while KNN and naive Bayes fall below the lookup baseline (Figure 16; Figure 17). At each capacity threshold, recall is close among the top six, and the MLP's highest recall comes with the lowest specificity (Table 13).</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Cross-validated scores (mean ± SD over five grouped folds of the 81,289-row training split) of each model's selected candidate at the default threshold of 0.5, ordered by PR-AUC, the refit metric; KNN and the SVM were cross-validated on their 39,999-row and 9,913-row subsamples, and TNR is pooled over the out-of-fold predictions of all training rows, so it has no SD.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ROC-AUC</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Recall (TPR)</w:t>
            </w:r>
          </w:p>
        </w:tc>
        <w:tc>
          <w:tcPr>
            <w:tcW w:type="dxa" w:w="1003"/>
            <w:shd w:val="clear" w:color="auto" w:fill="E7E6E6"/>
          </w:tcPr>
          <w:p>
            <w:pPr>
              <w:jc w:val="left"/>
            </w:pPr>
            <w:r>
              <w:rPr>
                <w:b/>
              </w:rPr>
            </w:r>
            <w:r>
              <w:rPr>
                <w:rFonts w:ascii="Times New Roman" w:hAnsi="Times New Roman"/>
                <w:b/>
                <w:sz w:val="22"/>
              </w:rPr>
              <w:t>TNR (pooled)</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Accuracy</w:t>
            </w:r>
          </w:p>
        </w:tc>
        <w:tc>
          <w:tcPr>
            <w:tcW w:type="dxa" w:w="1003"/>
            <w:shd w:val="clear" w:color="auto" w:fill="E7E6E6"/>
          </w:tcPr>
          <w:p>
            <w:pPr>
              <w:jc w:val="left"/>
            </w:pPr>
            <w:r>
              <w:rPr>
                <w:b/>
              </w:rPr>
            </w:r>
            <w:r>
              <w:rPr>
                <w:rFonts w:ascii="Times New Roman" w:hAnsi="Times New Roman"/>
                <w:b/>
                <w:sz w:val="22"/>
              </w:rPr>
              <w:t>Brier</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0.838 ± 0.003</w:t>
            </w:r>
          </w:p>
        </w:tc>
        <w:tc>
          <w:tcPr>
            <w:tcW w:type="dxa" w:w="1003"/>
          </w:tcPr>
          <w:p>
            <w:pPr>
              <w:spacing w:after="0"/>
              <w:jc w:val="left"/>
            </w:pPr>
            <w:r/>
            <w:r>
              <w:rPr>
                <w:rFonts w:ascii="Times New Roman" w:hAnsi="Times New Roman"/>
                <w:sz w:val="22"/>
              </w:rPr>
              <w:t>0.839 ± 0.002</w:t>
            </w:r>
          </w:p>
        </w:tc>
        <w:tc>
          <w:tcPr>
            <w:tcW w:type="dxa" w:w="1003"/>
          </w:tcPr>
          <w:p>
            <w:pPr>
              <w:spacing w:after="0"/>
              <w:jc w:val="left"/>
            </w:pPr>
            <w:r/>
            <w:r>
              <w:rPr>
                <w:rFonts w:ascii="Times New Roman" w:hAnsi="Times New Roman"/>
                <w:sz w:val="22"/>
              </w:rPr>
              <w:t>0.743 ± 0.002</w:t>
            </w:r>
          </w:p>
        </w:tc>
        <w:tc>
          <w:tcPr>
            <w:tcW w:type="dxa" w:w="1003"/>
          </w:tcPr>
          <w:p>
            <w:pPr>
              <w:spacing w:after="0"/>
              <w:jc w:val="left"/>
            </w:pPr>
            <w:r/>
            <w:r>
              <w:rPr>
                <w:rFonts w:ascii="Times New Roman" w:hAnsi="Times New Roman"/>
                <w:sz w:val="22"/>
              </w:rPr>
              <w:t>0.723 ± 0.007</w:t>
            </w:r>
          </w:p>
        </w:tc>
        <w:tc>
          <w:tcPr>
            <w:tcW w:type="dxa" w:w="1003"/>
          </w:tcPr>
          <w:p>
            <w:pPr>
              <w:spacing w:after="0"/>
              <w:jc w:val="left"/>
            </w:pPr>
            <w:r/>
            <w:r>
              <w:rPr>
                <w:rFonts w:ascii="Times New Roman" w:hAnsi="Times New Roman"/>
                <w:sz w:val="22"/>
              </w:rPr>
              <w:t>0.789</w:t>
            </w:r>
          </w:p>
        </w:tc>
        <w:tc>
          <w:tcPr>
            <w:tcW w:type="dxa" w:w="1003"/>
          </w:tcPr>
          <w:p>
            <w:pPr>
              <w:spacing w:after="0"/>
              <w:jc w:val="left"/>
            </w:pPr>
            <w:r/>
            <w:r>
              <w:rPr>
                <w:rFonts w:ascii="Times New Roman" w:hAnsi="Times New Roman"/>
                <w:sz w:val="22"/>
              </w:rPr>
              <w:t>0.764 ± 0.005</w:t>
            </w:r>
          </w:p>
        </w:tc>
        <w:tc>
          <w:tcPr>
            <w:tcW w:type="dxa" w:w="1003"/>
          </w:tcPr>
          <w:p>
            <w:pPr>
              <w:spacing w:after="0"/>
              <w:jc w:val="left"/>
            </w:pPr>
            <w:r/>
            <w:r>
              <w:rPr>
                <w:rFonts w:ascii="Times New Roman" w:hAnsi="Times New Roman"/>
                <w:sz w:val="22"/>
              </w:rPr>
              <w:t>0.757 ± 0.002</w:t>
            </w:r>
          </w:p>
        </w:tc>
        <w:tc>
          <w:tcPr>
            <w:tcW w:type="dxa" w:w="1003"/>
          </w:tcPr>
          <w:p>
            <w:pPr>
              <w:spacing w:after="0"/>
              <w:jc w:val="left"/>
            </w:pPr>
            <w:r/>
            <w:r>
              <w:rPr>
                <w:rFonts w:ascii="Times New Roman" w:hAnsi="Times New Roman"/>
                <w:sz w:val="22"/>
              </w:rPr>
              <w:t>0.163 ± 0.001</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0.833 ± 0.004</w:t>
            </w:r>
          </w:p>
        </w:tc>
        <w:tc>
          <w:tcPr>
            <w:tcW w:type="dxa" w:w="1003"/>
          </w:tcPr>
          <w:p>
            <w:pPr>
              <w:spacing w:after="0"/>
              <w:jc w:val="left"/>
            </w:pPr>
            <w:r/>
            <w:r>
              <w:rPr>
                <w:rFonts w:ascii="Times New Roman" w:hAnsi="Times New Roman"/>
                <w:sz w:val="22"/>
              </w:rPr>
              <w:t>0.835 ± 0.004</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0.719 ± 0.019</w:t>
            </w:r>
          </w:p>
        </w:tc>
        <w:tc>
          <w:tcPr>
            <w:tcW w:type="dxa" w:w="1003"/>
          </w:tcPr>
          <w:p>
            <w:pPr>
              <w:spacing w:after="0"/>
              <w:jc w:val="left"/>
            </w:pPr>
            <w:r/>
            <w:r>
              <w:rPr>
                <w:rFonts w:ascii="Times New Roman" w:hAnsi="Times New Roman"/>
                <w:sz w:val="22"/>
              </w:rPr>
              <w:t>0.788</w:t>
            </w:r>
          </w:p>
        </w:tc>
        <w:tc>
          <w:tcPr>
            <w:tcW w:type="dxa" w:w="1003"/>
          </w:tcPr>
          <w:p>
            <w:pPr>
              <w:spacing w:after="0"/>
              <w:jc w:val="left"/>
            </w:pPr>
            <w:r/>
            <w:r>
              <w:rPr>
                <w:rFonts w:ascii="Times New Roman" w:hAnsi="Times New Roman"/>
                <w:sz w:val="22"/>
              </w:rPr>
              <w:t>0.763 ± 0.007</w:t>
            </w:r>
          </w:p>
        </w:tc>
        <w:tc>
          <w:tcPr>
            <w:tcW w:type="dxa" w:w="1003"/>
          </w:tcPr>
          <w:p>
            <w:pPr>
              <w:spacing w:after="0"/>
              <w:jc w:val="left"/>
            </w:pPr>
            <w:r/>
            <w:r>
              <w:rPr>
                <w:rFonts w:ascii="Times New Roman" w:hAnsi="Times New Roman"/>
                <w:sz w:val="22"/>
              </w:rPr>
              <w:t>0.755 ± 0.002</w:t>
            </w:r>
          </w:p>
        </w:tc>
        <w:tc>
          <w:tcPr>
            <w:tcW w:type="dxa" w:w="1003"/>
          </w:tcPr>
          <w:p>
            <w:pPr>
              <w:spacing w:after="0"/>
              <w:jc w:val="left"/>
            </w:pPr>
            <w:r/>
            <w:r>
              <w:rPr>
                <w:rFonts w:ascii="Times New Roman" w:hAnsi="Times New Roman"/>
                <w:sz w:val="22"/>
              </w:rPr>
              <w:t>0.166 ± 0.002</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0.821 ± 0.003</w:t>
            </w:r>
          </w:p>
        </w:tc>
        <w:tc>
          <w:tcPr>
            <w:tcW w:type="dxa" w:w="1003"/>
          </w:tcPr>
          <w:p>
            <w:pPr>
              <w:spacing w:after="0"/>
              <w:jc w:val="left"/>
            </w:pPr>
            <w:r/>
            <w:r>
              <w:rPr>
                <w:rFonts w:ascii="Times New Roman" w:hAnsi="Times New Roman"/>
                <w:sz w:val="22"/>
              </w:rPr>
              <w:t>0.828 ± 0.003</w:t>
            </w:r>
          </w:p>
        </w:tc>
        <w:tc>
          <w:tcPr>
            <w:tcW w:type="dxa" w:w="1003"/>
          </w:tcPr>
          <w:p>
            <w:pPr>
              <w:spacing w:after="0"/>
              <w:jc w:val="left"/>
            </w:pPr>
            <w:r/>
            <w:r>
              <w:rPr>
                <w:rFonts w:ascii="Times New Roman" w:hAnsi="Times New Roman"/>
                <w:sz w:val="22"/>
              </w:rPr>
              <w:t>0.732 ± 0.004</w:t>
            </w:r>
          </w:p>
        </w:tc>
        <w:tc>
          <w:tcPr>
            <w:tcW w:type="dxa" w:w="1003"/>
          </w:tcPr>
          <w:p>
            <w:pPr>
              <w:spacing w:after="0"/>
              <w:jc w:val="left"/>
            </w:pPr>
            <w:r/>
            <w:r>
              <w:rPr>
                <w:rFonts w:ascii="Times New Roman" w:hAnsi="Times New Roman"/>
                <w:sz w:val="22"/>
              </w:rPr>
              <w:t>0.704 ± 0.009</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0.762 ± 0.003</w:t>
            </w:r>
          </w:p>
        </w:tc>
        <w:tc>
          <w:tcPr>
            <w:tcW w:type="dxa" w:w="1003"/>
          </w:tcPr>
          <w:p>
            <w:pPr>
              <w:spacing w:after="0"/>
              <w:jc w:val="left"/>
            </w:pPr>
            <w:r/>
            <w:r>
              <w:rPr>
                <w:rFonts w:ascii="Times New Roman" w:hAnsi="Times New Roman"/>
                <w:sz w:val="22"/>
              </w:rPr>
              <w:t>0.750 ± 0.002</w:t>
            </w:r>
          </w:p>
        </w:tc>
        <w:tc>
          <w:tcPr>
            <w:tcW w:type="dxa" w:w="1003"/>
          </w:tcPr>
          <w:p>
            <w:pPr>
              <w:spacing w:after="0"/>
              <w:jc w:val="left"/>
            </w:pPr>
            <w:r/>
            <w:r>
              <w:rPr>
                <w:rFonts w:ascii="Times New Roman" w:hAnsi="Times New Roman"/>
                <w:sz w:val="22"/>
              </w:rPr>
              <w:t>0.173 ± 0.001</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0.820 ± 0.003</w:t>
            </w:r>
          </w:p>
        </w:tc>
        <w:tc>
          <w:tcPr>
            <w:tcW w:type="dxa" w:w="1003"/>
          </w:tcPr>
          <w:p>
            <w:pPr>
              <w:spacing w:after="0"/>
              <w:jc w:val="left"/>
            </w:pPr>
            <w:r/>
            <w:r>
              <w:rPr>
                <w:rFonts w:ascii="Times New Roman" w:hAnsi="Times New Roman"/>
                <w:sz w:val="22"/>
              </w:rPr>
              <w:t>0.825 ± 0.002</w:t>
            </w:r>
          </w:p>
        </w:tc>
        <w:tc>
          <w:tcPr>
            <w:tcW w:type="dxa" w:w="1003"/>
          </w:tcPr>
          <w:p>
            <w:pPr>
              <w:spacing w:after="0"/>
              <w:jc w:val="left"/>
            </w:pPr>
            <w:r/>
            <w:r>
              <w:rPr>
                <w:rFonts w:ascii="Times New Roman" w:hAnsi="Times New Roman"/>
                <w:sz w:val="22"/>
              </w:rPr>
              <w:t>0.739 ± 0.002</w:t>
            </w:r>
          </w:p>
        </w:tc>
        <w:tc>
          <w:tcPr>
            <w:tcW w:type="dxa" w:w="1003"/>
          </w:tcPr>
          <w:p>
            <w:pPr>
              <w:spacing w:after="0"/>
              <w:jc w:val="left"/>
            </w:pPr>
            <w:r/>
            <w:r>
              <w:rPr>
                <w:rFonts w:ascii="Times New Roman" w:hAnsi="Times New Roman"/>
                <w:sz w:val="22"/>
              </w:rPr>
              <w:t>0.740 ± 0.007</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0.738 ± 0.005</w:t>
            </w:r>
          </w:p>
        </w:tc>
        <w:tc>
          <w:tcPr>
            <w:tcW w:type="dxa" w:w="1003"/>
          </w:tcPr>
          <w:p>
            <w:pPr>
              <w:spacing w:after="0"/>
              <w:jc w:val="left"/>
            </w:pPr>
            <w:r/>
            <w:r>
              <w:rPr>
                <w:rFonts w:ascii="Times New Roman" w:hAnsi="Times New Roman"/>
                <w:sz w:val="22"/>
              </w:rPr>
              <w:t>0.746 ± 0.002</w:t>
            </w:r>
          </w:p>
        </w:tc>
        <w:tc>
          <w:tcPr>
            <w:tcW w:type="dxa" w:w="1003"/>
          </w:tcPr>
          <w:p>
            <w:pPr>
              <w:spacing w:after="0"/>
              <w:jc w:val="left"/>
            </w:pPr>
            <w:r/>
            <w:r>
              <w:rPr>
                <w:rFonts w:ascii="Times New Roman" w:hAnsi="Times New Roman"/>
                <w:sz w:val="22"/>
              </w:rPr>
              <w:t>0.171 ± 0.001</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0.803 ± 0.004</w:t>
            </w:r>
          </w:p>
        </w:tc>
        <w:tc>
          <w:tcPr>
            <w:tcW w:type="dxa" w:w="1003"/>
          </w:tcPr>
          <w:p>
            <w:pPr>
              <w:spacing w:after="0"/>
              <w:jc w:val="left"/>
            </w:pPr>
            <w:r/>
            <w:r>
              <w:rPr>
                <w:rFonts w:ascii="Times New Roman" w:hAnsi="Times New Roman"/>
                <w:sz w:val="22"/>
              </w:rPr>
              <w:t>0.812 ± 0.004</w:t>
            </w:r>
          </w:p>
        </w:tc>
        <w:tc>
          <w:tcPr>
            <w:tcW w:type="dxa" w:w="1003"/>
          </w:tcPr>
          <w:p>
            <w:pPr>
              <w:spacing w:after="0"/>
              <w:jc w:val="left"/>
            </w:pPr>
            <w:r/>
            <w:r>
              <w:rPr>
                <w:rFonts w:ascii="Times New Roman" w:hAnsi="Times New Roman"/>
                <w:sz w:val="22"/>
              </w:rPr>
              <w:t>0.724 ± 0.015</w:t>
            </w:r>
          </w:p>
        </w:tc>
        <w:tc>
          <w:tcPr>
            <w:tcW w:type="dxa" w:w="1003"/>
          </w:tcPr>
          <w:p>
            <w:pPr>
              <w:spacing w:after="0"/>
              <w:jc w:val="left"/>
            </w:pPr>
            <w:r/>
            <w:r>
              <w:rPr>
                <w:rFonts w:ascii="Times New Roman" w:hAnsi="Times New Roman"/>
                <w:sz w:val="22"/>
              </w:rPr>
              <w:t>0.715 ± 0.046</w:t>
            </w:r>
          </w:p>
        </w:tc>
        <w:tc>
          <w:tcPr>
            <w:tcW w:type="dxa" w:w="1003"/>
          </w:tcPr>
          <w:p>
            <w:pPr>
              <w:spacing w:after="0"/>
              <w:jc w:val="left"/>
            </w:pPr>
            <w:r/>
            <w:r>
              <w:rPr>
                <w:rFonts w:ascii="Times New Roman" w:hAnsi="Times New Roman"/>
                <w:sz w:val="22"/>
              </w:rPr>
              <w:t>0.753</w:t>
            </w:r>
          </w:p>
        </w:tc>
        <w:tc>
          <w:tcPr>
            <w:tcW w:type="dxa" w:w="1003"/>
          </w:tcPr>
          <w:p>
            <w:pPr>
              <w:spacing w:after="0"/>
              <w:jc w:val="left"/>
            </w:pPr>
            <w:r/>
            <w:r>
              <w:rPr>
                <w:rFonts w:ascii="Times New Roman" w:hAnsi="Times New Roman"/>
                <w:sz w:val="22"/>
              </w:rPr>
              <w:t>0.735 ± 0.021</w:t>
            </w:r>
          </w:p>
        </w:tc>
        <w:tc>
          <w:tcPr>
            <w:tcW w:type="dxa" w:w="1003"/>
          </w:tcPr>
          <w:p>
            <w:pPr>
              <w:spacing w:after="0"/>
              <w:jc w:val="left"/>
            </w:pPr>
            <w:r/>
            <w:r>
              <w:rPr>
                <w:rFonts w:ascii="Times New Roman" w:hAnsi="Times New Roman"/>
                <w:sz w:val="22"/>
              </w:rPr>
              <w:t>0.735 ± 0.004</w:t>
            </w:r>
          </w:p>
        </w:tc>
        <w:tc>
          <w:tcPr>
            <w:tcW w:type="dxa" w:w="1003"/>
          </w:tcPr>
          <w:p>
            <w:pPr>
              <w:spacing w:after="0"/>
              <w:jc w:val="left"/>
            </w:pPr>
            <w:r/>
            <w:r>
              <w:rPr>
                <w:rFonts w:ascii="Times New Roman" w:hAnsi="Times New Roman"/>
                <w:sz w:val="22"/>
              </w:rPr>
              <w:t>0.176 ± 0.002</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0.795 ± 0.014</w:t>
            </w:r>
          </w:p>
        </w:tc>
        <w:tc>
          <w:tcPr>
            <w:tcW w:type="dxa" w:w="1003"/>
          </w:tcPr>
          <w:p>
            <w:pPr>
              <w:spacing w:after="0"/>
              <w:jc w:val="left"/>
            </w:pPr>
            <w:r/>
            <w:r>
              <w:rPr>
                <w:rFonts w:ascii="Times New Roman" w:hAnsi="Times New Roman"/>
                <w:sz w:val="22"/>
              </w:rPr>
              <w:t>0.807 ± 0.011</w:t>
            </w:r>
          </w:p>
        </w:tc>
        <w:tc>
          <w:tcPr>
            <w:tcW w:type="dxa" w:w="1003"/>
          </w:tcPr>
          <w:p>
            <w:pPr>
              <w:spacing w:after="0"/>
              <w:jc w:val="left"/>
            </w:pPr>
            <w:r/>
            <w:r>
              <w:rPr>
                <w:rFonts w:ascii="Times New Roman" w:hAnsi="Times New Roman"/>
                <w:sz w:val="22"/>
              </w:rPr>
              <w:t>0.722 ± 0.017</w:t>
            </w:r>
          </w:p>
        </w:tc>
        <w:tc>
          <w:tcPr>
            <w:tcW w:type="dxa" w:w="1003"/>
          </w:tcPr>
          <w:p>
            <w:pPr>
              <w:spacing w:after="0"/>
              <w:jc w:val="left"/>
            </w:pPr>
            <w:r/>
            <w:r>
              <w:rPr>
                <w:rFonts w:ascii="Times New Roman" w:hAnsi="Times New Roman"/>
                <w:sz w:val="22"/>
              </w:rPr>
              <w:t>0.722 ± 0.020</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0.723 ± 0.016</w:t>
            </w:r>
          </w:p>
        </w:tc>
        <w:tc>
          <w:tcPr>
            <w:tcW w:type="dxa" w:w="1003"/>
          </w:tcPr>
          <w:p>
            <w:pPr>
              <w:spacing w:after="0"/>
              <w:jc w:val="left"/>
            </w:pPr>
            <w:r/>
            <w:r>
              <w:rPr>
                <w:rFonts w:ascii="Times New Roman" w:hAnsi="Times New Roman"/>
                <w:sz w:val="22"/>
              </w:rPr>
              <w:t>0.731 ± 0.015</w:t>
            </w:r>
          </w:p>
        </w:tc>
        <w:tc>
          <w:tcPr>
            <w:tcW w:type="dxa" w:w="1003"/>
          </w:tcPr>
          <w:p>
            <w:pPr>
              <w:spacing w:after="0"/>
              <w:jc w:val="left"/>
            </w:pPr>
            <w:r/>
            <w:r>
              <w:rPr>
                <w:rFonts w:ascii="Times New Roman" w:hAnsi="Times New Roman"/>
                <w:sz w:val="22"/>
              </w:rPr>
              <w:t>0.179 ± 0.005</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0.764 ± 0.009</w:t>
            </w:r>
          </w:p>
        </w:tc>
        <w:tc>
          <w:tcPr>
            <w:tcW w:type="dxa" w:w="1003"/>
          </w:tcPr>
          <w:p>
            <w:pPr>
              <w:spacing w:after="0"/>
              <w:jc w:val="left"/>
            </w:pPr>
            <w:r/>
            <w:r>
              <w:rPr>
                <w:rFonts w:ascii="Times New Roman" w:hAnsi="Times New Roman"/>
                <w:sz w:val="22"/>
              </w:rPr>
              <w:t>0.766 ± 0.008</w:t>
            </w:r>
          </w:p>
        </w:tc>
        <w:tc>
          <w:tcPr>
            <w:tcW w:type="dxa" w:w="1003"/>
          </w:tcPr>
          <w:p>
            <w:pPr>
              <w:spacing w:after="0"/>
              <w:jc w:val="left"/>
            </w:pPr>
            <w:r/>
            <w:r>
              <w:rPr>
                <w:rFonts w:ascii="Times New Roman" w:hAnsi="Times New Roman"/>
                <w:sz w:val="22"/>
              </w:rPr>
              <w:t>0.648 ± 0.013</w:t>
            </w:r>
          </w:p>
        </w:tc>
        <w:tc>
          <w:tcPr>
            <w:tcW w:type="dxa" w:w="1003"/>
          </w:tcPr>
          <w:p>
            <w:pPr>
              <w:spacing w:after="0"/>
              <w:jc w:val="left"/>
            </w:pPr>
            <w:r/>
            <w:r>
              <w:rPr>
                <w:rFonts w:ascii="Times New Roman" w:hAnsi="Times New Roman"/>
                <w:sz w:val="22"/>
              </w:rPr>
              <w:t>0.585 ± 0.017</w:t>
            </w:r>
          </w:p>
        </w:tc>
        <w:tc>
          <w:tcPr>
            <w:tcW w:type="dxa" w:w="1003"/>
          </w:tcPr>
          <w:p>
            <w:pPr>
              <w:spacing w:after="0"/>
              <w:jc w:val="left"/>
            </w:pPr>
            <w:r/>
            <w:r>
              <w:rPr>
                <w:rFonts w:ascii="Times New Roman" w:hAnsi="Times New Roman"/>
                <w:sz w:val="22"/>
              </w:rPr>
              <w:t>0.793</w:t>
            </w:r>
          </w:p>
        </w:tc>
        <w:tc>
          <w:tcPr>
            <w:tcW w:type="dxa" w:w="1003"/>
          </w:tcPr>
          <w:p>
            <w:pPr>
              <w:spacing w:after="0"/>
              <w:jc w:val="left"/>
            </w:pPr>
            <w:r/>
            <w:r>
              <w:rPr>
                <w:rFonts w:ascii="Times New Roman" w:hAnsi="Times New Roman"/>
                <w:sz w:val="22"/>
              </w:rPr>
              <w:t>0.725 ± 0.014</w:t>
            </w:r>
          </w:p>
        </w:tc>
        <w:tc>
          <w:tcPr>
            <w:tcW w:type="dxa" w:w="1003"/>
          </w:tcPr>
          <w:p>
            <w:pPr>
              <w:spacing w:after="0"/>
              <w:jc w:val="left"/>
            </w:pPr>
            <w:r/>
            <w:r>
              <w:rPr>
                <w:rFonts w:ascii="Times New Roman" w:hAnsi="Times New Roman"/>
                <w:sz w:val="22"/>
              </w:rPr>
              <w:t>0.691 ± 0.010</w:t>
            </w:r>
          </w:p>
        </w:tc>
        <w:tc>
          <w:tcPr>
            <w:tcW w:type="dxa" w:w="1003"/>
          </w:tcPr>
          <w:p>
            <w:pPr>
              <w:spacing w:after="0"/>
              <w:jc w:val="left"/>
            </w:pPr>
            <w:r/>
            <w:r>
              <w:rPr>
                <w:rFonts w:ascii="Times New Roman" w:hAnsi="Times New Roman"/>
                <w:sz w:val="22"/>
              </w:rPr>
              <w:t>0.197 ± 0.003</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0.734 ± 0.006</w:t>
            </w:r>
          </w:p>
        </w:tc>
        <w:tc>
          <w:tcPr>
            <w:tcW w:type="dxa" w:w="1003"/>
          </w:tcPr>
          <w:p>
            <w:pPr>
              <w:spacing w:after="0"/>
              <w:jc w:val="left"/>
            </w:pPr>
            <w:r/>
            <w:r>
              <w:rPr>
                <w:rFonts w:ascii="Times New Roman" w:hAnsi="Times New Roman"/>
                <w:sz w:val="22"/>
              </w:rPr>
              <w:t>0.735 ± 0.002</w:t>
            </w:r>
          </w:p>
        </w:tc>
        <w:tc>
          <w:tcPr>
            <w:tcW w:type="dxa" w:w="1003"/>
          </w:tcPr>
          <w:p>
            <w:pPr>
              <w:spacing w:after="0"/>
              <w:jc w:val="left"/>
            </w:pPr>
            <w:r/>
            <w:r>
              <w:rPr>
                <w:rFonts w:ascii="Times New Roman" w:hAnsi="Times New Roman"/>
                <w:sz w:val="22"/>
              </w:rPr>
              <w:t>0.601 ± 0.003</w:t>
            </w:r>
          </w:p>
        </w:tc>
        <w:tc>
          <w:tcPr>
            <w:tcW w:type="dxa" w:w="1003"/>
          </w:tcPr>
          <w:p>
            <w:pPr>
              <w:spacing w:after="0"/>
              <w:jc w:val="left"/>
            </w:pPr>
            <w:r/>
            <w:r>
              <w:rPr>
                <w:rFonts w:ascii="Times New Roman" w:hAnsi="Times New Roman"/>
                <w:sz w:val="22"/>
              </w:rPr>
              <w:t>0.529 ± 0.006</w:t>
            </w:r>
          </w:p>
        </w:tc>
        <w:tc>
          <w:tcPr>
            <w:tcW w:type="dxa" w:w="1003"/>
          </w:tcPr>
          <w:p>
            <w:pPr>
              <w:spacing w:after="0"/>
              <w:jc w:val="left"/>
            </w:pPr>
            <w:r/>
            <w:r>
              <w:rPr>
                <w:rFonts w:ascii="Times New Roman" w:hAnsi="Times New Roman"/>
                <w:sz w:val="22"/>
              </w:rPr>
              <w:t>0.781</w:t>
            </w:r>
          </w:p>
        </w:tc>
        <w:tc>
          <w:tcPr>
            <w:tcW w:type="dxa" w:w="1003"/>
          </w:tcPr>
          <w:p>
            <w:pPr>
              <w:spacing w:after="0"/>
              <w:jc w:val="left"/>
            </w:pPr>
            <w:r/>
            <w:r>
              <w:rPr>
                <w:rFonts w:ascii="Times New Roman" w:hAnsi="Times New Roman"/>
                <w:sz w:val="22"/>
              </w:rPr>
              <w:t>0.696 ± 0.006</w:t>
            </w:r>
          </w:p>
        </w:tc>
        <w:tc>
          <w:tcPr>
            <w:tcW w:type="dxa" w:w="1003"/>
          </w:tcPr>
          <w:p>
            <w:pPr>
              <w:spacing w:after="0"/>
              <w:jc w:val="left"/>
            </w:pPr>
            <w:r/>
            <w:r>
              <w:rPr>
                <w:rFonts w:ascii="Times New Roman" w:hAnsi="Times New Roman"/>
                <w:sz w:val="22"/>
              </w:rPr>
              <w:t>0.659 ± 0.003</w:t>
            </w:r>
          </w:p>
        </w:tc>
        <w:tc>
          <w:tcPr>
            <w:tcW w:type="dxa" w:w="1003"/>
          </w:tcPr>
          <w:p>
            <w:pPr>
              <w:spacing w:after="0"/>
              <w:jc w:val="left"/>
            </w:pPr>
            <w:r/>
            <w:r>
              <w:rPr>
                <w:rFonts w:ascii="Times New Roman" w:hAnsi="Times New Roman"/>
                <w:sz w:val="22"/>
              </w:rPr>
              <w:t>0.305 ± 0.003</w:t>
            </w:r>
          </w:p>
        </w:tc>
      </w:tr>
    </w:tbl>
    <w:p>
      <w:pPr>
        <w:spacing w:after="80"/>
      </w:pP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2"/>
              </w:rPr>
              <w:t>Model</w:t>
            </w:r>
          </w:p>
        </w:tc>
        <w:tc>
          <w:tcPr>
            <w:tcW w:type="dxa" w:w="1003"/>
            <w:shd w:val="clear" w:color="auto" w:fill="E7E6E6"/>
          </w:tcPr>
          <w:p>
            <w:pPr>
              <w:jc w:val="left"/>
            </w:pPr>
            <w:r>
              <w:rPr>
                <w:b/>
              </w:rPr>
            </w:r>
            <w:r>
              <w:rPr>
                <w:rFonts w:ascii="Times New Roman" w:hAnsi="Times New Roman"/>
                <w:b/>
                <w:sz w:val="22"/>
              </w:rPr>
              <w:t>TPR</w:t>
            </w:r>
          </w:p>
        </w:tc>
        <w:tc>
          <w:tcPr>
            <w:tcW w:type="dxa" w:w="1003"/>
            <w:shd w:val="clear" w:color="auto" w:fill="E7E6E6"/>
          </w:tcPr>
          <w:p>
            <w:pPr>
              <w:jc w:val="left"/>
            </w:pPr>
            <w:r>
              <w:rPr>
                <w:b/>
              </w:rPr>
            </w:r>
            <w:r>
              <w:rPr>
                <w:rFonts w:ascii="Times New Roman" w:hAnsi="Times New Roman"/>
                <w:b/>
                <w:sz w:val="22"/>
              </w:rPr>
              <w:t>TNR</w:t>
            </w:r>
          </w:p>
        </w:tc>
        <w:tc>
          <w:tcPr>
            <w:tcW w:type="dxa" w:w="1003"/>
            <w:shd w:val="clear" w:color="auto" w:fill="E7E6E6"/>
          </w:tcPr>
          <w:p>
            <w:pPr>
              <w:jc w:val="left"/>
            </w:pPr>
            <w:r>
              <w:rPr>
                <w:b/>
              </w:rPr>
            </w:r>
            <w:r>
              <w:rPr>
                <w:rFonts w:ascii="Times New Roman" w:hAnsi="Times New Roman"/>
                <w:b/>
                <w:sz w:val="22"/>
              </w:rPr>
              <w:t>AUC</w:t>
            </w:r>
          </w:p>
        </w:tc>
        <w:tc>
          <w:tcPr>
            <w:tcW w:type="dxa" w:w="1003"/>
            <w:shd w:val="clear" w:color="auto" w:fill="E7E6E6"/>
          </w:tcPr>
          <w:p>
            <w:pPr>
              <w:jc w:val="left"/>
            </w:pPr>
            <w:r>
              <w:rPr>
                <w:b/>
              </w:rPr>
            </w:r>
            <w:r>
              <w:rPr>
                <w:rFonts w:ascii="Times New Roman" w:hAnsi="Times New Roman"/>
                <w:b/>
                <w:sz w:val="22"/>
              </w:rPr>
              <w:t>Recall</w:t>
            </w:r>
          </w:p>
        </w:tc>
        <w:tc>
          <w:tcPr>
            <w:tcW w:type="dxa" w:w="1003"/>
            <w:shd w:val="clear" w:color="auto" w:fill="E7E6E6"/>
          </w:tcPr>
          <w:p>
            <w:pPr>
              <w:jc w:val="left"/>
            </w:pPr>
            <w:r>
              <w:rPr>
                <w:b/>
              </w:rPr>
            </w:r>
            <w:r>
              <w:rPr>
                <w:rFonts w:ascii="Times New Roman" w:hAnsi="Times New Roman"/>
                <w:b/>
                <w:sz w:val="22"/>
              </w:rPr>
              <w:t>Precision</w:t>
            </w:r>
          </w:p>
        </w:tc>
        <w:tc>
          <w:tcPr>
            <w:tcW w:type="dxa" w:w="1003"/>
            <w:shd w:val="clear" w:color="auto" w:fill="E7E6E6"/>
          </w:tcPr>
          <w:p>
            <w:pPr>
              <w:jc w:val="left"/>
            </w:pPr>
            <w:r>
              <w:rPr>
                <w:b/>
              </w:rPr>
            </w:r>
            <w:r>
              <w:rPr>
                <w:rFonts w:ascii="Times New Roman" w:hAnsi="Times New Roman"/>
                <w:b/>
                <w:sz w:val="22"/>
              </w:rPr>
              <w:t>F1</w:t>
            </w:r>
          </w:p>
        </w:tc>
        <w:tc>
          <w:tcPr>
            <w:tcW w:type="dxa" w:w="1003"/>
            <w:shd w:val="clear" w:color="auto" w:fill="E7E6E6"/>
          </w:tcPr>
          <w:p>
            <w:pPr>
              <w:jc w:val="left"/>
            </w:pPr>
            <w:r>
              <w:rPr>
                <w:b/>
              </w:rPr>
            </w:r>
            <w:r>
              <w:rPr>
                <w:rFonts w:ascii="Times New Roman" w:hAnsi="Times New Roman"/>
                <w:b/>
                <w:sz w:val="22"/>
              </w:rPr>
              <w:t>PR-AUC</w:t>
            </w:r>
          </w:p>
        </w:tc>
        <w:tc>
          <w:tcPr>
            <w:tcW w:type="dxa" w:w="1003"/>
            <w:shd w:val="clear" w:color="auto" w:fill="E7E6E6"/>
          </w:tcPr>
          <w:p>
            <w:pPr>
              <w:jc w:val="left"/>
            </w:pPr>
            <w:r>
              <w:rPr>
                <w:b/>
              </w:rPr>
            </w:r>
            <w:r>
              <w:rPr>
                <w:rFonts w:ascii="Times New Roman" w:hAnsi="Times New Roman"/>
                <w:b/>
                <w:sz w:val="22"/>
              </w:rPr>
              <w:t>Accuracy</w:t>
            </w:r>
          </w:p>
        </w:tc>
      </w:tr>
      <w:tr>
        <w:tc>
          <w:tcPr>
            <w:tcW w:type="dxa" w:w="1003"/>
          </w:tcPr>
          <w:p>
            <w:pPr>
              <w:spacing w:after="0"/>
              <w:jc w:val="left"/>
            </w:pPr>
            <w:r/>
            <w:r>
              <w:rPr>
                <w:rFonts w:ascii="Times New Roman" w:hAnsi="Times New Roman"/>
                <w:sz w:val="22"/>
              </w:rPr>
              <w:t>HGB</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0.785</w:t>
            </w:r>
          </w:p>
        </w:tc>
        <w:tc>
          <w:tcPr>
            <w:tcW w:type="dxa" w:w="1003"/>
          </w:tcPr>
          <w:p>
            <w:pPr>
              <w:spacing w:after="0"/>
              <w:jc w:val="left"/>
            </w:pPr>
            <w:r/>
            <w:r>
              <w:rPr>
                <w:rFonts w:ascii="Times New Roman" w:hAnsi="Times New Roman"/>
                <w:sz w:val="22"/>
              </w:rPr>
              <w:t>0.843</w:t>
            </w:r>
          </w:p>
        </w:tc>
        <w:tc>
          <w:tcPr>
            <w:tcW w:type="dxa" w:w="1003"/>
          </w:tcPr>
          <w:p>
            <w:pPr>
              <w:spacing w:after="0"/>
              <w:jc w:val="left"/>
            </w:pPr>
            <w:r/>
            <w:r>
              <w:rPr>
                <w:rFonts w:ascii="Times New Roman" w:hAnsi="Times New Roman"/>
                <w:sz w:val="22"/>
              </w:rPr>
              <w:t>0.738</w:t>
            </w:r>
          </w:p>
        </w:tc>
        <w:tc>
          <w:tcPr>
            <w:tcW w:type="dxa" w:w="1003"/>
          </w:tcPr>
          <w:p>
            <w:pPr>
              <w:spacing w:after="0"/>
              <w:jc w:val="left"/>
            </w:pPr>
            <w:r/>
            <w:r>
              <w:rPr>
                <w:rFonts w:ascii="Times New Roman" w:hAnsi="Times New Roman"/>
                <w:sz w:val="22"/>
              </w:rPr>
              <w:t>0.764</w:t>
            </w:r>
          </w:p>
        </w:tc>
        <w:tc>
          <w:tcPr>
            <w:tcW w:type="dxa" w:w="1003"/>
          </w:tcPr>
          <w:p>
            <w:pPr>
              <w:spacing w:after="0"/>
              <w:jc w:val="left"/>
            </w:pPr>
            <w:r/>
            <w:r>
              <w:rPr>
                <w:rFonts w:ascii="Times New Roman" w:hAnsi="Times New Roman"/>
                <w:sz w:val="22"/>
              </w:rPr>
              <w:t>0.751</w:t>
            </w:r>
          </w:p>
        </w:tc>
        <w:tc>
          <w:tcPr>
            <w:tcW w:type="dxa" w:w="1003"/>
          </w:tcPr>
          <w:p>
            <w:pPr>
              <w:spacing w:after="0"/>
              <w:jc w:val="left"/>
            </w:pPr>
            <w:r/>
            <w:r>
              <w:rPr>
                <w:rFonts w:ascii="Times New Roman" w:hAnsi="Times New Roman"/>
                <w:sz w:val="22"/>
              </w:rPr>
              <w:t>0.841</w:t>
            </w:r>
          </w:p>
        </w:tc>
        <w:tc>
          <w:tcPr>
            <w:tcW w:type="dxa" w:w="1003"/>
          </w:tcPr>
          <w:p>
            <w:pPr>
              <w:spacing w:after="0"/>
              <w:jc w:val="left"/>
            </w:pPr>
            <w:r/>
            <w:r>
              <w:rPr>
                <w:rFonts w:ascii="Times New Roman" w:hAnsi="Times New Roman"/>
                <w:sz w:val="22"/>
              </w:rPr>
              <w:t>0.762</w:t>
            </w:r>
          </w:p>
        </w:tc>
      </w:tr>
      <w:tr>
        <w:tc>
          <w:tcPr>
            <w:tcW w:type="dxa" w:w="1003"/>
          </w:tcPr>
          <w:p>
            <w:pPr>
              <w:spacing w:after="0"/>
              <w:jc w:val="left"/>
            </w:pPr>
            <w:r/>
            <w:r>
              <w:rPr>
                <w:rFonts w:ascii="Times New Roman" w:hAnsi="Times New Roman"/>
                <w:sz w:val="22"/>
              </w:rPr>
              <w:t>MLP</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0.839</w:t>
            </w:r>
          </w:p>
        </w:tc>
        <w:tc>
          <w:tcPr>
            <w:tcW w:type="dxa" w:w="1003"/>
          </w:tcPr>
          <w:p>
            <w:pPr>
              <w:spacing w:after="0"/>
              <w:jc w:val="left"/>
            </w:pPr>
            <w:r/>
            <w:r>
              <w:rPr>
                <w:rFonts w:ascii="Times New Roman" w:hAnsi="Times New Roman"/>
                <w:sz w:val="22"/>
              </w:rPr>
              <w:t>0.749</w:t>
            </w:r>
          </w:p>
        </w:tc>
        <w:tc>
          <w:tcPr>
            <w:tcW w:type="dxa" w:w="1003"/>
          </w:tcPr>
          <w:p>
            <w:pPr>
              <w:spacing w:after="0"/>
              <w:jc w:val="left"/>
            </w:pPr>
            <w:r/>
            <w:r>
              <w:rPr>
                <w:rFonts w:ascii="Times New Roman" w:hAnsi="Times New Roman"/>
                <w:sz w:val="22"/>
              </w:rPr>
              <w:t>0.754</w:t>
            </w:r>
          </w:p>
        </w:tc>
        <w:tc>
          <w:tcPr>
            <w:tcW w:type="dxa" w:w="1003"/>
          </w:tcPr>
          <w:p>
            <w:pPr>
              <w:spacing w:after="0"/>
              <w:jc w:val="left"/>
            </w:pPr>
            <w:r/>
            <w:r>
              <w:rPr>
                <w:rFonts w:ascii="Times New Roman" w:hAnsi="Times New Roman"/>
                <w:sz w:val="22"/>
              </w:rPr>
              <w:t>0.752</w:t>
            </w:r>
          </w:p>
        </w:tc>
        <w:tc>
          <w:tcPr>
            <w:tcW w:type="dxa" w:w="1003"/>
          </w:tcPr>
          <w:p>
            <w:pPr>
              <w:spacing w:after="0"/>
              <w:jc w:val="left"/>
            </w:pPr>
            <w:r/>
            <w:r>
              <w:rPr>
                <w:rFonts w:ascii="Times New Roman" w:hAnsi="Times New Roman"/>
                <w:sz w:val="22"/>
              </w:rPr>
              <w:t>0.837</w:t>
            </w:r>
          </w:p>
        </w:tc>
        <w:tc>
          <w:tcPr>
            <w:tcW w:type="dxa" w:w="1003"/>
          </w:tcPr>
          <w:p>
            <w:pPr>
              <w:spacing w:after="0"/>
              <w:jc w:val="left"/>
            </w:pPr>
            <w:r/>
            <w:r>
              <w:rPr>
                <w:rFonts w:ascii="Times New Roman" w:hAnsi="Times New Roman"/>
                <w:sz w:val="22"/>
              </w:rPr>
              <w:t>0.759</w:t>
            </w:r>
          </w:p>
        </w:tc>
      </w:tr>
      <w:tr>
        <w:tc>
          <w:tcPr>
            <w:tcW w:type="dxa" w:w="1003"/>
          </w:tcPr>
          <w:p>
            <w:pPr>
              <w:spacing w:after="0"/>
              <w:jc w:val="left"/>
            </w:pPr>
            <w:r/>
            <w:r>
              <w:rPr>
                <w:rFonts w:ascii="Times New Roman" w:hAnsi="Times New Roman"/>
                <w:sz w:val="22"/>
              </w:rPr>
              <w:t>Random forest</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0.833</w:t>
            </w:r>
          </w:p>
        </w:tc>
        <w:tc>
          <w:tcPr>
            <w:tcW w:type="dxa" w:w="1003"/>
          </w:tcPr>
          <w:p>
            <w:pPr>
              <w:spacing w:after="0"/>
              <w:jc w:val="left"/>
            </w:pPr>
            <w:r/>
            <w:r>
              <w:rPr>
                <w:rFonts w:ascii="Times New Roman" w:hAnsi="Times New Roman"/>
                <w:sz w:val="22"/>
              </w:rPr>
              <w:t>0.707</w:t>
            </w:r>
          </w:p>
        </w:tc>
        <w:tc>
          <w:tcPr>
            <w:tcW w:type="dxa" w:w="1003"/>
          </w:tcPr>
          <w:p>
            <w:pPr>
              <w:spacing w:after="0"/>
              <w:jc w:val="left"/>
            </w:pPr>
            <w:r/>
            <w:r>
              <w:rPr>
                <w:rFonts w:ascii="Times New Roman" w:hAnsi="Times New Roman"/>
                <w:sz w:val="22"/>
              </w:rPr>
              <w:t>0.769</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0.827</w:t>
            </w:r>
          </w:p>
        </w:tc>
        <w:tc>
          <w:tcPr>
            <w:tcW w:type="dxa" w:w="1003"/>
          </w:tcPr>
          <w:p>
            <w:pPr>
              <w:spacing w:after="0"/>
              <w:jc w:val="left"/>
            </w:pPr>
            <w:r/>
            <w:r>
              <w:rPr>
                <w:rFonts w:ascii="Times New Roman" w:hAnsi="Times New Roman"/>
                <w:sz w:val="22"/>
              </w:rPr>
              <w:t>0.755</w:t>
            </w:r>
          </w:p>
        </w:tc>
      </w:tr>
      <w:tr>
        <w:tc>
          <w:tcPr>
            <w:tcW w:type="dxa" w:w="1003"/>
          </w:tcPr>
          <w:p>
            <w:pPr>
              <w:spacing w:after="0"/>
              <w:jc w:val="left"/>
            </w:pPr>
            <w:r/>
            <w:r>
              <w:rPr>
                <w:rFonts w:ascii="Times New Roman" w:hAnsi="Times New Roman"/>
                <w:sz w:val="22"/>
              </w:rPr>
              <w:t>Logistic regression</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0.758</w:t>
            </w:r>
          </w:p>
        </w:tc>
        <w:tc>
          <w:tcPr>
            <w:tcW w:type="dxa" w:w="1003"/>
          </w:tcPr>
          <w:p>
            <w:pPr>
              <w:spacing w:after="0"/>
              <w:jc w:val="left"/>
            </w:pPr>
            <w:r/>
            <w:r>
              <w:rPr>
                <w:rFonts w:ascii="Times New Roman" w:hAnsi="Times New Roman"/>
                <w:sz w:val="22"/>
              </w:rPr>
              <w:t>0.829</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0.825</w:t>
            </w:r>
          </w:p>
        </w:tc>
        <w:tc>
          <w:tcPr>
            <w:tcW w:type="dxa" w:w="1003"/>
          </w:tcPr>
          <w:p>
            <w:pPr>
              <w:spacing w:after="0"/>
              <w:jc w:val="left"/>
            </w:pPr>
            <w:r/>
            <w:r>
              <w:rPr>
                <w:rFonts w:ascii="Times New Roman" w:hAnsi="Times New Roman"/>
                <w:sz w:val="22"/>
              </w:rPr>
              <w:t>0.751</w:t>
            </w:r>
          </w:p>
        </w:tc>
      </w:tr>
      <w:tr>
        <w:tc>
          <w:tcPr>
            <w:tcW w:type="dxa" w:w="1003"/>
          </w:tcPr>
          <w:p>
            <w:pPr>
              <w:spacing w:after="0"/>
              <w:jc w:val="left"/>
            </w:pPr>
            <w:r/>
            <w:r>
              <w:rPr>
                <w:rFonts w:ascii="Times New Roman" w:hAnsi="Times New Roman"/>
                <w:sz w:val="22"/>
              </w:rPr>
              <w:t>SVM, RBF kernel</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0.763</w:t>
            </w:r>
          </w:p>
        </w:tc>
        <w:tc>
          <w:tcPr>
            <w:tcW w:type="dxa" w:w="1003"/>
          </w:tcPr>
          <w:p>
            <w:pPr>
              <w:spacing w:after="0"/>
              <w:jc w:val="left"/>
            </w:pPr>
            <w:r/>
            <w:r>
              <w:rPr>
                <w:rFonts w:ascii="Times New Roman" w:hAnsi="Times New Roman"/>
                <w:sz w:val="22"/>
              </w:rPr>
              <w:t>0.820</w:t>
            </w:r>
          </w:p>
        </w:tc>
        <w:tc>
          <w:tcPr>
            <w:tcW w:type="dxa" w:w="1003"/>
          </w:tcPr>
          <w:p>
            <w:pPr>
              <w:spacing w:after="0"/>
              <w:jc w:val="left"/>
            </w:pPr>
            <w:r/>
            <w:r>
              <w:rPr>
                <w:rFonts w:ascii="Times New Roman" w:hAnsi="Times New Roman"/>
                <w:sz w:val="22"/>
              </w:rPr>
              <w:t>0.731</w:t>
            </w:r>
          </w:p>
        </w:tc>
        <w:tc>
          <w:tcPr>
            <w:tcW w:type="dxa" w:w="1003"/>
          </w:tcPr>
          <w:p>
            <w:pPr>
              <w:spacing w:after="0"/>
              <w:jc w:val="left"/>
            </w:pPr>
            <w:r/>
            <w:r>
              <w:rPr>
                <w:rFonts w:ascii="Times New Roman" w:hAnsi="Times New Roman"/>
                <w:sz w:val="22"/>
              </w:rPr>
              <w:t>0.744</w:t>
            </w:r>
          </w:p>
        </w:tc>
        <w:tc>
          <w:tcPr>
            <w:tcW w:type="dxa" w:w="1003"/>
          </w:tcPr>
          <w:p>
            <w:pPr>
              <w:spacing w:after="0"/>
              <w:jc w:val="left"/>
            </w:pPr>
            <w:r/>
            <w:r>
              <w:rPr>
                <w:rFonts w:ascii="Times New Roman" w:hAnsi="Times New Roman"/>
                <w:sz w:val="22"/>
              </w:rPr>
              <w:t>0.737</w:t>
            </w:r>
          </w:p>
        </w:tc>
        <w:tc>
          <w:tcPr>
            <w:tcW w:type="dxa" w:w="1003"/>
          </w:tcPr>
          <w:p>
            <w:pPr>
              <w:spacing w:after="0"/>
              <w:jc w:val="left"/>
            </w:pPr>
            <w:r/>
            <w:r>
              <w:rPr>
                <w:rFonts w:ascii="Times New Roman" w:hAnsi="Times New Roman"/>
                <w:sz w:val="22"/>
              </w:rPr>
              <w:t>0.811</w:t>
            </w:r>
          </w:p>
        </w:tc>
        <w:tc>
          <w:tcPr>
            <w:tcW w:type="dxa" w:w="1003"/>
          </w:tcPr>
          <w:p>
            <w:pPr>
              <w:spacing w:after="0"/>
              <w:jc w:val="left"/>
            </w:pPr>
            <w:r/>
            <w:r>
              <w:rPr>
                <w:rFonts w:ascii="Times New Roman" w:hAnsi="Times New Roman"/>
                <w:sz w:val="22"/>
              </w:rPr>
              <w:t>0.747</w:t>
            </w:r>
          </w:p>
        </w:tc>
      </w:tr>
      <w:tr>
        <w:tc>
          <w:tcPr>
            <w:tcW w:type="dxa" w:w="1003"/>
          </w:tcPr>
          <w:p>
            <w:pPr>
              <w:spacing w:after="0"/>
              <w:jc w:val="left"/>
            </w:pPr>
            <w:r/>
            <w:r>
              <w:rPr>
                <w:rFonts w:ascii="Times New Roman" w:hAnsi="Times New Roman"/>
                <w:sz w:val="22"/>
              </w:rPr>
              <w:t>Decision tree</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0.799</w:t>
            </w:r>
          </w:p>
        </w:tc>
        <w:tc>
          <w:tcPr>
            <w:tcW w:type="dxa" w:w="1003"/>
          </w:tcPr>
          <w:p>
            <w:pPr>
              <w:spacing w:after="0"/>
              <w:jc w:val="left"/>
            </w:pPr>
            <w:r/>
            <w:r>
              <w:rPr>
                <w:rFonts w:ascii="Times New Roman" w:hAnsi="Times New Roman"/>
                <w:sz w:val="22"/>
              </w:rPr>
              <w:t>0.817</w:t>
            </w:r>
          </w:p>
        </w:tc>
        <w:tc>
          <w:tcPr>
            <w:tcW w:type="dxa" w:w="1003"/>
          </w:tcPr>
          <w:p>
            <w:pPr>
              <w:spacing w:after="0"/>
              <w:jc w:val="left"/>
            </w:pPr>
            <w:r/>
            <w:r>
              <w:rPr>
                <w:rFonts w:ascii="Times New Roman" w:hAnsi="Times New Roman"/>
                <w:sz w:val="22"/>
              </w:rPr>
              <w:t>0.676</w:t>
            </w:r>
          </w:p>
        </w:tc>
        <w:tc>
          <w:tcPr>
            <w:tcW w:type="dxa" w:w="1003"/>
          </w:tcPr>
          <w:p>
            <w:pPr>
              <w:spacing w:after="0"/>
              <w:jc w:val="left"/>
            </w:pPr>
            <w:r/>
            <w:r>
              <w:rPr>
                <w:rFonts w:ascii="Times New Roman" w:hAnsi="Times New Roman"/>
                <w:sz w:val="22"/>
              </w:rPr>
              <w:t>0.761</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0.805</w:t>
            </w:r>
          </w:p>
        </w:tc>
        <w:tc>
          <w:tcPr>
            <w:tcW w:type="dxa" w:w="1003"/>
          </w:tcPr>
          <w:p>
            <w:pPr>
              <w:spacing w:after="0"/>
              <w:jc w:val="left"/>
            </w:pPr>
            <w:r/>
            <w:r>
              <w:rPr>
                <w:rFonts w:ascii="Times New Roman" w:hAnsi="Times New Roman"/>
                <w:sz w:val="22"/>
              </w:rPr>
              <w:t>0.739</w:t>
            </w:r>
          </w:p>
        </w:tc>
      </w:tr>
      <w:tr>
        <w:tc>
          <w:tcPr>
            <w:tcW w:type="dxa" w:w="1003"/>
          </w:tcPr>
          <w:p>
            <w:pPr>
              <w:spacing w:after="0"/>
              <w:jc w:val="left"/>
            </w:pPr>
            <w:r/>
            <w:r>
              <w:rPr>
                <w:rFonts w:ascii="Times New Roman" w:hAnsi="Times New Roman"/>
                <w:sz w:val="22"/>
              </w:rPr>
              <w:t>Lookup baseline (nature x body part x sector)</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0.801</w:t>
            </w:r>
          </w:p>
        </w:tc>
        <w:tc>
          <w:tcPr>
            <w:tcW w:type="dxa" w:w="1003"/>
          </w:tcPr>
          <w:p>
            <w:pPr>
              <w:spacing w:after="0"/>
              <w:jc w:val="left"/>
            </w:pPr>
            <w:r/>
            <w:r>
              <w:rPr>
                <w:rFonts w:ascii="Times New Roman" w:hAnsi="Times New Roman"/>
                <w:sz w:val="22"/>
              </w:rPr>
              <w:t>0.804</w:t>
            </w:r>
          </w:p>
        </w:tc>
        <w:tc>
          <w:tcPr>
            <w:tcW w:type="dxa" w:w="1003"/>
          </w:tcPr>
          <w:p>
            <w:pPr>
              <w:spacing w:after="0"/>
              <w:jc w:val="left"/>
            </w:pPr>
            <w:r/>
            <w:r>
              <w:rPr>
                <w:rFonts w:ascii="Times New Roman" w:hAnsi="Times New Roman"/>
                <w:sz w:val="22"/>
              </w:rPr>
              <w:t>0.655</w:t>
            </w:r>
          </w:p>
        </w:tc>
        <w:tc>
          <w:tcPr>
            <w:tcW w:type="dxa" w:w="1003"/>
          </w:tcPr>
          <w:p>
            <w:pPr>
              <w:spacing w:after="0"/>
              <w:jc w:val="left"/>
            </w:pPr>
            <w:r/>
            <w:r>
              <w:rPr>
                <w:rFonts w:ascii="Times New Roman" w:hAnsi="Times New Roman"/>
                <w:sz w:val="22"/>
              </w:rPr>
              <w:t>0.756</w:t>
            </w:r>
          </w:p>
        </w:tc>
        <w:tc>
          <w:tcPr>
            <w:tcW w:type="dxa" w:w="1003"/>
          </w:tcPr>
          <w:p>
            <w:pPr>
              <w:spacing w:after="0"/>
              <w:jc w:val="left"/>
            </w:pPr>
            <w:r/>
            <w:r>
              <w:rPr>
                <w:rFonts w:ascii="Times New Roman" w:hAnsi="Times New Roman"/>
                <w:sz w:val="22"/>
              </w:rPr>
              <w:t>0.702</w:t>
            </w:r>
          </w:p>
        </w:tc>
        <w:tc>
          <w:tcPr>
            <w:tcW w:type="dxa" w:w="1003"/>
          </w:tcPr>
          <w:p>
            <w:pPr>
              <w:spacing w:after="0"/>
              <w:jc w:val="left"/>
            </w:pPr>
            <w:r/>
            <w:r>
              <w:rPr>
                <w:rFonts w:ascii="Times New Roman" w:hAnsi="Times New Roman"/>
                <w:sz w:val="22"/>
              </w:rPr>
              <w:t>0.790</w:t>
            </w:r>
          </w:p>
        </w:tc>
        <w:tc>
          <w:tcPr>
            <w:tcW w:type="dxa" w:w="1003"/>
          </w:tcPr>
          <w:p>
            <w:pPr>
              <w:spacing w:after="0"/>
              <w:jc w:val="left"/>
            </w:pPr>
            <w:r/>
            <w:r>
              <w:rPr>
                <w:rFonts w:ascii="Times New Roman" w:hAnsi="Times New Roman"/>
                <w:sz w:val="22"/>
              </w:rPr>
              <w:t>0.730</w:t>
            </w:r>
          </w:p>
        </w:tc>
      </w:tr>
      <w:tr>
        <w:tc>
          <w:tcPr>
            <w:tcW w:type="dxa" w:w="1003"/>
          </w:tcPr>
          <w:p>
            <w:pPr>
              <w:spacing w:after="0"/>
              <w:jc w:val="left"/>
            </w:pPr>
            <w:r/>
            <w:r>
              <w:rPr>
                <w:rFonts w:ascii="Times New Roman" w:hAnsi="Times New Roman"/>
                <w:sz w:val="22"/>
              </w:rPr>
              <w:t>KNN</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0.807</w:t>
            </w:r>
          </w:p>
        </w:tc>
        <w:tc>
          <w:tcPr>
            <w:tcW w:type="dxa" w:w="1003"/>
          </w:tcPr>
          <w:p>
            <w:pPr>
              <w:spacing w:after="0"/>
              <w:jc w:val="left"/>
            </w:pPr>
            <w:r/>
            <w:r>
              <w:rPr>
                <w:rFonts w:ascii="Times New Roman" w:hAnsi="Times New Roman"/>
                <w:sz w:val="22"/>
              </w:rPr>
              <w:t>0.773</w:t>
            </w:r>
          </w:p>
        </w:tc>
        <w:tc>
          <w:tcPr>
            <w:tcW w:type="dxa" w:w="1003"/>
          </w:tcPr>
          <w:p>
            <w:pPr>
              <w:spacing w:after="0"/>
              <w:jc w:val="left"/>
            </w:pPr>
            <w:r/>
            <w:r>
              <w:rPr>
                <w:rFonts w:ascii="Times New Roman" w:hAnsi="Times New Roman"/>
                <w:sz w:val="22"/>
              </w:rPr>
              <w:t>0.589</w:t>
            </w:r>
          </w:p>
        </w:tc>
        <w:tc>
          <w:tcPr>
            <w:tcW w:type="dxa" w:w="1003"/>
          </w:tcPr>
          <w:p>
            <w:pPr>
              <w:spacing w:after="0"/>
              <w:jc w:val="left"/>
            </w:pPr>
            <w:r/>
            <w:r>
              <w:rPr>
                <w:rFonts w:ascii="Times New Roman" w:hAnsi="Times New Roman"/>
                <w:sz w:val="22"/>
              </w:rPr>
              <w:t>0.743</w:t>
            </w:r>
          </w:p>
        </w:tc>
        <w:tc>
          <w:tcPr>
            <w:tcW w:type="dxa" w:w="1003"/>
          </w:tcPr>
          <w:p>
            <w:pPr>
              <w:spacing w:after="0"/>
              <w:jc w:val="left"/>
            </w:pPr>
            <w:r/>
            <w:r>
              <w:rPr>
                <w:rFonts w:ascii="Times New Roman" w:hAnsi="Times New Roman"/>
                <w:sz w:val="22"/>
              </w:rPr>
              <w:t>0.657</w:t>
            </w:r>
          </w:p>
        </w:tc>
        <w:tc>
          <w:tcPr>
            <w:tcW w:type="dxa" w:w="1003"/>
          </w:tcPr>
          <w:p>
            <w:pPr>
              <w:spacing w:after="0"/>
              <w:jc w:val="left"/>
            </w:pPr>
            <w:r/>
            <w:r>
              <w:rPr>
                <w:rFonts w:ascii="Times New Roman" w:hAnsi="Times New Roman"/>
                <w:sz w:val="22"/>
              </w:rPr>
              <w:t>0.770</w:t>
            </w:r>
          </w:p>
        </w:tc>
        <w:tc>
          <w:tcPr>
            <w:tcW w:type="dxa" w:w="1003"/>
          </w:tcPr>
          <w:p>
            <w:pPr>
              <w:spacing w:after="0"/>
              <w:jc w:val="left"/>
            </w:pPr>
            <w:r/>
            <w:r>
              <w:rPr>
                <w:rFonts w:ascii="Times New Roman" w:hAnsi="Times New Roman"/>
                <w:sz w:val="22"/>
              </w:rPr>
              <w:t>0.701</w:t>
            </w:r>
          </w:p>
        </w:tc>
      </w:tr>
      <w:tr>
        <w:tc>
          <w:tcPr>
            <w:tcW w:type="dxa" w:w="1003"/>
          </w:tcPr>
          <w:p>
            <w:pPr>
              <w:spacing w:after="0"/>
              <w:jc w:val="left"/>
            </w:pPr>
            <w:r/>
            <w:r>
              <w:rPr>
                <w:rFonts w:ascii="Times New Roman" w:hAnsi="Times New Roman"/>
                <w:sz w:val="22"/>
              </w:rPr>
              <w:t>Gaussian naive Bayes</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0.802</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0.524</w:t>
            </w:r>
          </w:p>
        </w:tc>
        <w:tc>
          <w:tcPr>
            <w:tcW w:type="dxa" w:w="1003"/>
          </w:tcPr>
          <w:p>
            <w:pPr>
              <w:spacing w:after="0"/>
              <w:jc w:val="left"/>
            </w:pPr>
            <w:r/>
            <w:r>
              <w:rPr>
                <w:rFonts w:ascii="Times New Roman" w:hAnsi="Times New Roman"/>
                <w:sz w:val="22"/>
              </w:rPr>
              <w:t>0.715</w:t>
            </w:r>
          </w:p>
        </w:tc>
        <w:tc>
          <w:tcPr>
            <w:tcW w:type="dxa" w:w="1003"/>
          </w:tcPr>
          <w:p>
            <w:pPr>
              <w:spacing w:after="0"/>
              <w:jc w:val="left"/>
            </w:pPr>
            <w:r/>
            <w:r>
              <w:rPr>
                <w:rFonts w:ascii="Times New Roman" w:hAnsi="Times New Roman"/>
                <w:sz w:val="22"/>
              </w:rPr>
              <w:t>0.605</w:t>
            </w:r>
          </w:p>
        </w:tc>
        <w:tc>
          <w:tcPr>
            <w:tcW w:type="dxa" w:w="1003"/>
          </w:tcPr>
          <w:p>
            <w:pPr>
              <w:spacing w:after="0"/>
              <w:jc w:val="left"/>
            </w:pPr>
            <w:r/>
            <w:r>
              <w:rPr>
                <w:rFonts w:ascii="Times New Roman" w:hAnsi="Times New Roman"/>
                <w:sz w:val="22"/>
              </w:rPr>
              <w:t>0.741</w:t>
            </w:r>
          </w:p>
        </w:tc>
        <w:tc>
          <w:tcPr>
            <w:tcW w:type="dxa" w:w="1003"/>
          </w:tcPr>
          <w:p>
            <w:pPr>
              <w:spacing w:after="0"/>
              <w:jc w:val="left"/>
            </w:pPr>
            <w:r/>
            <w:r>
              <w:rPr>
                <w:rFonts w:ascii="Times New Roman" w:hAnsi="Times New Roman"/>
                <w:sz w:val="22"/>
              </w:rPr>
              <w:t>0.667</w:t>
            </w:r>
          </w:p>
        </w:tc>
      </w:tr>
      <w:tr>
        <w:tc>
          <w:tcPr>
            <w:tcW w:type="dxa" w:w="1003"/>
          </w:tcPr>
          <w:p>
            <w:pPr>
              <w:spacing w:after="0"/>
              <w:jc w:val="left"/>
            </w:pPr>
            <w:r/>
            <w:r>
              <w:rPr>
                <w:rFonts w:ascii="Times New Roman" w:hAnsi="Times New Roman"/>
                <w:sz w:val="22"/>
              </w:rPr>
              <w:t>Baseline: hand rule (not a cut, dust in the eye or a scratch)</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0.423</w:t>
            </w:r>
          </w:p>
        </w:tc>
        <w:tc>
          <w:tcPr>
            <w:tcW w:type="dxa" w:w="1003"/>
          </w:tcPr>
          <w:p>
            <w:pPr>
              <w:spacing w:after="0"/>
              <w:jc w:val="left"/>
            </w:pPr>
            <w:r/>
            <w:r>
              <w:rPr>
                <w:rFonts w:ascii="Times New Roman" w:hAnsi="Times New Roman"/>
                <w:sz w:val="22"/>
              </w:rPr>
              <w:t>0.660</w:t>
            </w:r>
          </w:p>
        </w:tc>
        <w:tc>
          <w:tcPr>
            <w:tcW w:type="dxa" w:w="1003"/>
          </w:tcPr>
          <w:p>
            <w:pPr>
              <w:spacing w:after="0"/>
              <w:jc w:val="left"/>
            </w:pPr>
            <w:r/>
            <w:r>
              <w:rPr>
                <w:rFonts w:ascii="Times New Roman" w:hAnsi="Times New Roman"/>
                <w:sz w:val="22"/>
              </w:rPr>
              <w:t>0.898</w:t>
            </w:r>
          </w:p>
        </w:tc>
        <w:tc>
          <w:tcPr>
            <w:tcW w:type="dxa" w:w="1003"/>
          </w:tcPr>
          <w:p>
            <w:pPr>
              <w:spacing w:after="0"/>
              <w:jc w:val="left"/>
            </w:pPr>
            <w:r/>
            <w:r>
              <w:rPr>
                <w:rFonts w:ascii="Times New Roman" w:hAnsi="Times New Roman"/>
                <w:sz w:val="22"/>
              </w:rPr>
              <w:t>0.595</w:t>
            </w:r>
          </w:p>
        </w:tc>
        <w:tc>
          <w:tcPr>
            <w:tcW w:type="dxa" w:w="1003"/>
          </w:tcPr>
          <w:p>
            <w:pPr>
              <w:spacing w:after="0"/>
              <w:jc w:val="left"/>
            </w:pPr>
            <w:r/>
            <w:r>
              <w:rPr>
                <w:rFonts w:ascii="Times New Roman" w:hAnsi="Times New Roman"/>
                <w:sz w:val="22"/>
              </w:rPr>
              <w:t>0.716</w:t>
            </w:r>
          </w:p>
        </w:tc>
        <w:tc>
          <w:tcPr>
            <w:tcW w:type="dxa" w:w="1003"/>
          </w:tcPr>
          <w:p>
            <w:pPr>
              <w:spacing w:after="0"/>
              <w:jc w:val="left"/>
            </w:pPr>
            <w:r/>
            <w:r>
              <w:rPr>
                <w:rFonts w:ascii="Times New Roman" w:hAnsi="Times New Roman"/>
                <w:sz w:val="22"/>
              </w:rPr>
              <w:t>0.584</w:t>
            </w:r>
          </w:p>
        </w:tc>
        <w:tc>
          <w:tcPr>
            <w:tcW w:type="dxa" w:w="1003"/>
          </w:tcPr>
          <w:p>
            <w:pPr>
              <w:spacing w:after="0"/>
              <w:jc w:val="left"/>
            </w:pPr>
            <w:r/>
            <w:r>
              <w:rPr>
                <w:rFonts w:ascii="Times New Roman" w:hAnsi="Times New Roman"/>
                <w:sz w:val="22"/>
              </w:rPr>
              <w:t>0.654</w:t>
            </w:r>
          </w:p>
        </w:tc>
      </w:tr>
      <w:tr>
        <w:tc>
          <w:tcPr>
            <w:tcW w:type="dxa" w:w="1003"/>
          </w:tcPr>
          <w:p>
            <w:pPr>
              <w:spacing w:after="0"/>
              <w:jc w:val="left"/>
            </w:pPr>
            <w:r/>
            <w:r>
              <w:rPr>
                <w:rFonts w:ascii="Times New Roman" w:hAnsi="Times New Roman"/>
                <w:sz w:val="22"/>
              </w:rPr>
              <w:t>Baseline: majority class</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0.514</w:t>
            </w:r>
          </w:p>
        </w:tc>
      </w:tr>
      <w:tr>
        <w:tc>
          <w:tcPr>
            <w:tcW w:type="dxa" w:w="1003"/>
          </w:tcPr>
          <w:p>
            <w:pPr>
              <w:spacing w:after="0"/>
              <w:jc w:val="left"/>
            </w:pPr>
            <w:r/>
            <w:r>
              <w:rPr>
                <w:rFonts w:ascii="Times New Roman" w:hAnsi="Times New Roman"/>
                <w:sz w:val="22"/>
              </w:rPr>
              <w:t>Baseline: review everything</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0.000</w:t>
            </w:r>
          </w:p>
        </w:tc>
        <w:tc>
          <w:tcPr>
            <w:tcW w:type="dxa" w:w="1003"/>
          </w:tcPr>
          <w:p>
            <w:pPr>
              <w:spacing w:after="0"/>
              <w:jc w:val="left"/>
            </w:pPr>
            <w:r/>
            <w:r>
              <w:rPr>
                <w:rFonts w:ascii="Times New Roman" w:hAnsi="Times New Roman"/>
                <w:sz w:val="22"/>
              </w:rPr>
              <w:t>0.500</w:t>
            </w:r>
          </w:p>
        </w:tc>
        <w:tc>
          <w:tcPr>
            <w:tcW w:type="dxa" w:w="1003"/>
          </w:tcPr>
          <w:p>
            <w:pPr>
              <w:spacing w:after="0"/>
              <w:jc w:val="left"/>
            </w:pPr>
            <w:r/>
            <w:r>
              <w:rPr>
                <w:rFonts w:ascii="Times New Roman" w:hAnsi="Times New Roman"/>
                <w:sz w:val="22"/>
              </w:rPr>
              <w:t>1.000</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0.654</w:t>
            </w:r>
          </w:p>
        </w:tc>
        <w:tc>
          <w:tcPr>
            <w:tcW w:type="dxa" w:w="1003"/>
          </w:tcPr>
          <w:p>
            <w:pPr>
              <w:spacing w:after="0"/>
              <w:jc w:val="left"/>
            </w:pPr>
            <w:r/>
            <w:r>
              <w:rPr>
                <w:rFonts w:ascii="Times New Roman" w:hAnsi="Times New Roman"/>
                <w:sz w:val="22"/>
              </w:rPr>
              <w:t>0.486</w:t>
            </w:r>
          </w:p>
        </w:tc>
        <w:tc>
          <w:tcPr>
            <w:tcW w:type="dxa" w:w="1003"/>
          </w:tcPr>
          <w:p>
            <w:pPr>
              <w:spacing w:after="0"/>
              <w:jc w:val="left"/>
            </w:pPr>
            <w:r/>
            <w:r>
              <w:rPr>
                <w:rFonts w:ascii="Times New Roman" w:hAnsi="Times New Roman"/>
                <w:sz w:val="22"/>
              </w:rPr>
              <w:t>0.486</w:t>
            </w:r>
          </w:p>
        </w:tc>
      </w:tr>
    </w:tbl>
    <w:p>
      <w:pPr>
        <w:spacing w:after="80"/>
      </w:pPr>
    </w:p>
    <w:p>
      <w:pPr>
        <w:keepNext/>
        <w:jc w:val="center"/>
      </w:pPr>
      <w:r>
        <w:drawing>
          <wp:inline xmlns:a="http://schemas.openxmlformats.org/drawingml/2006/main" xmlns:pic="http://schemas.openxmlformats.org/drawingml/2006/picture">
            <wp:extent cx="4572000" cy="4466448"/>
            <wp:docPr id="16" name="Picture 16" descr="Figure 16. ROC curves of the eight tuned models and the lookup baseline on the 20,320 test reports, with test ROC-AUC in the legend and the chance diagonal dotted; ROC space is shown because it does not depend on prevalence. Source: author's analysis of MSHA open data." title="Figure 16"/>
            <wp:cNvGraphicFramePr>
              <a:graphicFrameLocks noChangeAspect="1"/>
            </wp:cNvGraphicFramePr>
            <a:graphic>
              <a:graphicData uri="http://schemas.openxmlformats.org/drawingml/2006/picture">
                <pic:pic>
                  <pic:nvPicPr>
                    <pic:cNvPr id="0" name="F12_roc_curves.png"/>
                    <pic:cNvPicPr/>
                  </pic:nvPicPr>
                  <pic:blipFill>
                    <a:blip r:embed="rId26"/>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ROC curves of the eight tuned models and the lookup baseline on the 20,320 test reports, with test ROC-AUC in the legend and the chance diagonal dotted; ROC space is shown because it does not depend on prevalence. Source: author's analysis of MSHA open data.</w:t>
      </w:r>
    </w:p>
    <w:p>
      <w:pPr>
        <w:keepNext/>
        <w:jc w:val="center"/>
      </w:pPr>
      <w:r>
        <w:drawing>
          <wp:inline xmlns:a="http://schemas.openxmlformats.org/drawingml/2006/main" xmlns:pic="http://schemas.openxmlformats.org/drawingml/2006/picture">
            <wp:extent cx="4572000" cy="4466448"/>
            <wp:docPr id="17" name="Picture 17" descr="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 title="Figure 17"/>
            <wp:cNvGraphicFramePr>
              <a:graphicFrameLocks noChangeAspect="1"/>
            </wp:cNvGraphicFramePr>
            <a:graphic>
              <a:graphicData uri="http://schemas.openxmlformats.org/drawingml/2006/picture">
                <pic:pic>
                  <pic:nvPicPr>
                    <pic:cNvPr id="0" name="F13_pr_curves.png"/>
                    <pic:cNvPicPr/>
                  </pic:nvPicPr>
                  <pic:blipFill>
                    <a:blip r:embed="rId27"/>
                    <a:stretch>
                      <a:fillRect/>
                    </a:stretch>
                  </pic:blipFill>
                  <pic:spPr>
                    <a:xfrm>
                      <a:off x="0" y="0"/>
                      <a:ext cx="4572000" cy="4466448"/>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val="clear" w:color="auto" w:fill="E7E6E6"/>
          </w:tcPr>
          <w:p>
            <w:pPr>
              <w:jc w:val="left"/>
            </w:pPr>
            <w:r>
              <w:rPr>
                <w:b/>
              </w:rPr>
            </w:r>
            <w:r>
              <w:rPr>
                <w:rFonts w:ascii="Times New Roman" w:hAnsi="Times New Roman"/>
                <w:b/>
                <w:sz w:val="22"/>
              </w:rPr>
              <w:t>Model</w:t>
            </w:r>
          </w:p>
        </w:tc>
        <w:tc>
          <w:tcPr>
            <w:tcW w:type="dxa" w:w="903"/>
            <w:shd w:val="clear" w:color="auto" w:fill="E7E6E6"/>
          </w:tcPr>
          <w:p>
            <w:pPr>
              <w:jc w:val="left"/>
            </w:pPr>
            <w:r>
              <w:rPr>
                <w:b/>
              </w:rPr>
            </w:r>
            <w:r>
              <w:rPr>
                <w:rFonts w:ascii="Times New Roman" w:hAnsi="Times New Roman"/>
                <w:b/>
                <w:sz w:val="22"/>
              </w:rPr>
              <w:t>Threshold</w:t>
            </w:r>
          </w:p>
        </w:tc>
        <w:tc>
          <w:tcPr>
            <w:tcW w:type="dxa" w:w="903"/>
            <w:shd w:val="clear" w:color="auto" w:fill="E7E6E6"/>
          </w:tcPr>
          <w:p>
            <w:pPr>
              <w:jc w:val="left"/>
            </w:pPr>
            <w:r>
              <w:rPr>
                <w:b/>
              </w:rPr>
            </w:r>
            <w:r>
              <w:rPr>
                <w:rFonts w:ascii="Times New Roman" w:hAnsi="Times New Roman"/>
                <w:b/>
                <w:sz w:val="22"/>
              </w:rPr>
              <w:t>Flag rate</w:t>
            </w:r>
          </w:p>
        </w:tc>
        <w:tc>
          <w:tcPr>
            <w:tcW w:type="dxa" w:w="903"/>
            <w:shd w:val="clear" w:color="auto" w:fill="E7E6E6"/>
          </w:tcPr>
          <w:p>
            <w:pPr>
              <w:jc w:val="left"/>
            </w:pPr>
            <w:r>
              <w:rPr>
                <w:b/>
              </w:rPr>
            </w:r>
            <w:r>
              <w:rPr>
                <w:rFonts w:ascii="Times New Roman" w:hAnsi="Times New Roman"/>
                <w:b/>
                <w:sz w:val="22"/>
              </w:rPr>
              <w:t>TPR (recall)</w:t>
            </w:r>
          </w:p>
        </w:tc>
        <w:tc>
          <w:tcPr>
            <w:tcW w:type="dxa" w:w="903"/>
            <w:shd w:val="clear" w:color="auto" w:fill="E7E6E6"/>
          </w:tcPr>
          <w:p>
            <w:pPr>
              <w:jc w:val="left"/>
            </w:pPr>
            <w:r>
              <w:rPr>
                <w:b/>
              </w:rPr>
            </w:r>
            <w:r>
              <w:rPr>
                <w:rFonts w:ascii="Times New Roman" w:hAnsi="Times New Roman"/>
                <w:b/>
                <w:sz w:val="22"/>
              </w:rPr>
              <w:t>TNR</w:t>
            </w:r>
          </w:p>
        </w:tc>
        <w:tc>
          <w:tcPr>
            <w:tcW w:type="dxa" w:w="903"/>
            <w:shd w:val="clear" w:color="auto" w:fill="E7E6E6"/>
          </w:tcPr>
          <w:p>
            <w:pPr>
              <w:jc w:val="left"/>
            </w:pPr>
            <w:r>
              <w:rPr>
                <w:b/>
              </w:rPr>
            </w:r>
            <w:r>
              <w:rPr>
                <w:rFonts w:ascii="Times New Roman" w:hAnsi="Times New Roman"/>
                <w:b/>
                <w:sz w:val="22"/>
              </w:rPr>
              <w:t>Precision</w:t>
            </w:r>
          </w:p>
        </w:tc>
        <w:tc>
          <w:tcPr>
            <w:tcW w:type="dxa" w:w="903"/>
            <w:shd w:val="clear" w:color="auto" w:fill="E7E6E6"/>
          </w:tcPr>
          <w:p>
            <w:pPr>
              <w:jc w:val="left"/>
            </w:pPr>
            <w:r>
              <w:rPr>
                <w:b/>
              </w:rPr>
            </w:r>
            <w:r>
              <w:rPr>
                <w:rFonts w:ascii="Times New Roman" w:hAnsi="Times New Roman"/>
                <w:b/>
                <w:sz w:val="22"/>
              </w:rPr>
              <w:t>F1</w:t>
            </w:r>
          </w:p>
        </w:tc>
        <w:tc>
          <w:tcPr>
            <w:tcW w:type="dxa" w:w="903"/>
            <w:shd w:val="clear" w:color="auto" w:fill="E7E6E6"/>
          </w:tcPr>
          <w:p>
            <w:pPr>
              <w:jc w:val="left"/>
            </w:pPr>
            <w:r>
              <w:rPr>
                <w:b/>
              </w:rPr>
            </w:r>
            <w:r>
              <w:rPr>
                <w:rFonts w:ascii="Times New Roman" w:hAnsi="Times New Roman"/>
                <w:b/>
                <w:sz w:val="22"/>
              </w:rPr>
              <w:t>Balanced accuracy</w:t>
            </w:r>
          </w:p>
        </w:tc>
        <w:tc>
          <w:tcPr>
            <w:tcW w:type="dxa" w:w="903"/>
            <w:shd w:val="clear" w:color="auto" w:fill="E7E6E6"/>
          </w:tcPr>
          <w:p>
            <w:pPr>
              <w:jc w:val="left"/>
            </w:pPr>
            <w:r>
              <w:rPr>
                <w:b/>
              </w:rPr>
            </w:r>
            <w:r>
              <w:rPr>
                <w:rFonts w:ascii="Times New Roman" w:hAnsi="Times New Roman"/>
                <w:b/>
                <w:sz w:val="22"/>
              </w:rPr>
              <w:t>MCC</w:t>
            </w:r>
          </w:p>
        </w:tc>
        <w:tc>
          <w:tcPr>
            <w:tcW w:type="dxa" w:w="903"/>
            <w:shd w:val="clear" w:color="auto" w:fill="E7E6E6"/>
          </w:tcPr>
          <w:p>
            <w:pPr>
              <w:jc w:val="left"/>
            </w:pPr>
            <w:r>
              <w:rPr>
                <w:b/>
              </w:rPr>
            </w:r>
            <w:r>
              <w:rPr>
                <w:rFonts w:ascii="Times New Roman" w:hAnsi="Times New Roman"/>
                <w:b/>
                <w:sz w:val="22"/>
              </w:rPr>
              <w:t>Brier</w:t>
            </w:r>
          </w:p>
        </w:tc>
      </w:tr>
      <w:tr>
        <w:tc>
          <w:tcPr>
            <w:tcW w:type="dxa" w:w="903"/>
          </w:tcPr>
          <w:p>
            <w:pPr>
              <w:spacing w:after="0"/>
              <w:jc w:val="left"/>
            </w:pPr>
            <w:r/>
            <w:r>
              <w:rPr>
                <w:rFonts w:ascii="Times New Roman" w:hAnsi="Times New Roman"/>
                <w:sz w:val="22"/>
              </w:rPr>
              <w:t>HGB</w:t>
            </w:r>
          </w:p>
        </w:tc>
        <w:tc>
          <w:tcPr>
            <w:tcW w:type="dxa" w:w="903"/>
          </w:tcPr>
          <w:p>
            <w:pPr>
              <w:spacing w:after="0"/>
              <w:jc w:val="left"/>
            </w:pPr>
            <w:r/>
            <w:r>
              <w:rPr>
                <w:rFonts w:ascii="Times New Roman" w:hAnsi="Times New Roman"/>
                <w:sz w:val="22"/>
              </w:rPr>
              <w:t>0.210</w:t>
            </w:r>
          </w:p>
        </w:tc>
        <w:tc>
          <w:tcPr>
            <w:tcW w:type="dxa" w:w="903"/>
          </w:tcPr>
          <w:p>
            <w:pPr>
              <w:spacing w:after="0"/>
              <w:jc w:val="left"/>
            </w:pPr>
            <w:r/>
            <w:r>
              <w:rPr>
                <w:rFonts w:ascii="Times New Roman" w:hAnsi="Times New Roman"/>
                <w:sz w:val="22"/>
              </w:rPr>
              <w:t>0.765</w:t>
            </w:r>
          </w:p>
        </w:tc>
        <w:tc>
          <w:tcPr>
            <w:tcW w:type="dxa" w:w="903"/>
          </w:tcPr>
          <w:p>
            <w:pPr>
              <w:spacing w:after="0"/>
              <w:jc w:val="left"/>
            </w:pPr>
            <w:r/>
            <w:r>
              <w:rPr>
                <w:rFonts w:ascii="Times New Roman" w:hAnsi="Times New Roman"/>
                <w:sz w:val="22"/>
              </w:rPr>
              <w:t>0.943</w:t>
            </w:r>
          </w:p>
        </w:tc>
        <w:tc>
          <w:tcPr>
            <w:tcW w:type="dxa" w:w="903"/>
          </w:tcPr>
          <w:p>
            <w:pPr>
              <w:spacing w:after="0"/>
              <w:jc w:val="left"/>
            </w:pPr>
            <w:r/>
            <w:r>
              <w:rPr>
                <w:rFonts w:ascii="Times New Roman" w:hAnsi="Times New Roman"/>
                <w:sz w:val="22"/>
              </w:rPr>
              <w:t>0.403</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0.673</w:t>
            </w:r>
          </w:p>
        </w:tc>
        <w:tc>
          <w:tcPr>
            <w:tcW w:type="dxa" w:w="903"/>
          </w:tcPr>
          <w:p>
            <w:pPr>
              <w:spacing w:after="0"/>
              <w:jc w:val="left"/>
            </w:pPr>
            <w:r/>
            <w:r>
              <w:rPr>
                <w:rFonts w:ascii="Times New Roman" w:hAnsi="Times New Roman"/>
                <w:sz w:val="22"/>
              </w:rPr>
              <w:t>0.409</w:t>
            </w:r>
          </w:p>
        </w:tc>
        <w:tc>
          <w:tcPr>
            <w:tcW w:type="dxa" w:w="903"/>
          </w:tcPr>
          <w:p>
            <w:pPr>
              <w:spacing w:after="0"/>
              <w:jc w:val="left"/>
            </w:pPr>
            <w:r/>
            <w:r>
              <w:rPr>
                <w:rFonts w:ascii="Times New Roman" w:hAnsi="Times New Roman"/>
                <w:sz w:val="22"/>
              </w:rPr>
              <w:t>0.161</w:t>
            </w:r>
          </w:p>
        </w:tc>
      </w:tr>
      <w:tr>
        <w:tc>
          <w:tcPr>
            <w:tcW w:type="dxa" w:w="903"/>
          </w:tcPr>
          <w:p>
            <w:pPr>
              <w:spacing w:after="0"/>
              <w:jc w:val="left"/>
            </w:pPr>
            <w:r/>
            <w:r>
              <w:rPr>
                <w:rFonts w:ascii="Times New Roman" w:hAnsi="Times New Roman"/>
                <w:sz w:val="22"/>
              </w:rPr>
              <w:t>MLP</w:t>
            </w:r>
          </w:p>
        </w:tc>
        <w:tc>
          <w:tcPr>
            <w:tcW w:type="dxa" w:w="903"/>
          </w:tcPr>
          <w:p>
            <w:pPr>
              <w:spacing w:after="0"/>
              <w:jc w:val="left"/>
            </w:pPr>
            <w:r/>
            <w:r>
              <w:rPr>
                <w:rFonts w:ascii="Times New Roman" w:hAnsi="Times New Roman"/>
                <w:sz w:val="22"/>
              </w:rPr>
              <w:t>0.187</w:t>
            </w:r>
          </w:p>
        </w:tc>
        <w:tc>
          <w:tcPr>
            <w:tcW w:type="dxa" w:w="903"/>
          </w:tcPr>
          <w:p>
            <w:pPr>
              <w:spacing w:after="0"/>
              <w:jc w:val="left"/>
            </w:pPr>
            <w:r/>
            <w:r>
              <w:rPr>
                <w:rFonts w:ascii="Times New Roman" w:hAnsi="Times New Roman"/>
                <w:sz w:val="22"/>
              </w:rPr>
              <w:t>0.783</w:t>
            </w:r>
          </w:p>
        </w:tc>
        <w:tc>
          <w:tcPr>
            <w:tcW w:type="dxa" w:w="903"/>
          </w:tcPr>
          <w:p>
            <w:pPr>
              <w:spacing w:after="0"/>
              <w:jc w:val="left"/>
            </w:pPr>
            <w:r/>
            <w:r>
              <w:rPr>
                <w:rFonts w:ascii="Times New Roman" w:hAnsi="Times New Roman"/>
                <w:sz w:val="22"/>
              </w:rPr>
              <w:t>0.948</w:t>
            </w:r>
          </w:p>
        </w:tc>
        <w:tc>
          <w:tcPr>
            <w:tcW w:type="dxa" w:w="903"/>
          </w:tcPr>
          <w:p>
            <w:pPr>
              <w:spacing w:after="0"/>
              <w:jc w:val="left"/>
            </w:pPr>
            <w:r/>
            <w:r>
              <w:rPr>
                <w:rFonts w:ascii="Times New Roman" w:hAnsi="Times New Roman"/>
                <w:sz w:val="22"/>
              </w:rPr>
              <w:t>0.373</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0.726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0.389</w:t>
            </w:r>
          </w:p>
        </w:tc>
        <w:tc>
          <w:tcPr>
            <w:tcW w:type="dxa" w:w="903"/>
          </w:tcPr>
          <w:p>
            <w:pPr>
              <w:spacing w:after="0"/>
              <w:jc w:val="left"/>
            </w:pPr>
            <w:r/>
            <w:r>
              <w:rPr>
                <w:rFonts w:ascii="Times New Roman" w:hAnsi="Times New Roman"/>
                <w:sz w:val="22"/>
              </w:rPr>
              <w:t>0.163</w:t>
            </w:r>
          </w:p>
        </w:tc>
      </w:tr>
      <w:tr>
        <w:tc>
          <w:tcPr>
            <w:tcW w:type="dxa" w:w="903"/>
          </w:tcPr>
          <w:p>
            <w:pPr>
              <w:spacing w:after="0"/>
              <w:jc w:val="left"/>
            </w:pPr>
            <w:r/>
            <w:r>
              <w:rPr>
                <w:rFonts w:ascii="Times New Roman" w:hAnsi="Times New Roman"/>
                <w:sz w:val="22"/>
              </w:rPr>
              <w:t>Random forest</w:t>
            </w:r>
          </w:p>
        </w:tc>
        <w:tc>
          <w:tcPr>
            <w:tcW w:type="dxa" w:w="903"/>
          </w:tcPr>
          <w:p>
            <w:pPr>
              <w:spacing w:after="0"/>
              <w:jc w:val="left"/>
            </w:pPr>
            <w:r/>
            <w:r>
              <w:rPr>
                <w:rFonts w:ascii="Times New Roman" w:hAnsi="Times New Roman"/>
                <w:sz w:val="22"/>
              </w:rPr>
              <w:t>0.290</w:t>
            </w:r>
          </w:p>
        </w:tc>
        <w:tc>
          <w:tcPr>
            <w:tcW w:type="dxa" w:w="903"/>
          </w:tcPr>
          <w:p>
            <w:pPr>
              <w:spacing w:after="0"/>
              <w:jc w:val="left"/>
            </w:pPr>
            <w:r/>
            <w:r>
              <w:rPr>
                <w:rFonts w:ascii="Times New Roman" w:hAnsi="Times New Roman"/>
                <w:sz w:val="22"/>
              </w:rPr>
              <w:t>0.759</w:t>
            </w:r>
          </w:p>
        </w:tc>
        <w:tc>
          <w:tcPr>
            <w:tcW w:type="dxa" w:w="903"/>
          </w:tcPr>
          <w:p>
            <w:pPr>
              <w:spacing w:after="0"/>
              <w:jc w:val="left"/>
            </w:pPr>
            <w:r/>
            <w:r>
              <w:rPr>
                <w:rFonts w:ascii="Times New Roman" w:hAnsi="Times New Roman"/>
                <w:sz w:val="22"/>
              </w:rPr>
              <w:t>0.935</w:t>
            </w:r>
          </w:p>
        </w:tc>
        <w:tc>
          <w:tcPr>
            <w:tcW w:type="dxa" w:w="903"/>
          </w:tcPr>
          <w:p>
            <w:pPr>
              <w:spacing w:after="0"/>
              <w:jc w:val="left"/>
            </w:pPr>
            <w:r/>
            <w:r>
              <w:rPr>
                <w:rFonts w:ascii="Times New Roman" w:hAnsi="Times New Roman"/>
                <w:sz w:val="22"/>
              </w:rPr>
              <w:t>0.408</w:t>
            </w:r>
          </w:p>
        </w:tc>
        <w:tc>
          <w:tcPr>
            <w:tcW w:type="dxa" w:w="903"/>
          </w:tcPr>
          <w:p>
            <w:pPr>
              <w:spacing w:after="0"/>
              <w:jc w:val="left"/>
            </w:pPr>
            <w:r/>
            <w:r>
              <w:rPr>
                <w:rFonts w:ascii="Times New Roman" w:hAnsi="Times New Roman"/>
                <w:sz w:val="22"/>
              </w:rPr>
              <w:t>0.599</w:t>
            </w:r>
          </w:p>
        </w:tc>
        <w:tc>
          <w:tcPr>
            <w:tcW w:type="dxa" w:w="903"/>
          </w:tcPr>
          <w:p>
            <w:pPr>
              <w:spacing w:after="0"/>
              <w:jc w:val="left"/>
            </w:pPr>
            <w:r/>
            <w:r>
              <w:rPr>
                <w:rFonts w:ascii="Times New Roman" w:hAnsi="Times New Roman"/>
                <w:sz w:val="22"/>
              </w:rPr>
              <w:t>0.730</w:t>
            </w:r>
          </w:p>
        </w:tc>
        <w:tc>
          <w:tcPr>
            <w:tcW w:type="dxa" w:w="903"/>
          </w:tcPr>
          <w:p>
            <w:pPr>
              <w:spacing w:after="0"/>
              <w:jc w:val="left"/>
            </w:pPr>
            <w:r/>
            <w:r>
              <w:rPr>
                <w:rFonts w:ascii="Times New Roman" w:hAnsi="Times New Roman"/>
                <w:sz w:val="22"/>
              </w:rPr>
              <w:t>0.672</w:t>
            </w:r>
          </w:p>
        </w:tc>
        <w:tc>
          <w:tcPr>
            <w:tcW w:type="dxa" w:w="903"/>
          </w:tcPr>
          <w:p>
            <w:pPr>
              <w:spacing w:after="0"/>
              <w:jc w:val="left"/>
            </w:pPr>
            <w:r/>
            <w:r>
              <w:rPr>
                <w:rFonts w:ascii="Times New Roman" w:hAnsi="Times New Roman"/>
                <w:sz w:val="22"/>
              </w:rPr>
              <w:t>0.401</w:t>
            </w:r>
          </w:p>
        </w:tc>
        <w:tc>
          <w:tcPr>
            <w:tcW w:type="dxa" w:w="903"/>
          </w:tcPr>
          <w:p>
            <w:pPr>
              <w:spacing w:after="0"/>
              <w:jc w:val="left"/>
            </w:pPr>
            <w:r/>
            <w:r>
              <w:rPr>
                <w:rFonts w:ascii="Times New Roman" w:hAnsi="Times New Roman"/>
                <w:sz w:val="22"/>
              </w:rPr>
              <w:t>0.170</w:t>
            </w:r>
          </w:p>
        </w:tc>
      </w:tr>
      <w:tr>
        <w:tc>
          <w:tcPr>
            <w:tcW w:type="dxa" w:w="903"/>
          </w:tcPr>
          <w:p>
            <w:pPr>
              <w:spacing w:after="0"/>
              <w:jc w:val="left"/>
            </w:pPr>
            <w:r/>
            <w:r>
              <w:rPr>
                <w:rFonts w:ascii="Times New Roman" w:hAnsi="Times New Roman"/>
                <w:sz w:val="22"/>
              </w:rPr>
              <w:t>Logistic regression</w:t>
            </w:r>
          </w:p>
        </w:tc>
        <w:tc>
          <w:tcPr>
            <w:tcW w:type="dxa" w:w="903"/>
          </w:tcPr>
          <w:p>
            <w:pPr>
              <w:spacing w:after="0"/>
              <w:jc w:val="left"/>
            </w:pPr>
            <w:r/>
            <w:r>
              <w:rPr>
                <w:rFonts w:ascii="Times New Roman" w:hAnsi="Times New Roman"/>
                <w:sz w:val="22"/>
              </w:rPr>
              <w:t>0.222</w:t>
            </w:r>
          </w:p>
        </w:tc>
        <w:tc>
          <w:tcPr>
            <w:tcW w:type="dxa" w:w="903"/>
          </w:tcPr>
          <w:p>
            <w:pPr>
              <w:spacing w:after="0"/>
              <w:jc w:val="left"/>
            </w:pPr>
            <w:r/>
            <w:r>
              <w:rPr>
                <w:rFonts w:ascii="Times New Roman" w:hAnsi="Times New Roman"/>
                <w:sz w:val="22"/>
              </w:rPr>
              <w:t>0.760</w:t>
            </w:r>
          </w:p>
        </w:tc>
        <w:tc>
          <w:tcPr>
            <w:tcW w:type="dxa" w:w="903"/>
          </w:tcPr>
          <w:p>
            <w:pPr>
              <w:spacing w:after="0"/>
              <w:jc w:val="left"/>
            </w:pPr>
            <w:r/>
            <w:r>
              <w:rPr>
                <w:rFonts w:ascii="Times New Roman" w:hAnsi="Times New Roman"/>
                <w:sz w:val="22"/>
              </w:rPr>
              <w:t>0.934</w:t>
            </w:r>
          </w:p>
        </w:tc>
        <w:tc>
          <w:tcPr>
            <w:tcW w:type="dxa" w:w="903"/>
          </w:tcPr>
          <w:p>
            <w:pPr>
              <w:spacing w:after="0"/>
              <w:jc w:val="left"/>
            </w:pPr>
            <w:r/>
            <w:r>
              <w:rPr>
                <w:rFonts w:ascii="Times New Roman" w:hAnsi="Times New Roman"/>
                <w:sz w:val="22"/>
              </w:rPr>
              <w:t>0.405</w:t>
            </w:r>
          </w:p>
        </w:tc>
        <w:tc>
          <w:tcPr>
            <w:tcW w:type="dxa" w:w="903"/>
          </w:tcPr>
          <w:p>
            <w:pPr>
              <w:spacing w:after="0"/>
              <w:jc w:val="left"/>
            </w:pPr>
            <w:r/>
            <w:r>
              <w:rPr>
                <w:rFonts w:ascii="Times New Roman" w:hAnsi="Times New Roman"/>
                <w:sz w:val="22"/>
              </w:rPr>
              <w:t>0.597</w:t>
            </w:r>
          </w:p>
        </w:tc>
        <w:tc>
          <w:tcPr>
            <w:tcW w:type="dxa" w:w="903"/>
          </w:tcPr>
          <w:p>
            <w:pPr>
              <w:spacing w:after="0"/>
              <w:jc w:val="left"/>
            </w:pPr>
            <w:r/>
            <w:r>
              <w:rPr>
                <w:rFonts w:ascii="Times New Roman" w:hAnsi="Times New Roman"/>
                <w:sz w:val="22"/>
              </w:rPr>
              <w:t>0.728</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0.396</w:t>
            </w:r>
          </w:p>
        </w:tc>
        <w:tc>
          <w:tcPr>
            <w:tcW w:type="dxa" w:w="903"/>
          </w:tcPr>
          <w:p>
            <w:pPr>
              <w:spacing w:after="0"/>
              <w:jc w:val="left"/>
            </w:pPr>
            <w:r/>
            <w:r>
              <w:rPr>
                <w:rFonts w:ascii="Times New Roman" w:hAnsi="Times New Roman"/>
                <w:sz w:val="22"/>
              </w:rPr>
              <w:t>0.169</w:t>
            </w:r>
          </w:p>
        </w:tc>
      </w:tr>
      <w:tr>
        <w:tc>
          <w:tcPr>
            <w:tcW w:type="dxa" w:w="903"/>
          </w:tcPr>
          <w:p>
            <w:pPr>
              <w:spacing w:after="0"/>
              <w:jc w:val="left"/>
            </w:pPr>
            <w:r/>
            <w:r>
              <w:rPr>
                <w:rFonts w:ascii="Times New Roman" w:hAnsi="Times New Roman"/>
                <w:sz w:val="22"/>
              </w:rPr>
              <w:t>SVM, RBF kernel</w:t>
            </w:r>
          </w:p>
        </w:tc>
        <w:tc>
          <w:tcPr>
            <w:tcW w:type="dxa" w:w="903"/>
          </w:tcPr>
          <w:p>
            <w:pPr>
              <w:spacing w:after="0"/>
              <w:jc w:val="left"/>
            </w:pPr>
            <w:r/>
            <w:r>
              <w:rPr>
                <w:rFonts w:ascii="Times New Roman" w:hAnsi="Times New Roman"/>
                <w:sz w:val="22"/>
              </w:rPr>
              <w:t>0.237</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0.927</w:t>
            </w:r>
          </w:p>
        </w:tc>
        <w:tc>
          <w:tcPr>
            <w:tcW w:type="dxa" w:w="903"/>
          </w:tcPr>
          <w:p>
            <w:pPr>
              <w:spacing w:after="0"/>
              <w:jc w:val="left"/>
            </w:pPr>
            <w:r/>
            <w:r>
              <w:rPr>
                <w:rFonts w:ascii="Times New Roman" w:hAnsi="Times New Roman"/>
                <w:sz w:val="22"/>
              </w:rPr>
              <w:t>0.411</w:t>
            </w:r>
          </w:p>
        </w:tc>
        <w:tc>
          <w:tcPr>
            <w:tcW w:type="dxa" w:w="903"/>
          </w:tcPr>
          <w:p>
            <w:pPr>
              <w:spacing w:after="0"/>
              <w:jc w:val="left"/>
            </w:pPr>
            <w:r/>
            <w:r>
              <w:rPr>
                <w:rFonts w:ascii="Times New Roman" w:hAnsi="Times New Roman"/>
                <w:sz w:val="22"/>
              </w:rPr>
              <w:t>0.598</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0.669</w:t>
            </w:r>
          </w:p>
        </w:tc>
        <w:tc>
          <w:tcPr>
            <w:tcW w:type="dxa" w:w="903"/>
          </w:tcPr>
          <w:p>
            <w:pPr>
              <w:spacing w:after="0"/>
              <w:jc w:val="left"/>
            </w:pPr>
            <w:r/>
            <w:r>
              <w:rPr>
                <w:rFonts w:ascii="Times New Roman" w:hAnsi="Times New Roman"/>
                <w:sz w:val="22"/>
              </w:rPr>
              <w:t>0.391</w:t>
            </w:r>
          </w:p>
        </w:tc>
        <w:tc>
          <w:tcPr>
            <w:tcW w:type="dxa" w:w="903"/>
          </w:tcPr>
          <w:p>
            <w:pPr>
              <w:spacing w:after="0"/>
              <w:jc w:val="left"/>
            </w:pPr>
            <w:r/>
            <w:r>
              <w:rPr>
                <w:rFonts w:ascii="Times New Roman" w:hAnsi="Times New Roman"/>
                <w:sz w:val="22"/>
              </w:rPr>
              <w:t>0.173</w:t>
            </w:r>
          </w:p>
        </w:tc>
      </w:tr>
      <w:tr>
        <w:tc>
          <w:tcPr>
            <w:tcW w:type="dxa" w:w="903"/>
          </w:tcPr>
          <w:p>
            <w:pPr>
              <w:spacing w:after="0"/>
              <w:jc w:val="left"/>
            </w:pPr>
            <w:r/>
            <w:r>
              <w:rPr>
                <w:rFonts w:ascii="Times New Roman" w:hAnsi="Times New Roman"/>
                <w:sz w:val="22"/>
              </w:rPr>
              <w:t>Decision tree</w:t>
            </w:r>
          </w:p>
        </w:tc>
        <w:tc>
          <w:tcPr>
            <w:tcW w:type="dxa" w:w="903"/>
          </w:tcPr>
          <w:p>
            <w:pPr>
              <w:spacing w:after="0"/>
              <w:jc w:val="left"/>
            </w:pPr>
            <w:r/>
            <w:r>
              <w:rPr>
                <w:rFonts w:ascii="Times New Roman" w:hAnsi="Times New Roman"/>
                <w:sz w:val="22"/>
              </w:rPr>
              <w:t>0.239</w:t>
            </w:r>
          </w:p>
        </w:tc>
        <w:tc>
          <w:tcPr>
            <w:tcW w:type="dxa" w:w="903"/>
          </w:tcPr>
          <w:p>
            <w:pPr>
              <w:spacing w:after="0"/>
              <w:jc w:val="left"/>
            </w:pPr>
            <w:r/>
            <w:r>
              <w:rPr>
                <w:rFonts w:ascii="Times New Roman" w:hAnsi="Times New Roman"/>
                <w:sz w:val="22"/>
              </w:rPr>
              <w:t>0.774</w:t>
            </w:r>
          </w:p>
        </w:tc>
        <w:tc>
          <w:tcPr>
            <w:tcW w:type="dxa" w:w="903"/>
          </w:tcPr>
          <w:p>
            <w:pPr>
              <w:spacing w:after="0"/>
              <w:jc w:val="left"/>
            </w:pPr>
            <w:r/>
            <w:r>
              <w:rPr>
                <w:rFonts w:ascii="Times New Roman" w:hAnsi="Times New Roman"/>
                <w:sz w:val="22"/>
              </w:rPr>
              <w:t>0.932</w:t>
            </w:r>
          </w:p>
        </w:tc>
        <w:tc>
          <w:tcPr>
            <w:tcW w:type="dxa" w:w="903"/>
          </w:tcPr>
          <w:p>
            <w:pPr>
              <w:spacing w:after="0"/>
              <w:jc w:val="left"/>
            </w:pPr>
            <w:r/>
            <w:r>
              <w:rPr>
                <w:rFonts w:ascii="Times New Roman" w:hAnsi="Times New Roman"/>
                <w:sz w:val="22"/>
              </w:rPr>
              <w:t>0.376</w:t>
            </w:r>
          </w:p>
        </w:tc>
        <w:tc>
          <w:tcPr>
            <w:tcW w:type="dxa" w:w="903"/>
          </w:tcPr>
          <w:p>
            <w:pPr>
              <w:spacing w:after="0"/>
              <w:jc w:val="left"/>
            </w:pPr>
            <w:r/>
            <w:r>
              <w:rPr>
                <w:rFonts w:ascii="Times New Roman" w:hAnsi="Times New Roman"/>
                <w:sz w:val="22"/>
              </w:rPr>
              <w:t>0.585</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0.654</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0.174</w:t>
            </w:r>
          </w:p>
        </w:tc>
      </w:tr>
      <w:tr>
        <w:tc>
          <w:tcPr>
            <w:tcW w:type="dxa" w:w="903"/>
          </w:tcPr>
          <w:p>
            <w:pPr>
              <w:spacing w:after="0"/>
              <w:jc w:val="left"/>
            </w:pPr>
            <w:r/>
            <w:r>
              <w:rPr>
                <w:rFonts w:ascii="Times New Roman" w:hAnsi="Times New Roman"/>
                <w:sz w:val="22"/>
              </w:rPr>
              <w:t>Lookup baseline (nature x body part x sector)</w:t>
            </w:r>
          </w:p>
        </w:tc>
        <w:tc>
          <w:tcPr>
            <w:tcW w:type="dxa" w:w="903"/>
          </w:tcPr>
          <w:p>
            <w:pPr>
              <w:spacing w:after="0"/>
              <w:jc w:val="left"/>
            </w:pPr>
            <w:r/>
            <w:r>
              <w:rPr>
                <w:rFonts w:ascii="Times New Roman" w:hAnsi="Times New Roman"/>
                <w:sz w:val="22"/>
              </w:rPr>
              <w:t>0.225</w:t>
            </w:r>
          </w:p>
        </w:tc>
        <w:tc>
          <w:tcPr>
            <w:tcW w:type="dxa" w:w="903"/>
          </w:tcPr>
          <w:p>
            <w:pPr>
              <w:spacing w:after="0"/>
              <w:jc w:val="left"/>
            </w:pPr>
            <w:r/>
            <w:r>
              <w:rPr>
                <w:rFonts w:ascii="Times New Roman" w:hAnsi="Times New Roman"/>
                <w:sz w:val="22"/>
              </w:rPr>
              <w:t>0.753</w:t>
            </w:r>
          </w:p>
        </w:tc>
        <w:tc>
          <w:tcPr>
            <w:tcW w:type="dxa" w:w="903"/>
          </w:tcPr>
          <w:p>
            <w:pPr>
              <w:spacing w:after="0"/>
              <w:jc w:val="left"/>
            </w:pPr>
            <w:r/>
            <w:r>
              <w:rPr>
                <w:rFonts w:ascii="Times New Roman" w:hAnsi="Times New Roman"/>
                <w:sz w:val="22"/>
              </w:rPr>
              <w:t>0.916</w:t>
            </w:r>
          </w:p>
        </w:tc>
        <w:tc>
          <w:tcPr>
            <w:tcW w:type="dxa" w:w="903"/>
          </w:tcPr>
          <w:p>
            <w:pPr>
              <w:spacing w:after="0"/>
              <w:jc w:val="left"/>
            </w:pPr>
            <w:r/>
            <w:r>
              <w:rPr>
                <w:rFonts w:ascii="Times New Roman" w:hAnsi="Times New Roman"/>
                <w:sz w:val="22"/>
              </w:rPr>
              <w:t>0.402</w:t>
            </w:r>
          </w:p>
        </w:tc>
        <w:tc>
          <w:tcPr>
            <w:tcW w:type="dxa" w:w="903"/>
          </w:tcPr>
          <w:p>
            <w:pPr>
              <w:spacing w:after="0"/>
              <w:jc w:val="left"/>
            </w:pPr>
            <w:r/>
            <w:r>
              <w:rPr>
                <w:rFonts w:ascii="Times New Roman" w:hAnsi="Times New Roman"/>
                <w:sz w:val="22"/>
              </w:rPr>
              <w:t>0.591</w:t>
            </w:r>
          </w:p>
        </w:tc>
        <w:tc>
          <w:tcPr>
            <w:tcW w:type="dxa" w:w="903"/>
          </w:tcPr>
          <w:p>
            <w:pPr>
              <w:spacing w:after="0"/>
              <w:jc w:val="left"/>
            </w:pPr>
            <w:r/>
            <w:r>
              <w:rPr>
                <w:rFonts w:ascii="Times New Roman" w:hAnsi="Times New Roman"/>
                <w:sz w:val="22"/>
              </w:rPr>
              <w:t>0.719</w:t>
            </w:r>
          </w:p>
        </w:tc>
        <w:tc>
          <w:tcPr>
            <w:tcW w:type="dxa" w:w="903"/>
          </w:tcPr>
          <w:p>
            <w:pPr>
              <w:spacing w:after="0"/>
              <w:jc w:val="left"/>
            </w:pPr>
            <w:r/>
            <w:r>
              <w:rPr>
                <w:rFonts w:ascii="Times New Roman" w:hAnsi="Times New Roman"/>
                <w:sz w:val="22"/>
              </w:rPr>
              <w:t>0.659</w:t>
            </w:r>
          </w:p>
        </w:tc>
        <w:tc>
          <w:tcPr>
            <w:tcW w:type="dxa" w:w="903"/>
          </w:tcPr>
          <w:p>
            <w:pPr>
              <w:spacing w:after="0"/>
              <w:jc w:val="left"/>
            </w:pPr>
            <w:r/>
            <w:r>
              <w:rPr>
                <w:rFonts w:ascii="Times New Roman" w:hAnsi="Times New Roman"/>
                <w:sz w:val="22"/>
              </w:rPr>
              <w:t>0.368</w:t>
            </w:r>
          </w:p>
        </w:tc>
        <w:tc>
          <w:tcPr>
            <w:tcW w:type="dxa" w:w="903"/>
          </w:tcPr>
          <w:p>
            <w:pPr>
              <w:spacing w:after="0"/>
              <w:jc w:val="left"/>
            </w:pPr>
            <w:r/>
            <w:r>
              <w:rPr>
                <w:rFonts w:ascii="Times New Roman" w:hAnsi="Times New Roman"/>
                <w:sz w:val="22"/>
              </w:rPr>
              <w:t>0.179</w:t>
            </w:r>
          </w:p>
        </w:tc>
      </w:tr>
      <w:tr>
        <w:tc>
          <w:tcPr>
            <w:tcW w:type="dxa" w:w="903"/>
          </w:tcPr>
          <w:p>
            <w:pPr>
              <w:spacing w:after="0"/>
              <w:jc w:val="left"/>
            </w:pPr>
            <w:r/>
            <w:r>
              <w:rPr>
                <w:rFonts w:ascii="Times New Roman" w:hAnsi="Times New Roman"/>
                <w:sz w:val="22"/>
              </w:rPr>
              <w:t>KNN</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0.886</w:t>
            </w:r>
          </w:p>
        </w:tc>
        <w:tc>
          <w:tcPr>
            <w:tcW w:type="dxa" w:w="903"/>
          </w:tcPr>
          <w:p>
            <w:pPr>
              <w:spacing w:after="0"/>
              <w:jc w:val="left"/>
            </w:pPr>
            <w:r/>
            <w:r>
              <w:rPr>
                <w:rFonts w:ascii="Times New Roman" w:hAnsi="Times New Roman"/>
                <w:sz w:val="22"/>
              </w:rPr>
              <w:t>0.412</w:t>
            </w:r>
          </w:p>
        </w:tc>
        <w:tc>
          <w:tcPr>
            <w:tcW w:type="dxa" w:w="903"/>
          </w:tcPr>
          <w:p>
            <w:pPr>
              <w:spacing w:after="0"/>
              <w:jc w:val="left"/>
            </w:pPr>
            <w:r/>
            <w:r>
              <w:rPr>
                <w:rFonts w:ascii="Times New Roman" w:hAnsi="Times New Roman"/>
                <w:sz w:val="22"/>
              </w:rPr>
              <w:t>0.588</w:t>
            </w:r>
          </w:p>
        </w:tc>
        <w:tc>
          <w:tcPr>
            <w:tcW w:type="dxa" w:w="903"/>
          </w:tcPr>
          <w:p>
            <w:pPr>
              <w:spacing w:after="0"/>
              <w:jc w:val="left"/>
            </w:pPr>
            <w:r/>
            <w:r>
              <w:rPr>
                <w:rFonts w:ascii="Times New Roman" w:hAnsi="Times New Roman"/>
                <w:sz w:val="22"/>
              </w:rPr>
              <w:t>0.707</w:t>
            </w:r>
          </w:p>
        </w:tc>
        <w:tc>
          <w:tcPr>
            <w:tcW w:type="dxa" w:w="903"/>
          </w:tcPr>
          <w:p>
            <w:pPr>
              <w:spacing w:after="0"/>
              <w:jc w:val="left"/>
            </w:pPr>
            <w:r/>
            <w:r>
              <w:rPr>
                <w:rFonts w:ascii="Times New Roman" w:hAnsi="Times New Roman"/>
                <w:sz w:val="22"/>
              </w:rPr>
              <w:t>0.649</w:t>
            </w:r>
          </w:p>
        </w:tc>
        <w:tc>
          <w:tcPr>
            <w:tcW w:type="dxa" w:w="903"/>
          </w:tcPr>
          <w:p>
            <w:pPr>
              <w:spacing w:after="0"/>
              <w:jc w:val="left"/>
            </w:pPr>
            <w:r/>
            <w:r>
              <w:rPr>
                <w:rFonts w:ascii="Times New Roman" w:hAnsi="Times New Roman"/>
                <w:sz w:val="22"/>
              </w:rPr>
              <w:t>0.337</w:t>
            </w:r>
          </w:p>
        </w:tc>
        <w:tc>
          <w:tcPr>
            <w:tcW w:type="dxa" w:w="903"/>
          </w:tcPr>
          <w:p>
            <w:pPr>
              <w:spacing w:after="0"/>
              <w:jc w:val="left"/>
            </w:pPr>
            <w:r/>
            <w:r>
              <w:rPr>
                <w:rFonts w:ascii="Times New Roman" w:hAnsi="Times New Roman"/>
                <w:sz w:val="22"/>
              </w:rPr>
              <w:t>0.195</w:t>
            </w:r>
          </w:p>
        </w:tc>
      </w:tr>
      <w:tr>
        <w:tc>
          <w:tcPr>
            <w:tcW w:type="dxa" w:w="903"/>
          </w:tcPr>
          <w:p>
            <w:pPr>
              <w:spacing w:after="0"/>
              <w:jc w:val="left"/>
            </w:pPr>
            <w:r/>
            <w:r>
              <w:rPr>
                <w:rFonts w:ascii="Times New Roman" w:hAnsi="Times New Roman"/>
                <w:sz w:val="22"/>
              </w:rPr>
              <w:t>Gaussian naive Bayes</w:t>
            </w:r>
          </w:p>
        </w:tc>
        <w:tc>
          <w:tcPr>
            <w:tcW w:type="dxa" w:w="903"/>
          </w:tcPr>
          <w:p>
            <w:pPr>
              <w:spacing w:after="0"/>
              <w:jc w:val="left"/>
            </w:pPr>
            <w:r/>
            <w:r>
              <w:rPr>
                <w:rFonts w:ascii="Times New Roman" w:hAnsi="Times New Roman"/>
                <w:sz w:val="22"/>
              </w:rPr>
              <w:t>0.001</w:t>
            </w:r>
          </w:p>
        </w:tc>
        <w:tc>
          <w:tcPr>
            <w:tcW w:type="dxa" w:w="903"/>
          </w:tcPr>
          <w:p>
            <w:pPr>
              <w:spacing w:after="0"/>
              <w:jc w:val="left"/>
            </w:pPr>
            <w:r/>
            <w:r>
              <w:rPr>
                <w:rFonts w:ascii="Times New Roman" w:hAnsi="Times New Roman"/>
                <w:sz w:val="22"/>
              </w:rPr>
              <w:t>0.727</w:t>
            </w:r>
          </w:p>
        </w:tc>
        <w:tc>
          <w:tcPr>
            <w:tcW w:type="dxa" w:w="903"/>
          </w:tcPr>
          <w:p>
            <w:pPr>
              <w:spacing w:after="0"/>
              <w:jc w:val="left"/>
            </w:pPr>
            <w:r/>
            <w:r>
              <w:rPr>
                <w:rFonts w:ascii="Times New Roman" w:hAnsi="Times New Roman"/>
                <w:sz w:val="22"/>
              </w:rPr>
              <w:t>0.868</w:t>
            </w:r>
          </w:p>
        </w:tc>
        <w:tc>
          <w:tcPr>
            <w:tcW w:type="dxa" w:w="903"/>
          </w:tcPr>
          <w:p>
            <w:pPr>
              <w:spacing w:after="0"/>
              <w:jc w:val="left"/>
            </w:pPr>
            <w:r/>
            <w:r>
              <w:rPr>
                <w:rFonts w:ascii="Times New Roman" w:hAnsi="Times New Roman"/>
                <w:sz w:val="22"/>
              </w:rPr>
              <w:t>0.407</w:t>
            </w:r>
          </w:p>
        </w:tc>
        <w:tc>
          <w:tcPr>
            <w:tcW w:type="dxa" w:w="903"/>
          </w:tcPr>
          <w:p>
            <w:pPr>
              <w:spacing w:after="0"/>
              <w:jc w:val="left"/>
            </w:pPr>
            <w:r/>
            <w:r>
              <w:rPr>
                <w:rFonts w:ascii="Times New Roman" w:hAnsi="Times New Roman"/>
                <w:sz w:val="22"/>
              </w:rPr>
              <w:t>0.580</w:t>
            </w:r>
          </w:p>
        </w:tc>
        <w:tc>
          <w:tcPr>
            <w:tcW w:type="dxa" w:w="903"/>
          </w:tcPr>
          <w:p>
            <w:pPr>
              <w:spacing w:after="0"/>
              <w:jc w:val="left"/>
            </w:pPr>
            <w:r/>
            <w:r>
              <w:rPr>
                <w:rFonts w:ascii="Times New Roman" w:hAnsi="Times New Roman"/>
                <w:sz w:val="22"/>
              </w:rPr>
              <w:t>0.696</w:t>
            </w:r>
          </w:p>
        </w:tc>
        <w:tc>
          <w:tcPr>
            <w:tcW w:type="dxa" w:w="903"/>
          </w:tcPr>
          <w:p>
            <w:pPr>
              <w:spacing w:after="0"/>
              <w:jc w:val="left"/>
            </w:pPr>
            <w:r/>
            <w:r>
              <w:rPr>
                <w:rFonts w:ascii="Times New Roman" w:hAnsi="Times New Roman"/>
                <w:sz w:val="22"/>
              </w:rPr>
              <w:t>0.637</w:t>
            </w:r>
          </w:p>
        </w:tc>
        <w:tc>
          <w:tcPr>
            <w:tcW w:type="dxa" w:w="903"/>
          </w:tcPr>
          <w:p>
            <w:pPr>
              <w:spacing w:after="0"/>
              <w:jc w:val="left"/>
            </w:pPr>
            <w:r/>
            <w:r>
              <w:rPr>
                <w:rFonts w:ascii="Times New Roman" w:hAnsi="Times New Roman"/>
                <w:sz w:val="22"/>
              </w:rPr>
              <w:t>0.308</w:t>
            </w:r>
          </w:p>
        </w:tc>
        <w:tc>
          <w:tcPr>
            <w:tcW w:type="dxa" w:w="903"/>
          </w:tcPr>
          <w:p>
            <w:pPr>
              <w:spacing w:after="0"/>
              <w:jc w:val="left"/>
            </w:pPr>
            <w:r/>
            <w:r>
              <w:rPr>
                <w:rFonts w:ascii="Times New Roman" w:hAnsi="Times New Roman"/>
                <w:sz w:val="22"/>
              </w:rPr>
              <w:t>0.298</w:t>
            </w:r>
          </w:p>
        </w:tc>
      </w:tr>
      <w:tr>
        <w:tc>
          <w:tcPr>
            <w:tcW w:type="dxa" w:w="903"/>
          </w:tcPr>
          <w:p>
            <w:pPr>
              <w:spacing w:after="0"/>
              <w:jc w:val="left"/>
            </w:pPr>
            <w:r/>
            <w:r>
              <w:rPr>
                <w:rFonts w:ascii="Times New Roman" w:hAnsi="Times New Roman"/>
                <w:sz w:val="22"/>
              </w:rPr>
              <w:t>Baseline: hand rule (not a cut, dust in the eye or a scratch)</w:t>
            </w:r>
          </w:p>
        </w:tc>
        <w:tc>
          <w:tcPr>
            <w:tcW w:type="dxa" w:w="903"/>
          </w:tcPr>
          <w:p>
            <w:pPr>
              <w:spacing w:after="0"/>
              <w:jc w:val="left"/>
            </w:pPr>
            <w:r/>
            <w:r>
              <w:rPr>
                <w:rFonts w:ascii="Times New Roman" w:hAnsi="Times New Roman"/>
                <w:sz w:val="22"/>
              </w:rPr>
              <w:t>not applicable (fixed rule)</w:t>
            </w:r>
          </w:p>
        </w:tc>
        <w:tc>
          <w:tcPr>
            <w:tcW w:type="dxa" w:w="903"/>
          </w:tcPr>
          <w:p>
            <w:pPr>
              <w:spacing w:after="0"/>
              <w:jc w:val="left"/>
            </w:pPr>
            <w:r/>
            <w:r>
              <w:rPr>
                <w:rFonts w:ascii="Times New Roman" w:hAnsi="Times New Roman"/>
                <w:sz w:val="22"/>
              </w:rPr>
              <w:t>0.733</w:t>
            </w:r>
          </w:p>
        </w:tc>
        <w:tc>
          <w:tcPr>
            <w:tcW w:type="dxa" w:w="903"/>
          </w:tcPr>
          <w:p>
            <w:pPr>
              <w:spacing w:after="0"/>
              <w:jc w:val="left"/>
            </w:pPr>
            <w:r/>
            <w:r>
              <w:rPr>
                <w:rFonts w:ascii="Times New Roman" w:hAnsi="Times New Roman"/>
                <w:sz w:val="22"/>
              </w:rPr>
              <w:t>0.898</w:t>
            </w:r>
          </w:p>
        </w:tc>
        <w:tc>
          <w:tcPr>
            <w:tcW w:type="dxa" w:w="903"/>
          </w:tcPr>
          <w:p>
            <w:pPr>
              <w:spacing w:after="0"/>
              <w:jc w:val="left"/>
            </w:pPr>
            <w:r/>
            <w:r>
              <w:rPr>
                <w:rFonts w:ascii="Times New Roman" w:hAnsi="Times New Roman"/>
                <w:sz w:val="22"/>
              </w:rPr>
              <w:t>0.423</w:t>
            </w:r>
          </w:p>
        </w:tc>
        <w:tc>
          <w:tcPr>
            <w:tcW w:type="dxa" w:w="903"/>
          </w:tcPr>
          <w:p>
            <w:pPr>
              <w:spacing w:after="0"/>
              <w:jc w:val="left"/>
            </w:pPr>
            <w:r/>
            <w:r>
              <w:rPr>
                <w:rFonts w:ascii="Times New Roman" w:hAnsi="Times New Roman"/>
                <w:sz w:val="22"/>
              </w:rPr>
              <w:t>0.595</w:t>
            </w:r>
          </w:p>
        </w:tc>
        <w:tc>
          <w:tcPr>
            <w:tcW w:type="dxa" w:w="903"/>
          </w:tcPr>
          <w:p>
            <w:pPr>
              <w:spacing w:after="0"/>
              <w:jc w:val="left"/>
            </w:pPr>
            <w:r/>
            <w:r>
              <w:rPr>
                <w:rFonts w:ascii="Times New Roman" w:hAnsi="Times New Roman"/>
                <w:sz w:val="22"/>
              </w:rPr>
              <w:t>0.716</w:t>
            </w:r>
          </w:p>
        </w:tc>
        <w:tc>
          <w:tcPr>
            <w:tcW w:type="dxa" w:w="903"/>
          </w:tcPr>
          <w:p>
            <w:pPr>
              <w:spacing w:after="0"/>
              <w:jc w:val="left"/>
            </w:pPr>
            <w:r/>
            <w:r>
              <w:rPr>
                <w:rFonts w:ascii="Times New Roman" w:hAnsi="Times New Roman"/>
                <w:sz w:val="22"/>
              </w:rPr>
              <w:t>0.660</w:t>
            </w:r>
          </w:p>
        </w:tc>
        <w:tc>
          <w:tcPr>
            <w:tcW w:type="dxa" w:w="903"/>
          </w:tcPr>
          <w:p>
            <w:pPr>
              <w:spacing w:after="0"/>
              <w:jc w:val="left"/>
            </w:pPr>
            <w:r/>
            <w:r>
              <w:rPr>
                <w:rFonts w:ascii="Times New Roman" w:hAnsi="Times New Roman"/>
                <w:sz w:val="22"/>
              </w:rPr>
              <w:t>0.363</w:t>
            </w:r>
          </w:p>
        </w:tc>
        <w:tc>
          <w:tcPr>
            <w:tcW w:type="dxa" w:w="903"/>
          </w:tcPr>
          <w:p>
            <w:pPr>
              <w:spacing w:after="0"/>
              <w:jc w:val="left"/>
            </w:pPr>
            <w:r/>
            <w:r>
              <w:rPr>
                <w:rFonts w:ascii="Times New Roman" w:hAnsi="Times New Roman"/>
                <w:sz w:val="22"/>
              </w:rPr>
              <w:t>0.346</w:t>
            </w:r>
          </w:p>
        </w:tc>
      </w:tr>
    </w:tbl>
    <w:p>
      <w:pPr>
        <w:spacing w:after="80"/>
      </w:pPr>
    </w:p>
    <w:p>
      <w:r>
        <w:rPr>
          <w:rFonts w:ascii="Times New Roman" w:hAnsi="Times New Roman"/>
          <w:sz w:val="24"/>
        </w:rPr>
        <w:t>Table 14 tests whether these differences exceed noise (Dietterich, 1998; Demšar, 2006). McNemar's test rejects equal error rates between HGB and the lookup baseline at both thresholds, also when clustered by mine-year (Durkalski et al., 2003). Between the top two, the paired fold test gives p = 0.044 after the Nadeau and Bengio (2003) correction for overlapping training folds, while the Wilcoxon test cannot fall below 0.0625 with five folds. The MLP's test PR-AUC lies inside HGB's mine-year bootstrap interval, so the gap between the top two sits at the edge of noise and the gap to the lookup baseline does not.</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Comparison</w:t>
            </w:r>
          </w:p>
        </w:tc>
        <w:tc>
          <w:tcPr>
            <w:tcW w:type="dxa" w:w="2256"/>
            <w:shd w:val="clear" w:color="auto" w:fill="E7E6E6"/>
          </w:tcPr>
          <w:p>
            <w:pPr>
              <w:jc w:val="left"/>
            </w:pPr>
            <w:r>
              <w:rPr>
                <w:b/>
              </w:rPr>
            </w:r>
            <w:r>
              <w:rPr>
                <w:rFonts w:ascii="Times New Roman" w:hAnsi="Times New Roman"/>
                <w:b/>
                <w:sz w:val="22"/>
              </w:rPr>
              <w:t>Test</w:t>
            </w:r>
          </w:p>
        </w:tc>
        <w:tc>
          <w:tcPr>
            <w:tcW w:type="dxa" w:w="2256"/>
            <w:shd w:val="clear" w:color="auto" w:fill="E7E6E6"/>
          </w:tcPr>
          <w:p>
            <w:pPr>
              <w:jc w:val="left"/>
            </w:pPr>
            <w:r>
              <w:rPr>
                <w:b/>
              </w:rPr>
            </w:r>
            <w:r>
              <w:rPr>
                <w:rFonts w:ascii="Times New Roman" w:hAnsi="Times New Roman"/>
                <w:b/>
                <w:sz w:val="22"/>
              </w:rPr>
              <w:t>Result</w:t>
            </w:r>
          </w:p>
        </w:tc>
        <w:tc>
          <w:tcPr>
            <w:tcW w:type="dxa" w:w="2256"/>
            <w:shd w:val="clear" w:color="auto" w:fill="E7E6E6"/>
          </w:tcPr>
          <w:p>
            <w:pPr>
              <w:jc w:val="left"/>
            </w:pPr>
            <w:r>
              <w:rPr>
                <w:b/>
              </w:rPr>
            </w:r>
            <w:r>
              <w:rPr>
                <w:rFonts w:ascii="Times New Roman" w:hAnsi="Times New Roman"/>
                <w:b/>
                <w:sz w:val="22"/>
              </w:rPr>
              <w:t>p-value</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131.7; HGB alone correct on 1,929 reports, lookup baseline alone on 1,278</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threshold 0.5</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78.5</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 (0.210 and 0.225)</w:t>
            </w:r>
          </w:p>
        </w:tc>
        <w:tc>
          <w:tcPr>
            <w:tcW w:type="dxa" w:w="2256"/>
          </w:tcPr>
          <w:p>
            <w:pPr>
              <w:spacing w:after="0"/>
              <w:jc w:val="left"/>
            </w:pPr>
            <w:r/>
            <w:r>
              <w:rPr>
                <w:rFonts w:ascii="Times New Roman" w:hAnsi="Times New Roman"/>
                <w:sz w:val="22"/>
              </w:rPr>
              <w:t>McNemar, rows treated as independent</w:t>
            </w:r>
          </w:p>
        </w:tc>
        <w:tc>
          <w:tcPr>
            <w:tcW w:type="dxa" w:w="2256"/>
          </w:tcPr>
          <w:p>
            <w:pPr>
              <w:spacing w:after="0"/>
              <w:jc w:val="left"/>
            </w:pPr>
            <w:r/>
            <w:r>
              <w:rPr>
                <w:rFonts w:ascii="Times New Roman" w:hAnsi="Times New Roman"/>
                <w:sz w:val="22"/>
              </w:rPr>
              <w:t>chi-square 35.2; 1,289 against 1,004 reports</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lookup baseline, capacity thresholds</w:t>
            </w:r>
          </w:p>
        </w:tc>
        <w:tc>
          <w:tcPr>
            <w:tcW w:type="dxa" w:w="2256"/>
          </w:tcPr>
          <w:p>
            <w:pPr>
              <w:spacing w:after="0"/>
              <w:jc w:val="left"/>
            </w:pPr>
            <w:r/>
            <w:r>
              <w:rPr>
                <w:rFonts w:ascii="Times New Roman" w:hAnsi="Times New Roman"/>
                <w:sz w:val="22"/>
              </w:rPr>
              <w:t>McNemar clustered by mine-year (Durkalski et al., 2003)</w:t>
            </w:r>
          </w:p>
        </w:tc>
        <w:tc>
          <w:tcPr>
            <w:tcW w:type="dxa" w:w="2256"/>
          </w:tcPr>
          <w:p>
            <w:pPr>
              <w:spacing w:after="0"/>
              <w:jc w:val="left"/>
            </w:pPr>
            <w:r/>
            <w:r>
              <w:rPr>
                <w:rFonts w:ascii="Times New Roman" w:hAnsi="Times New Roman"/>
                <w:sz w:val="22"/>
              </w:rPr>
              <w:t>chi-square 24.4</w:t>
            </w:r>
          </w:p>
        </w:tc>
        <w:tc>
          <w:tcPr>
            <w:tcW w:type="dxa" w:w="2256"/>
          </w:tcPr>
          <w:p>
            <w:pPr>
              <w:spacing w:after="0"/>
              <w:jc w:val="left"/>
            </w:pPr>
            <w:r/>
            <w:r>
              <w:rPr>
                <w:rFonts w:ascii="Times New Roman" w:hAnsi="Times New Roman"/>
                <w:sz w:val="22"/>
              </w:rPr>
              <w:t>below 0.001</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paired t-test</w:t>
            </w:r>
          </w:p>
        </w:tc>
        <w:tc>
          <w:tcPr>
            <w:tcW w:type="dxa" w:w="2256"/>
          </w:tcPr>
          <w:p>
            <w:pPr>
              <w:spacing w:after="0"/>
              <w:jc w:val="left"/>
            </w:pPr>
            <w:r/>
            <w:r>
              <w:rPr>
                <w:rFonts w:ascii="Times New Roman" w:hAnsi="Times New Roman"/>
                <w:sz w:val="22"/>
              </w:rPr>
              <w:t>mean difference 0.0054 (SD 0.0028); HGB higher in all five folds; t = 4.36</w:t>
            </w:r>
          </w:p>
        </w:tc>
        <w:tc>
          <w:tcPr>
            <w:tcW w:type="dxa" w:w="2256"/>
          </w:tcPr>
          <w:p>
            <w:pPr>
              <w:spacing w:after="0"/>
              <w:jc w:val="left"/>
            </w:pPr>
            <w:r/>
            <w:r>
              <w:rPr>
                <w:rFonts w:ascii="Times New Roman" w:hAnsi="Times New Roman"/>
                <w:sz w:val="22"/>
              </w:rPr>
              <w:t>0.012</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corrected resampled t-test (Nadeau and Bengio, 2003)</w:t>
            </w:r>
          </w:p>
        </w:tc>
        <w:tc>
          <w:tcPr>
            <w:tcW w:type="dxa" w:w="2256"/>
          </w:tcPr>
          <w:p>
            <w:pPr>
              <w:spacing w:after="0"/>
              <w:jc w:val="left"/>
            </w:pPr>
            <w:r/>
            <w:r>
              <w:rPr>
                <w:rFonts w:ascii="Times New Roman" w:hAnsi="Times New Roman"/>
                <w:sz w:val="22"/>
              </w:rPr>
              <w:t>t = 2.90</w:t>
            </w:r>
          </w:p>
        </w:tc>
        <w:tc>
          <w:tcPr>
            <w:tcW w:type="dxa" w:w="2256"/>
          </w:tcPr>
          <w:p>
            <w:pPr>
              <w:spacing w:after="0"/>
              <w:jc w:val="left"/>
            </w:pPr>
            <w:r/>
            <w:r>
              <w:rPr>
                <w:rFonts w:ascii="Times New Roman" w:hAnsi="Times New Roman"/>
                <w:sz w:val="22"/>
              </w:rPr>
              <w:t>0.044</w:t>
            </w:r>
          </w:p>
        </w:tc>
      </w:tr>
      <w:tr>
        <w:tc>
          <w:tcPr>
            <w:tcW w:type="dxa" w:w="2256"/>
          </w:tcPr>
          <w:p>
            <w:pPr>
              <w:spacing w:after="0"/>
              <w:jc w:val="left"/>
            </w:pPr>
            <w:r/>
            <w:r>
              <w:rPr>
                <w:rFonts w:ascii="Times New Roman" w:hAnsi="Times New Roman"/>
                <w:sz w:val="22"/>
              </w:rPr>
              <w:t>HGB against MLP, cross-validated PR-AUC</w:t>
            </w:r>
          </w:p>
        </w:tc>
        <w:tc>
          <w:tcPr>
            <w:tcW w:type="dxa" w:w="2256"/>
          </w:tcPr>
          <w:p>
            <w:pPr>
              <w:spacing w:after="0"/>
              <w:jc w:val="left"/>
            </w:pPr>
            <w:r/>
            <w:r>
              <w:rPr>
                <w:rFonts w:ascii="Times New Roman" w:hAnsi="Times New Roman"/>
                <w:sz w:val="22"/>
              </w:rPr>
              <w:t>Wilcoxon signed-rank</w:t>
            </w:r>
          </w:p>
        </w:tc>
        <w:tc>
          <w:tcPr>
            <w:tcW w:type="dxa" w:w="2256"/>
          </w:tcPr>
          <w:p>
            <w:pPr>
              <w:spacing w:after="0"/>
              <w:jc w:val="left"/>
            </w:pPr>
            <w:r/>
            <w:r>
              <w:rPr>
                <w:rFonts w:ascii="Times New Roman" w:hAnsi="Times New Roman"/>
                <w:sz w:val="22"/>
              </w:rPr>
              <w:t>W = 0</w:t>
            </w:r>
          </w:p>
        </w:tc>
        <w:tc>
          <w:tcPr>
            <w:tcW w:type="dxa" w:w="2256"/>
          </w:tcPr>
          <w:p>
            <w:pPr>
              <w:spacing w:after="0"/>
              <w:jc w:val="left"/>
            </w:pPr>
            <w:r/>
            <w:r>
              <w:rPr>
                <w:rFonts w:ascii="Times New Roman" w:hAnsi="Times New Roman"/>
                <w:sz w:val="22"/>
              </w:rPr>
              <w:t>0.0625, the smallest value possible with five folds</w:t>
            </w:r>
          </w:p>
        </w:tc>
      </w:tr>
      <w:tr>
        <w:tc>
          <w:tcPr>
            <w:tcW w:type="dxa" w:w="2256"/>
          </w:tcPr>
          <w:p>
            <w:pPr>
              <w:spacing w:after="0"/>
              <w:jc w:val="left"/>
            </w:pPr>
            <w:r/>
            <w:r>
              <w:rPr>
                <w:rFonts w:ascii="Times New Roman" w:hAnsi="Times New Roman"/>
                <w:sz w:val="22"/>
              </w:rPr>
              <w:t>HGB, test PR-AUC 0.841</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0.835 to 0.848; 0.825 to 0.856</w:t>
            </w:r>
          </w:p>
        </w:tc>
        <w:tc>
          <w:tcPr>
            <w:tcW w:type="dxa" w:w="2256"/>
          </w:tcPr>
          <w:p>
            <w:pPr>
              <w:spacing w:after="0"/>
              <w:jc w:val="left"/>
            </w:pPr>
            <w:r/>
          </w:p>
        </w:tc>
      </w:tr>
      <w:tr>
        <w:tc>
          <w:tcPr>
            <w:tcW w:type="dxa" w:w="2256"/>
          </w:tcPr>
          <w:p>
            <w:pPr>
              <w:spacing w:after="0"/>
              <w:jc w:val="left"/>
            </w:pPr>
            <w:r/>
            <w:r>
              <w:rPr>
                <w:rFonts w:ascii="Times New Roman" w:hAnsi="Times New Roman"/>
                <w:sz w:val="22"/>
              </w:rPr>
              <w:t>HGB, test ROC-AUC 0.843</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0.838 to 0.848; 0.835 to 0.851</w:t>
            </w:r>
          </w:p>
        </w:tc>
        <w:tc>
          <w:tcPr>
            <w:tcW w:type="dxa" w:w="2256"/>
          </w:tcPr>
          <w:p>
            <w:pPr>
              <w:spacing w:after="0"/>
              <w:jc w:val="left"/>
            </w:pPr>
            <w:r/>
          </w:p>
        </w:tc>
      </w:tr>
      <w:tr>
        <w:tc>
          <w:tcPr>
            <w:tcW w:type="dxa" w:w="2256"/>
          </w:tcPr>
          <w:p>
            <w:pPr>
              <w:spacing w:after="0"/>
              <w:jc w:val="left"/>
            </w:pPr>
            <w:r/>
            <w:r>
              <w:rPr>
                <w:rFonts w:ascii="Times New Roman" w:hAnsi="Times New Roman"/>
                <w:sz w:val="22"/>
              </w:rPr>
              <w:t>HGB, recall 0.943 at the capacity threshold</w:t>
            </w:r>
          </w:p>
        </w:tc>
        <w:tc>
          <w:tcPr>
            <w:tcW w:type="dxa" w:w="2256"/>
          </w:tcPr>
          <w:p>
            <w:pPr>
              <w:spacing w:after="0"/>
              <w:jc w:val="left"/>
            </w:pPr>
            <w:r/>
            <w:r>
              <w:rPr>
                <w:rFonts w:ascii="Times New Roman" w:hAnsi="Times New Roman"/>
                <w:sz w:val="22"/>
              </w:rPr>
              <w:t>bootstrap of rows; bootstrap of mine-years</w:t>
            </w:r>
          </w:p>
        </w:tc>
        <w:tc>
          <w:tcPr>
            <w:tcW w:type="dxa" w:w="2256"/>
          </w:tcPr>
          <w:p>
            <w:pPr>
              <w:spacing w:after="0"/>
              <w:jc w:val="left"/>
            </w:pPr>
            <w:r/>
            <w:r>
              <w:rPr>
                <w:rFonts w:ascii="Times New Roman" w:hAnsi="Times New Roman"/>
                <w:sz w:val="22"/>
              </w:rPr>
              <w:t>0.939 to 0.947; 0.938 to 0.949</w:t>
            </w:r>
          </w:p>
        </w:tc>
        <w:tc>
          <w:tcPr>
            <w:tcW w:type="dxa" w:w="2256"/>
          </w:tcPr>
          <w:p>
            <w:pPr>
              <w:spacing w:after="0"/>
              <w:jc w:val="left"/>
            </w:pPr>
            <w:r/>
          </w:p>
        </w:tc>
      </w:tr>
    </w:tbl>
    <w:p>
      <w:pPr>
        <w:spacing w:after="80"/>
      </w:pPr>
    </w:p>
    <w:p>
      <w:r>
        <w:rPr>
          <w:rFonts w:ascii="Times New Roman" w:hAnsi="Times New Roman"/>
          <w:sz w:val="24"/>
        </w:rPr>
        <w:t>I selected HGB by the rule fixed before any test score was computed, the highest cross-validated PR-AUC, where its lead over the MLP exceeds one fold standard deviation (Table 11). Table 15 reports test-set evidence that checks this choice but did not make it. HGB has the lowest expected cost at the three low cost ratios, and its thresholds landed nearer their targets, where the MLP over-flagged. At an equal workload both catch the same share of lost-time cases. On the temporal split HGB kept the higher PR-AUC, and its specificity barely moved when the 103(i) status or the immediate-reporting flag was removed, unlike the MLP's.</w:t>
      </w:r>
    </w:p>
    <w:p>
      <w:r>
        <w:rPr>
          <w:rFonts w:ascii="Times New Roman" w:hAnsi="Times New Roman"/>
          <w:sz w:val="24"/>
        </w:rPr>
        <w:t>Its permutation importance puts nature of injury and body part first (Figure 18), as do most of the largest logistic coefficients, and two of its four largest mean SHAP values (Table 23; Lundberg and Lee, 2017), for cuts and finger injuries, match negative coefficients (Figure 19). The final pipeline uses the settings of Table 10, refitted on all training rows, at its out-of-fold capacity threshold (Table 16; Figure 20). There it flags about three test reports in four and misses 561 of 9,873 lost-time cases, against 830 misses for the lookup baseline at about the same specificity.</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Multi-criteria comparison of the four strongest tuned models and the SVM, compiled after HGB was selected by cross-validated PR-AUC: test-set cost at the out-of-fold cost-optimal thresholds, transfer of out-of-fold threshold targets to the test set, recall at one equal workload, the temporal split (top two only), explanations, run times on eight workers and the size of the saved pipeline.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Random forest</w:t>
            </w:r>
          </w:p>
        </w:tc>
        <w:tc>
          <w:tcPr>
            <w:tcW w:type="dxa" w:w="1504"/>
            <w:shd w:val="clear" w:color="auto" w:fill="E7E6E6"/>
          </w:tcPr>
          <w:p>
            <w:pPr>
              <w:jc w:val="left"/>
            </w:pPr>
            <w:r>
              <w:rPr>
                <w:b/>
              </w:rPr>
            </w:r>
            <w:r>
              <w:rPr>
                <w:rFonts w:ascii="Times New Roman" w:hAnsi="Times New Roman"/>
                <w:b/>
                <w:sz w:val="22"/>
              </w:rPr>
              <w:t>Logistic regression</w:t>
            </w:r>
          </w:p>
        </w:tc>
        <w:tc>
          <w:tcPr>
            <w:tcW w:type="dxa" w:w="1504"/>
            <w:shd w:val="clear" w:color="auto" w:fill="E7E6E6"/>
          </w:tcPr>
          <w:p>
            <w:pPr>
              <w:jc w:val="left"/>
            </w:pPr>
            <w:r>
              <w:rPr>
                <w:b/>
              </w:rPr>
            </w:r>
            <w:r>
              <w:rPr>
                <w:rFonts w:ascii="Times New Roman" w:hAnsi="Times New Roman"/>
                <w:b/>
                <w:sz w:val="22"/>
              </w:rPr>
              <w:t>SVM, RBF kernel</w:t>
            </w:r>
          </w:p>
        </w:tc>
      </w:tr>
      <w:tr>
        <w:tc>
          <w:tcPr>
            <w:tcW w:type="dxa" w:w="1504"/>
          </w:tcPr>
          <w:p>
            <w:pPr>
              <w:spacing w:after="0"/>
              <w:jc w:val="left"/>
            </w:pPr>
            <w:r/>
            <w:r>
              <w:rPr>
                <w:rFonts w:ascii="Times New Roman" w:hAnsi="Times New Roman"/>
                <w:sz w:val="22"/>
              </w:rPr>
              <w:t>Cross-validated PR-AUC (rank of eight)</w:t>
            </w:r>
          </w:p>
        </w:tc>
        <w:tc>
          <w:tcPr>
            <w:tcW w:type="dxa" w:w="1504"/>
          </w:tcPr>
          <w:p>
            <w:pPr>
              <w:spacing w:after="0"/>
              <w:jc w:val="left"/>
            </w:pPr>
            <w:r/>
            <w:r>
              <w:rPr>
                <w:rFonts w:ascii="Times New Roman" w:hAnsi="Times New Roman"/>
                <w:sz w:val="22"/>
              </w:rPr>
              <w:t>0.838 (1)</w:t>
            </w:r>
          </w:p>
        </w:tc>
        <w:tc>
          <w:tcPr>
            <w:tcW w:type="dxa" w:w="1504"/>
          </w:tcPr>
          <w:p>
            <w:pPr>
              <w:spacing w:after="0"/>
              <w:jc w:val="left"/>
            </w:pPr>
            <w:r/>
            <w:r>
              <w:rPr>
                <w:rFonts w:ascii="Times New Roman" w:hAnsi="Times New Roman"/>
                <w:sz w:val="22"/>
              </w:rPr>
              <w:t>0.833 (2)</w:t>
            </w:r>
          </w:p>
        </w:tc>
        <w:tc>
          <w:tcPr>
            <w:tcW w:type="dxa" w:w="1504"/>
          </w:tcPr>
          <w:p>
            <w:pPr>
              <w:spacing w:after="0"/>
              <w:jc w:val="left"/>
            </w:pPr>
            <w:r/>
            <w:r>
              <w:rPr>
                <w:rFonts w:ascii="Times New Roman" w:hAnsi="Times New Roman"/>
                <w:sz w:val="22"/>
              </w:rPr>
              <w:t>0.821 (3)</w:t>
            </w:r>
          </w:p>
        </w:tc>
        <w:tc>
          <w:tcPr>
            <w:tcW w:type="dxa" w:w="1504"/>
          </w:tcPr>
          <w:p>
            <w:pPr>
              <w:spacing w:after="0"/>
              <w:jc w:val="left"/>
            </w:pPr>
            <w:r/>
            <w:r>
              <w:rPr>
                <w:rFonts w:ascii="Times New Roman" w:hAnsi="Times New Roman"/>
                <w:sz w:val="22"/>
              </w:rPr>
              <w:t>0.820 (4)</w:t>
            </w:r>
          </w:p>
        </w:tc>
        <w:tc>
          <w:tcPr>
            <w:tcW w:type="dxa" w:w="1504"/>
          </w:tcPr>
          <w:p>
            <w:pPr>
              <w:spacing w:after="0"/>
              <w:jc w:val="left"/>
            </w:pPr>
            <w:r/>
            <w:r>
              <w:rPr>
                <w:rFonts w:ascii="Times New Roman" w:hAnsi="Times New Roman"/>
                <w:sz w:val="22"/>
              </w:rPr>
              <w:t>0.795 (6)</w:t>
            </w:r>
          </w:p>
        </w:tc>
      </w:tr>
      <w:tr>
        <w:tc>
          <w:tcPr>
            <w:tcW w:type="dxa" w:w="1504"/>
          </w:tcPr>
          <w:p>
            <w:pPr>
              <w:spacing w:after="0"/>
              <w:jc w:val="left"/>
            </w:pPr>
            <w:r/>
            <w:r>
              <w:rPr>
                <w:rFonts w:ascii="Times New Roman" w:hAnsi="Times New Roman"/>
                <w:sz w:val="22"/>
              </w:rPr>
              <w:t>Test PR-AUC</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0.827</w:t>
            </w:r>
          </w:p>
        </w:tc>
        <w:tc>
          <w:tcPr>
            <w:tcW w:type="dxa" w:w="1504"/>
          </w:tcPr>
          <w:p>
            <w:pPr>
              <w:spacing w:after="0"/>
              <w:jc w:val="left"/>
            </w:pPr>
            <w:r/>
            <w:r>
              <w:rPr>
                <w:rFonts w:ascii="Times New Roman" w:hAnsi="Times New Roman"/>
                <w:sz w:val="22"/>
              </w:rPr>
              <w:t>0.825</w:t>
            </w:r>
          </w:p>
        </w:tc>
        <w:tc>
          <w:tcPr>
            <w:tcW w:type="dxa" w:w="1504"/>
          </w:tcPr>
          <w:p>
            <w:pPr>
              <w:spacing w:after="0"/>
              <w:jc w:val="left"/>
            </w:pPr>
            <w:r/>
            <w:r>
              <w:rPr>
                <w:rFonts w:ascii="Times New Roman" w:hAnsi="Times New Roman"/>
                <w:sz w:val="22"/>
              </w:rPr>
              <w:t>0.811</w:t>
            </w:r>
          </w:p>
        </w:tc>
      </w:tr>
      <w:tr>
        <w:tc>
          <w:tcPr>
            <w:tcW w:type="dxa" w:w="1504"/>
          </w:tcPr>
          <w:p>
            <w:pPr>
              <w:spacing w:after="0"/>
              <w:jc w:val="left"/>
            </w:pPr>
            <w:r/>
            <w:r>
              <w:rPr>
                <w:rFonts w:ascii="Times New Roman" w:hAnsi="Times New Roman"/>
                <w:sz w:val="22"/>
              </w:rPr>
              <w:t>Test cost per 1,000 cases at 2:1 / 3:1 / 5:1 (USD)</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67,648 / 78,839 / 90,463</w:t>
            </w:r>
          </w:p>
        </w:tc>
        <w:tc>
          <w:tcPr>
            <w:tcW w:type="dxa" w:w="1504"/>
          </w:tcPr>
          <w:p>
            <w:pPr>
              <w:spacing w:after="0"/>
              <w:jc w:val="left"/>
            </w:pPr>
            <w:r/>
            <w:r>
              <w:rPr>
                <w:rFonts w:ascii="Times New Roman" w:hAnsi="Times New Roman"/>
                <w:sz w:val="22"/>
              </w:rPr>
              <w:t>68,760 / 80,079 / 90,945</w:t>
            </w:r>
          </w:p>
        </w:tc>
        <w:tc>
          <w:tcPr>
            <w:tcW w:type="dxa" w:w="1504"/>
          </w:tcPr>
          <w:p>
            <w:pPr>
              <w:spacing w:after="0"/>
              <w:jc w:val="left"/>
            </w:pPr>
            <w:r/>
            <w:r>
              <w:rPr>
                <w:rFonts w:ascii="Times New Roman" w:hAnsi="Times New Roman"/>
                <w:sz w:val="22"/>
              </w:rPr>
              <w:t>70,955 / 82,234 / 93,317</w:t>
            </w:r>
          </w:p>
        </w:tc>
      </w:tr>
      <w:tr>
        <w:tc>
          <w:tcPr>
            <w:tcW w:type="dxa" w:w="1504"/>
          </w:tcPr>
          <w:p>
            <w:pPr>
              <w:spacing w:after="0"/>
              <w:jc w:val="left"/>
            </w:pPr>
            <w:r/>
            <w:r>
              <w:rPr>
                <w:rFonts w:ascii="Times New Roman" w:hAnsi="Times New Roman"/>
                <w:sz w:val="22"/>
              </w:rPr>
              <w:t>Test specificity at the out-of-fold threshold for specificity 0.40</w:t>
            </w:r>
          </w:p>
        </w:tc>
        <w:tc>
          <w:tcPr>
            <w:tcW w:type="dxa" w:w="1504"/>
          </w:tcPr>
          <w:p>
            <w:pPr>
              <w:spacing w:after="0"/>
              <w:jc w:val="left"/>
            </w:pPr>
            <w:r/>
            <w:r>
              <w:rPr>
                <w:rFonts w:ascii="Times New Roman" w:hAnsi="Times New Roman"/>
                <w:sz w:val="22"/>
              </w:rPr>
              <w:t>0.403</w:t>
            </w:r>
          </w:p>
        </w:tc>
        <w:tc>
          <w:tcPr>
            <w:tcW w:type="dxa" w:w="1504"/>
          </w:tcPr>
          <w:p>
            <w:pPr>
              <w:spacing w:after="0"/>
              <w:jc w:val="left"/>
            </w:pPr>
            <w:r/>
            <w:r>
              <w:rPr>
                <w:rFonts w:ascii="Times New Roman" w:hAnsi="Times New Roman"/>
                <w:sz w:val="22"/>
              </w:rPr>
              <w:t>0.373</w:t>
            </w:r>
          </w:p>
        </w:tc>
        <w:tc>
          <w:tcPr>
            <w:tcW w:type="dxa" w:w="1504"/>
          </w:tcPr>
          <w:p>
            <w:pPr>
              <w:spacing w:after="0"/>
              <w:jc w:val="left"/>
            </w:pPr>
            <w:r/>
            <w:r>
              <w:rPr>
                <w:rFonts w:ascii="Times New Roman" w:hAnsi="Times New Roman"/>
                <w:sz w:val="22"/>
              </w:rPr>
              <w:t>0.408</w:t>
            </w:r>
          </w:p>
        </w:tc>
        <w:tc>
          <w:tcPr>
            <w:tcW w:type="dxa" w:w="1504"/>
          </w:tcPr>
          <w:p>
            <w:pPr>
              <w:spacing w:after="0"/>
              <w:jc w:val="left"/>
            </w:pPr>
            <w:r/>
            <w:r>
              <w:rPr>
                <w:rFonts w:ascii="Times New Roman" w:hAnsi="Times New Roman"/>
                <w:sz w:val="22"/>
              </w:rPr>
              <w:t>0.405</w:t>
            </w:r>
          </w:p>
        </w:tc>
        <w:tc>
          <w:tcPr>
            <w:tcW w:type="dxa" w:w="1504"/>
          </w:tcPr>
          <w:p>
            <w:pPr>
              <w:spacing w:after="0"/>
              <w:jc w:val="left"/>
            </w:pPr>
            <w:r/>
            <w:r>
              <w:rPr>
                <w:rFonts w:ascii="Times New Roman" w:hAnsi="Times New Roman"/>
                <w:sz w:val="22"/>
              </w:rPr>
              <w:t>0.411</w:t>
            </w:r>
          </w:p>
        </w:tc>
      </w:tr>
      <w:tr>
        <w:tc>
          <w:tcPr>
            <w:tcW w:type="dxa" w:w="1504"/>
          </w:tcPr>
          <w:p>
            <w:pPr>
              <w:spacing w:after="0"/>
              <w:jc w:val="left"/>
            </w:pPr>
            <w:r/>
            <w:r>
              <w:rPr>
                <w:rFonts w:ascii="Times New Roman" w:hAnsi="Times New Roman"/>
                <w:sz w:val="22"/>
              </w:rPr>
              <w:t>Test flag rate at the out-of-fold threshold for a 50% flag rate</w:t>
            </w:r>
          </w:p>
        </w:tc>
        <w:tc>
          <w:tcPr>
            <w:tcW w:type="dxa" w:w="1504"/>
          </w:tcPr>
          <w:p>
            <w:pPr>
              <w:spacing w:after="0"/>
              <w:jc w:val="left"/>
            </w:pPr>
            <w:r/>
            <w:r>
              <w:rPr>
                <w:rFonts w:ascii="Times New Roman" w:hAnsi="Times New Roman"/>
                <w:sz w:val="22"/>
              </w:rPr>
              <w:t>0.506</w:t>
            </w:r>
          </w:p>
        </w:tc>
        <w:tc>
          <w:tcPr>
            <w:tcW w:type="dxa" w:w="1504"/>
          </w:tcPr>
          <w:p>
            <w:pPr>
              <w:spacing w:after="0"/>
              <w:jc w:val="left"/>
            </w:pPr>
            <w:r/>
            <w:r>
              <w:rPr>
                <w:rFonts w:ascii="Times New Roman" w:hAnsi="Times New Roman"/>
                <w:sz w:val="22"/>
              </w:rPr>
              <w:t>0.525</w:t>
            </w:r>
          </w:p>
        </w:tc>
        <w:tc>
          <w:tcPr>
            <w:tcW w:type="dxa" w:w="1504"/>
          </w:tcPr>
          <w:p>
            <w:pPr>
              <w:spacing w:after="0"/>
              <w:jc w:val="left"/>
            </w:pPr>
            <w:r/>
            <w:r>
              <w:rPr>
                <w:rFonts w:ascii="Times New Roman" w:hAnsi="Times New Roman"/>
                <w:sz w:val="22"/>
              </w:rPr>
              <w:t>0.497</w:t>
            </w:r>
          </w:p>
        </w:tc>
        <w:tc>
          <w:tcPr>
            <w:tcW w:type="dxa" w:w="1504"/>
          </w:tcPr>
          <w:p>
            <w:pPr>
              <w:spacing w:after="0"/>
              <w:jc w:val="left"/>
            </w:pPr>
            <w:r/>
            <w:r>
              <w:rPr>
                <w:rFonts w:ascii="Times New Roman" w:hAnsi="Times New Roman"/>
                <w:sz w:val="22"/>
              </w:rPr>
              <w:t>0.498</w:t>
            </w:r>
          </w:p>
        </w:tc>
        <w:tc>
          <w:tcPr>
            <w:tcW w:type="dxa" w:w="1504"/>
          </w:tcPr>
          <w:p>
            <w:pPr>
              <w:spacing w:after="0"/>
              <w:jc w:val="left"/>
            </w:pPr>
            <w:r/>
            <w:r>
              <w:rPr>
                <w:rFonts w:ascii="Times New Roman" w:hAnsi="Times New Roman"/>
                <w:sz w:val="22"/>
              </w:rPr>
              <w:t>0.498</w:t>
            </w:r>
          </w:p>
        </w:tc>
      </w:tr>
      <w:tr>
        <w:tc>
          <w:tcPr>
            <w:tcW w:type="dxa" w:w="1504"/>
          </w:tcPr>
          <w:p>
            <w:pPr>
              <w:spacing w:after="0"/>
              <w:jc w:val="left"/>
            </w:pPr>
            <w:r/>
            <w:r>
              <w:rPr>
                <w:rFonts w:ascii="Times New Roman" w:hAnsi="Times New Roman"/>
                <w:sz w:val="22"/>
              </w:rPr>
              <w:t>Test recall at one equal workload, the top 75.9% of test scores (the median flag rate of the eight capacity thresholds)</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0.940</w:t>
            </w:r>
          </w:p>
        </w:tc>
        <w:tc>
          <w:tcPr>
            <w:tcW w:type="dxa" w:w="1504"/>
          </w:tcPr>
          <w:p>
            <w:pPr>
              <w:spacing w:after="0"/>
              <w:jc w:val="left"/>
            </w:pPr>
            <w:r/>
            <w:r>
              <w:rPr>
                <w:rFonts w:ascii="Times New Roman" w:hAnsi="Times New Roman"/>
                <w:sz w:val="22"/>
              </w:rPr>
              <w:t>0.935</w:t>
            </w:r>
          </w:p>
        </w:tc>
        <w:tc>
          <w:tcPr>
            <w:tcW w:type="dxa" w:w="1504"/>
          </w:tcPr>
          <w:p>
            <w:pPr>
              <w:spacing w:after="0"/>
              <w:jc w:val="left"/>
            </w:pPr>
            <w:r/>
            <w:r>
              <w:rPr>
                <w:rFonts w:ascii="Times New Roman" w:hAnsi="Times New Roman"/>
                <w:sz w:val="22"/>
              </w:rPr>
              <w:t>0.933</w:t>
            </w:r>
          </w:p>
        </w:tc>
        <w:tc>
          <w:tcPr>
            <w:tcW w:type="dxa" w:w="1504"/>
          </w:tcPr>
          <w:p>
            <w:pPr>
              <w:spacing w:after="0"/>
              <w:jc w:val="left"/>
            </w:pPr>
            <w:r/>
            <w:r>
              <w:rPr>
                <w:rFonts w:ascii="Times New Roman" w:hAnsi="Times New Roman"/>
                <w:sz w:val="22"/>
              </w:rPr>
              <w:t>0.930</w:t>
            </w:r>
          </w:p>
        </w:tc>
      </w:tr>
      <w:tr>
        <w:tc>
          <w:tcPr>
            <w:tcW w:type="dxa" w:w="1504"/>
          </w:tcPr>
          <w:p>
            <w:pPr>
              <w:spacing w:after="0"/>
              <w:jc w:val="left"/>
            </w:pPr>
            <w:r/>
            <w:r>
              <w:rPr>
                <w:rFonts w:ascii="Times New Roman" w:hAnsi="Times New Roman"/>
                <w:sz w:val="22"/>
              </w:rPr>
              <w:t>Temporal split: PR-AUC on 2020-2025</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0.834</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Temporal split: specificity at the capacity threshold across three feature variants</w:t>
            </w:r>
          </w:p>
        </w:tc>
        <w:tc>
          <w:tcPr>
            <w:tcW w:type="dxa" w:w="1504"/>
          </w:tcPr>
          <w:p>
            <w:pPr>
              <w:spacing w:after="0"/>
              <w:jc w:val="left"/>
            </w:pPr>
            <w:r/>
            <w:r>
              <w:rPr>
                <w:rFonts w:ascii="Times New Roman" w:hAnsi="Times New Roman"/>
                <w:sz w:val="22"/>
              </w:rPr>
              <w:t>0.376 to 0.378</w:t>
            </w:r>
          </w:p>
        </w:tc>
        <w:tc>
          <w:tcPr>
            <w:tcW w:type="dxa" w:w="1504"/>
          </w:tcPr>
          <w:p>
            <w:pPr>
              <w:spacing w:after="0"/>
              <w:jc w:val="left"/>
            </w:pPr>
            <w:r/>
            <w:r>
              <w:rPr>
                <w:rFonts w:ascii="Times New Roman" w:hAnsi="Times New Roman"/>
                <w:sz w:val="22"/>
              </w:rPr>
              <w:t>0.313 to 0.425</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c>
          <w:tcPr>
            <w:tcW w:type="dxa" w:w="1504"/>
          </w:tcPr>
          <w:p>
            <w:pPr>
              <w:spacing w:after="0"/>
              <w:jc w:val="left"/>
            </w:pPr>
            <w:r/>
            <w:r>
              <w:rPr>
                <w:rFonts w:ascii="Times New Roman" w:hAnsi="Times New Roman"/>
                <w:sz w:val="22"/>
              </w:rPr>
              <w:t>not run</w:t>
            </w:r>
          </w:p>
        </w:tc>
      </w:tr>
      <w:tr>
        <w:tc>
          <w:tcPr>
            <w:tcW w:type="dxa" w:w="1504"/>
          </w:tcPr>
          <w:p>
            <w:pPr>
              <w:spacing w:after="0"/>
              <w:jc w:val="left"/>
            </w:pPr>
            <w:r/>
            <w:r>
              <w:rPr>
                <w:rFonts w:ascii="Times New Roman" w:hAnsi="Times New Roman"/>
                <w:sz w:val="22"/>
              </w:rPr>
              <w:t>Explanation available</w:t>
            </w:r>
          </w:p>
        </w:tc>
        <w:tc>
          <w:tcPr>
            <w:tcW w:type="dxa" w:w="1504"/>
          </w:tcPr>
          <w:p>
            <w:pPr>
              <w:spacing w:after="0"/>
              <w:jc w:val="left"/>
            </w:pPr>
            <w:r/>
            <w:r>
              <w:rPr>
                <w:rFonts w:ascii="Times New Roman" w:hAnsi="Times New Roman"/>
                <w:sz w:val="22"/>
              </w:rPr>
              <w:t>permutation importance; SHAP values</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permutation importance</w:t>
            </w:r>
          </w:p>
        </w:tc>
        <w:tc>
          <w:tcPr>
            <w:tcW w:type="dxa" w:w="1504"/>
          </w:tcPr>
          <w:p>
            <w:pPr>
              <w:spacing w:after="0"/>
              <w:jc w:val="left"/>
            </w:pPr>
            <w:r/>
            <w:r>
              <w:rPr>
                <w:rFonts w:ascii="Times New Roman" w:hAnsi="Times New Roman"/>
                <w:sz w:val="22"/>
              </w:rPr>
              <w:t>coefficients as odds ratios</w:t>
            </w:r>
          </w:p>
        </w:tc>
        <w:tc>
          <w:tcPr>
            <w:tcW w:type="dxa" w:w="1504"/>
          </w:tcPr>
          <w:p>
            <w:pPr>
              <w:spacing w:after="0"/>
              <w:jc w:val="left"/>
            </w:pPr>
            <w:r/>
            <w:r>
              <w:rPr>
                <w:rFonts w:ascii="Times New Roman" w:hAnsi="Times New Roman"/>
                <w:sz w:val="22"/>
              </w:rPr>
              <w:t>permutation importance</w:t>
            </w:r>
          </w:p>
        </w:tc>
      </w:tr>
      <w:tr>
        <w:tc>
          <w:tcPr>
            <w:tcW w:type="dxa" w:w="1504"/>
          </w:tcPr>
          <w:p>
            <w:pPr>
              <w:spacing w:after="0"/>
              <w:jc w:val="left"/>
            </w:pPr>
            <w:r/>
            <w:r>
              <w:rPr>
                <w:rFonts w:ascii="Times New Roman" w:hAnsi="Times New Roman"/>
                <w:sz w:val="22"/>
              </w:rPr>
              <w:t>Scaler needed</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no</w:t>
            </w:r>
          </w:p>
        </w:tc>
        <w:tc>
          <w:tcPr>
            <w:tcW w:type="dxa" w:w="1504"/>
          </w:tcPr>
          <w:p>
            <w:pPr>
              <w:spacing w:after="0"/>
              <w:jc w:val="left"/>
            </w:pPr>
            <w:r/>
            <w:r>
              <w:rPr>
                <w:rFonts w:ascii="Times New Roman" w:hAnsi="Times New Roman"/>
                <w:sz w:val="22"/>
              </w:rPr>
              <w:t>yes</w:t>
            </w:r>
          </w:p>
        </w:tc>
        <w:tc>
          <w:tcPr>
            <w:tcW w:type="dxa" w:w="1504"/>
          </w:tcPr>
          <w:p>
            <w:pPr>
              <w:spacing w:after="0"/>
              <w:jc w:val="left"/>
            </w:pPr>
            <w:r/>
            <w:r>
              <w:rPr>
                <w:rFonts w:ascii="Times New Roman" w:hAnsi="Times New Roman"/>
                <w:sz w:val="22"/>
              </w:rPr>
              <w:t>yes</w:t>
            </w:r>
          </w:p>
        </w:tc>
      </w:tr>
      <w:tr>
        <w:tc>
          <w:tcPr>
            <w:tcW w:type="dxa" w:w="1504"/>
          </w:tcPr>
          <w:p>
            <w:pPr>
              <w:spacing w:after="0"/>
              <w:jc w:val="left"/>
            </w:pPr>
            <w:r/>
            <w:r>
              <w:rPr>
                <w:rFonts w:ascii="Times New Roman" w:hAnsi="Times New Roman"/>
                <w:sz w:val="22"/>
              </w:rPr>
              <w:t>Tuning time (s)</w:t>
            </w:r>
          </w:p>
        </w:tc>
        <w:tc>
          <w:tcPr>
            <w:tcW w:type="dxa" w:w="1504"/>
          </w:tcPr>
          <w:p>
            <w:pPr>
              <w:spacing w:after="0"/>
              <w:jc w:val="left"/>
            </w:pPr>
            <w:r/>
            <w:r>
              <w:rPr>
                <w:rFonts w:ascii="Times New Roman" w:hAnsi="Times New Roman"/>
                <w:sz w:val="22"/>
              </w:rPr>
              <w:t>580</w:t>
            </w:r>
          </w:p>
        </w:tc>
        <w:tc>
          <w:tcPr>
            <w:tcW w:type="dxa" w:w="1504"/>
          </w:tcPr>
          <w:p>
            <w:pPr>
              <w:spacing w:after="0"/>
              <w:jc w:val="left"/>
            </w:pPr>
            <w:r/>
            <w:r>
              <w:rPr>
                <w:rFonts w:ascii="Times New Roman" w:hAnsi="Times New Roman"/>
                <w:sz w:val="22"/>
              </w:rPr>
              <w:t>188</w:t>
            </w:r>
          </w:p>
        </w:tc>
        <w:tc>
          <w:tcPr>
            <w:tcW w:type="dxa" w:w="1504"/>
          </w:tcPr>
          <w:p>
            <w:pPr>
              <w:spacing w:after="0"/>
              <w:jc w:val="left"/>
            </w:pPr>
            <w:r/>
            <w:r>
              <w:rPr>
                <w:rFonts w:ascii="Times New Roman" w:hAnsi="Times New Roman"/>
                <w:sz w:val="22"/>
              </w:rPr>
              <w:t>140</w:t>
            </w:r>
          </w:p>
        </w:tc>
        <w:tc>
          <w:tcPr>
            <w:tcW w:type="dxa" w:w="1504"/>
          </w:tcPr>
          <w:p>
            <w:pPr>
              <w:spacing w:after="0"/>
              <w:jc w:val="left"/>
            </w:pPr>
            <w:r/>
            <w:r>
              <w:rPr>
                <w:rFonts w:ascii="Times New Roman" w:hAnsi="Times New Roman"/>
                <w:sz w:val="22"/>
              </w:rPr>
              <w:t>71</w:t>
            </w:r>
          </w:p>
        </w:tc>
        <w:tc>
          <w:tcPr>
            <w:tcW w:type="dxa" w:w="1504"/>
          </w:tcPr>
          <w:p>
            <w:pPr>
              <w:spacing w:after="0"/>
              <w:jc w:val="left"/>
            </w:pPr>
            <w:r/>
            <w:r>
              <w:rPr>
                <w:rFonts w:ascii="Times New Roman" w:hAnsi="Times New Roman"/>
                <w:sz w:val="22"/>
              </w:rPr>
              <w:t>1,193</w:t>
            </w:r>
          </w:p>
        </w:tc>
      </w:tr>
      <w:tr>
        <w:tc>
          <w:tcPr>
            <w:tcW w:type="dxa" w:w="1504"/>
          </w:tcPr>
          <w:p>
            <w:pPr>
              <w:spacing w:after="0"/>
              <w:jc w:val="left"/>
            </w:pPr>
            <w:r/>
            <w:r>
              <w:rPr>
                <w:rFonts w:ascii="Times New Roman" w:hAnsi="Times New Roman"/>
                <w:sz w:val="22"/>
              </w:rPr>
              <w:t>Prediction time for 20,320 reports (s)</w:t>
            </w:r>
          </w:p>
        </w:tc>
        <w:tc>
          <w:tcPr>
            <w:tcW w:type="dxa" w:w="1504"/>
          </w:tcPr>
          <w:p>
            <w:pPr>
              <w:spacing w:after="0"/>
              <w:jc w:val="left"/>
            </w:pPr>
            <w:r/>
            <w:r>
              <w:rPr>
                <w:rFonts w:ascii="Times New Roman" w:hAnsi="Times New Roman"/>
                <w:sz w:val="22"/>
              </w:rPr>
              <w:t>0.27</w:t>
            </w:r>
          </w:p>
        </w:tc>
        <w:tc>
          <w:tcPr>
            <w:tcW w:type="dxa" w:w="1504"/>
          </w:tcPr>
          <w:p>
            <w:pPr>
              <w:spacing w:after="0"/>
              <w:jc w:val="left"/>
            </w:pPr>
            <w:r/>
            <w:r>
              <w:rPr>
                <w:rFonts w:ascii="Times New Roman" w:hAnsi="Times New Roman"/>
                <w:sz w:val="22"/>
              </w:rPr>
              <w:t>0.12</w:t>
            </w:r>
          </w:p>
        </w:tc>
        <w:tc>
          <w:tcPr>
            <w:tcW w:type="dxa" w:w="1504"/>
          </w:tcPr>
          <w:p>
            <w:pPr>
              <w:spacing w:after="0"/>
              <w:jc w:val="left"/>
            </w:pPr>
            <w:r/>
            <w:r>
              <w:rPr>
                <w:rFonts w:ascii="Times New Roman" w:hAnsi="Times New Roman"/>
                <w:sz w:val="22"/>
              </w:rPr>
              <w:t>0.64</w:t>
            </w:r>
          </w:p>
        </w:tc>
        <w:tc>
          <w:tcPr>
            <w:tcW w:type="dxa" w:w="1504"/>
          </w:tcPr>
          <w:p>
            <w:pPr>
              <w:spacing w:after="0"/>
              <w:jc w:val="left"/>
            </w:pPr>
            <w:r/>
            <w:r>
              <w:rPr>
                <w:rFonts w:ascii="Times New Roman" w:hAnsi="Times New Roman"/>
                <w:sz w:val="22"/>
              </w:rPr>
              <w:t>0.09</w:t>
            </w:r>
          </w:p>
        </w:tc>
        <w:tc>
          <w:tcPr>
            <w:tcW w:type="dxa" w:w="1504"/>
          </w:tcPr>
          <w:p>
            <w:pPr>
              <w:spacing w:after="0"/>
              <w:jc w:val="left"/>
            </w:pPr>
            <w:r/>
            <w:r>
              <w:rPr>
                <w:rFonts w:ascii="Times New Roman" w:hAnsi="Times New Roman"/>
                <w:sz w:val="22"/>
              </w:rPr>
              <w:t>45.36</w:t>
            </w:r>
          </w:p>
        </w:tc>
      </w:tr>
      <w:tr>
        <w:tc>
          <w:tcPr>
            <w:tcW w:type="dxa" w:w="1504"/>
          </w:tcPr>
          <w:p>
            <w:pPr>
              <w:spacing w:after="0"/>
              <w:jc w:val="left"/>
            </w:pPr>
            <w:r/>
            <w:r>
              <w:rPr>
                <w:rFonts w:ascii="Times New Roman" w:hAnsi="Times New Roman"/>
                <w:sz w:val="22"/>
              </w:rPr>
              <w:t>Saved pipeline (MB)</w:t>
            </w:r>
          </w:p>
        </w:tc>
        <w:tc>
          <w:tcPr>
            <w:tcW w:type="dxa" w:w="1504"/>
          </w:tcPr>
          <w:p>
            <w:pPr>
              <w:spacing w:after="0"/>
              <w:jc w:val="left"/>
            </w:pPr>
            <w:r/>
            <w:r>
              <w:rPr>
                <w:rFonts w:ascii="Times New Roman" w:hAnsi="Times New Roman"/>
                <w:sz w:val="22"/>
              </w:rPr>
              <w:t>0.45</w:t>
            </w:r>
          </w:p>
        </w:tc>
        <w:tc>
          <w:tcPr>
            <w:tcW w:type="dxa" w:w="1504"/>
          </w:tcPr>
          <w:p>
            <w:pPr>
              <w:spacing w:after="0"/>
              <w:jc w:val="left"/>
            </w:pPr>
            <w:r/>
            <w:r>
              <w:rPr>
                <w:rFonts w:ascii="Times New Roman" w:hAnsi="Times New Roman"/>
                <w:sz w:val="22"/>
              </w:rPr>
              <w:t>0.81</w:t>
            </w:r>
          </w:p>
        </w:tc>
        <w:tc>
          <w:tcPr>
            <w:tcW w:type="dxa" w:w="1504"/>
          </w:tcPr>
          <w:p>
            <w:pPr>
              <w:spacing w:after="0"/>
              <w:jc w:val="left"/>
            </w:pPr>
            <w:r/>
            <w:r>
              <w:rPr>
                <w:rFonts w:ascii="Times New Roman" w:hAnsi="Times New Roman"/>
                <w:sz w:val="22"/>
              </w:rPr>
              <w:t>20.37</w:t>
            </w:r>
          </w:p>
        </w:tc>
        <w:tc>
          <w:tcPr>
            <w:tcW w:type="dxa" w:w="1504"/>
          </w:tcPr>
          <w:p>
            <w:pPr>
              <w:spacing w:after="0"/>
              <w:jc w:val="left"/>
            </w:pPr>
            <w:r/>
            <w:r>
              <w:rPr>
                <w:rFonts w:ascii="Times New Roman" w:hAnsi="Times New Roman"/>
                <w:sz w:val="22"/>
              </w:rPr>
              <w:t>0.01</w:t>
            </w:r>
          </w:p>
        </w:tc>
        <w:tc>
          <w:tcPr>
            <w:tcW w:type="dxa" w:w="1504"/>
          </w:tcPr>
          <w:p>
            <w:pPr>
              <w:spacing w:after="0"/>
              <w:jc w:val="left"/>
            </w:pPr>
            <w:r/>
            <w:r>
              <w:rPr>
                <w:rFonts w:ascii="Times New Roman" w:hAnsi="Times New Roman"/>
                <w:sz w:val="22"/>
              </w:rPr>
              <w:t>1.25</w:t>
            </w:r>
          </w:p>
        </w:tc>
      </w:tr>
    </w:tbl>
    <w:p>
      <w:pPr>
        <w:spacing w:after="80"/>
      </w:pPr>
    </w:p>
    <w:p>
      <w:pPr>
        <w:keepNext/>
        <w:jc w:val="center"/>
      </w:pPr>
      <w:r>
        <w:drawing>
          <wp:inline xmlns:a="http://schemas.openxmlformats.org/drawingml/2006/main" xmlns:pic="http://schemas.openxmlformats.org/drawingml/2006/picture">
            <wp:extent cx="5029200" cy="4827255"/>
            <wp:docPr id="18" name="Picture 18" descr="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 title="Figure 18"/>
            <wp:cNvGraphicFramePr>
              <a:graphicFrameLocks noChangeAspect="1"/>
            </wp:cNvGraphicFramePr>
            <a:graphic>
              <a:graphicData uri="http://schemas.openxmlformats.org/drawingml/2006/picture">
                <pic:pic>
                  <pic:nvPicPr>
                    <pic:cNvPr id="0" name="F17_feature_importance_hist_gb.png"/>
                    <pic:cNvPicPr/>
                  </pic:nvPicPr>
                  <pic:blipFill>
                    <a:blip r:embed="rId28"/>
                    <a:stretch>
                      <a:fillRect/>
                    </a:stretch>
                  </pic:blipFill>
                  <pic:spPr>
                    <a:xfrm>
                      <a:off x="0" y="0"/>
                      <a:ext cx="5029200" cy="482725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keepNext/>
        <w:jc w:val="center"/>
      </w:pPr>
      <w:r>
        <w:drawing>
          <wp:inline xmlns:a="http://schemas.openxmlformats.org/drawingml/2006/main" xmlns:pic="http://schemas.openxmlformats.org/drawingml/2006/picture">
            <wp:extent cx="5029200" cy="4872405"/>
            <wp:docPr id="19" name="Picture 19" descr="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 title="Figure 19"/>
            <wp:cNvGraphicFramePr>
              <a:graphicFrameLocks noChangeAspect="1"/>
            </wp:cNvGraphicFramePr>
            <a:graphic>
              <a:graphicData uri="http://schemas.openxmlformats.org/drawingml/2006/picture">
                <pic:pic>
                  <pic:nvPicPr>
                    <pic:cNvPr id="0" name="F17b_coefficients_logreg.png"/>
                    <pic:cNvPicPr/>
                  </pic:nvPicPr>
                  <pic:blipFill>
                    <a:blip r:embed="rId29"/>
                    <a:stretch>
                      <a:fillRect/>
                    </a:stretch>
                  </pic:blipFill>
                  <pic:spPr>
                    <a:xfrm>
                      <a:off x="0" y="0"/>
                      <a:ext cx="5029200" cy="487240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Model and threshold</w:t>
            </w:r>
          </w:p>
        </w:tc>
        <w:tc>
          <w:tcPr>
            <w:tcW w:type="dxa" w:w="1128"/>
            <w:shd w:val="clear" w:color="auto" w:fill="E7E6E6"/>
          </w:tcPr>
          <w:p>
            <w:pPr>
              <w:jc w:val="left"/>
            </w:pPr>
            <w:r>
              <w:rPr>
                <w:b/>
              </w:rPr>
            </w:r>
            <w:r>
              <w:rPr>
                <w:rFonts w:ascii="Times New Roman" w:hAnsi="Times New Roman"/>
                <w:b/>
                <w:sz w:val="22"/>
              </w:rPr>
              <w:t>TP: lost-time, flagged</w:t>
            </w:r>
          </w:p>
        </w:tc>
        <w:tc>
          <w:tcPr>
            <w:tcW w:type="dxa" w:w="1128"/>
            <w:shd w:val="clear" w:color="auto" w:fill="E7E6E6"/>
          </w:tcPr>
          <w:p>
            <w:pPr>
              <w:jc w:val="left"/>
            </w:pPr>
            <w:r>
              <w:rPr>
                <w:b/>
              </w:rPr>
            </w:r>
            <w:r>
              <w:rPr>
                <w:rFonts w:ascii="Times New Roman" w:hAnsi="Times New Roman"/>
                <w:b/>
                <w:sz w:val="22"/>
              </w:rPr>
              <w:t>FN: lost-time, not flagged</w:t>
            </w:r>
          </w:p>
        </w:tc>
        <w:tc>
          <w:tcPr>
            <w:tcW w:type="dxa" w:w="1128"/>
            <w:shd w:val="clear" w:color="auto" w:fill="E7E6E6"/>
          </w:tcPr>
          <w:p>
            <w:pPr>
              <w:jc w:val="left"/>
            </w:pPr>
            <w:r>
              <w:rPr>
                <w:b/>
              </w:rPr>
            </w:r>
            <w:r>
              <w:rPr>
                <w:rFonts w:ascii="Times New Roman" w:hAnsi="Times New Roman"/>
                <w:b/>
                <w:sz w:val="22"/>
              </w:rPr>
              <w:t>FP: other, flagged</w:t>
            </w:r>
          </w:p>
        </w:tc>
        <w:tc>
          <w:tcPr>
            <w:tcW w:type="dxa" w:w="1128"/>
            <w:shd w:val="clear" w:color="auto" w:fill="E7E6E6"/>
          </w:tcPr>
          <w:p>
            <w:pPr>
              <w:jc w:val="left"/>
            </w:pPr>
            <w:r>
              <w:rPr>
                <w:b/>
              </w:rPr>
            </w:r>
            <w:r>
              <w:rPr>
                <w:rFonts w:ascii="Times New Roman" w:hAnsi="Times New Roman"/>
                <w:b/>
                <w:sz w:val="22"/>
              </w:rPr>
              <w:t>TN: other, not flagged</w:t>
            </w:r>
          </w:p>
        </w:tc>
        <w:tc>
          <w:tcPr>
            <w:tcW w:type="dxa" w:w="1128"/>
            <w:shd w:val="clear" w:color="auto" w:fill="E7E6E6"/>
          </w:tcPr>
          <w:p>
            <w:pPr>
              <w:jc w:val="left"/>
            </w:pPr>
            <w:r>
              <w:rPr>
                <w:b/>
              </w:rPr>
            </w:r>
            <w:r>
              <w:rPr>
                <w:rFonts w:ascii="Times New Roman" w:hAnsi="Times New Roman"/>
                <w:b/>
                <w:sz w:val="22"/>
              </w:rPr>
              <w:t>Recall</w:t>
            </w:r>
          </w:p>
        </w:tc>
        <w:tc>
          <w:tcPr>
            <w:tcW w:type="dxa" w:w="1128"/>
            <w:shd w:val="clear" w:color="auto" w:fill="E7E6E6"/>
          </w:tcPr>
          <w:p>
            <w:pPr>
              <w:jc w:val="left"/>
            </w:pPr>
            <w:r>
              <w:rPr>
                <w:b/>
              </w:rPr>
            </w:r>
            <w:r>
              <w:rPr>
                <w:rFonts w:ascii="Times New Roman" w:hAnsi="Times New Roman"/>
                <w:b/>
                <w:sz w:val="22"/>
              </w:rPr>
              <w:t>Precision</w:t>
            </w:r>
          </w:p>
        </w:tc>
        <w:tc>
          <w:tcPr>
            <w:tcW w:type="dxa" w:w="1128"/>
            <w:shd w:val="clear" w:color="auto" w:fill="E7E6E6"/>
          </w:tcPr>
          <w:p>
            <w:pPr>
              <w:jc w:val="left"/>
            </w:pPr>
            <w:r>
              <w:rPr>
                <w:b/>
              </w:rPr>
            </w:r>
            <w:r>
              <w:rPr>
                <w:rFonts w:ascii="Times New Roman" w:hAnsi="Times New Roman"/>
                <w:b/>
                <w:sz w:val="22"/>
              </w:rPr>
              <w:t>Flag rate</w:t>
            </w:r>
          </w:p>
        </w:tc>
      </w:tr>
      <w:tr>
        <w:tc>
          <w:tcPr>
            <w:tcW w:type="dxa" w:w="1128"/>
          </w:tcPr>
          <w:p>
            <w:pPr>
              <w:spacing w:after="0"/>
              <w:jc w:val="left"/>
            </w:pPr>
            <w:r/>
            <w:r>
              <w:rPr>
                <w:rFonts w:ascii="Times New Roman" w:hAnsi="Times New Roman"/>
                <w:sz w:val="22"/>
              </w:rPr>
              <w:t>HGB, capacity threshold 0.210</w:t>
            </w:r>
          </w:p>
        </w:tc>
        <w:tc>
          <w:tcPr>
            <w:tcW w:type="dxa" w:w="1128"/>
          </w:tcPr>
          <w:p>
            <w:pPr>
              <w:spacing w:after="0"/>
              <w:jc w:val="left"/>
            </w:pPr>
            <w:r/>
            <w:r>
              <w:rPr>
                <w:rFonts w:ascii="Times New Roman" w:hAnsi="Times New Roman"/>
                <w:sz w:val="22"/>
              </w:rPr>
              <w:t>9,312</w:t>
            </w:r>
          </w:p>
        </w:tc>
        <w:tc>
          <w:tcPr>
            <w:tcW w:type="dxa" w:w="1128"/>
          </w:tcPr>
          <w:p>
            <w:pPr>
              <w:spacing w:after="0"/>
              <w:jc w:val="left"/>
            </w:pPr>
            <w:r/>
            <w:r>
              <w:rPr>
                <w:rFonts w:ascii="Times New Roman" w:hAnsi="Times New Roman"/>
                <w:sz w:val="22"/>
              </w:rPr>
              <w:t>561</w:t>
            </w:r>
          </w:p>
        </w:tc>
        <w:tc>
          <w:tcPr>
            <w:tcW w:type="dxa" w:w="1128"/>
          </w:tcPr>
          <w:p>
            <w:pPr>
              <w:spacing w:after="0"/>
              <w:jc w:val="left"/>
            </w:pPr>
            <w:r/>
            <w:r>
              <w:rPr>
                <w:rFonts w:ascii="Times New Roman" w:hAnsi="Times New Roman"/>
                <w:sz w:val="22"/>
              </w:rPr>
              <w:t>6,232</w:t>
            </w:r>
          </w:p>
        </w:tc>
        <w:tc>
          <w:tcPr>
            <w:tcW w:type="dxa" w:w="1128"/>
          </w:tcPr>
          <w:p>
            <w:pPr>
              <w:spacing w:after="0"/>
              <w:jc w:val="left"/>
            </w:pPr>
            <w:r/>
            <w:r>
              <w:rPr>
                <w:rFonts w:ascii="Times New Roman" w:hAnsi="Times New Roman"/>
                <w:sz w:val="22"/>
              </w:rPr>
              <w:t>4,215</w:t>
            </w:r>
          </w:p>
        </w:tc>
        <w:tc>
          <w:tcPr>
            <w:tcW w:type="dxa" w:w="1128"/>
          </w:tcPr>
          <w:p>
            <w:pPr>
              <w:spacing w:after="0"/>
              <w:jc w:val="left"/>
            </w:pPr>
            <w:r/>
            <w:r>
              <w:rPr>
                <w:rFonts w:ascii="Times New Roman" w:hAnsi="Times New Roman"/>
                <w:sz w:val="22"/>
              </w:rPr>
              <w:t>0.943</w:t>
            </w:r>
          </w:p>
        </w:tc>
        <w:tc>
          <w:tcPr>
            <w:tcW w:type="dxa" w:w="1128"/>
          </w:tcPr>
          <w:p>
            <w:pPr>
              <w:spacing w:after="0"/>
              <w:jc w:val="left"/>
            </w:pPr>
            <w:r/>
            <w:r>
              <w:rPr>
                <w:rFonts w:ascii="Times New Roman" w:hAnsi="Times New Roman"/>
                <w:sz w:val="22"/>
              </w:rPr>
              <w:t>0.599</w:t>
            </w:r>
          </w:p>
        </w:tc>
        <w:tc>
          <w:tcPr>
            <w:tcW w:type="dxa" w:w="1128"/>
          </w:tcPr>
          <w:p>
            <w:pPr>
              <w:spacing w:after="0"/>
              <w:jc w:val="left"/>
            </w:pPr>
            <w:r/>
            <w:r>
              <w:rPr>
                <w:rFonts w:ascii="Times New Roman" w:hAnsi="Times New Roman"/>
                <w:sz w:val="22"/>
              </w:rPr>
              <w:t>0.765</w:t>
            </w:r>
          </w:p>
        </w:tc>
      </w:tr>
      <w:tr>
        <w:tc>
          <w:tcPr>
            <w:tcW w:type="dxa" w:w="1128"/>
          </w:tcPr>
          <w:p>
            <w:pPr>
              <w:spacing w:after="0"/>
              <w:jc w:val="left"/>
            </w:pPr>
            <w:r/>
            <w:r>
              <w:rPr>
                <w:rFonts w:ascii="Times New Roman" w:hAnsi="Times New Roman"/>
                <w:sz w:val="22"/>
              </w:rPr>
              <w:t>HGB, threshold 0.5</w:t>
            </w:r>
          </w:p>
        </w:tc>
        <w:tc>
          <w:tcPr>
            <w:tcW w:type="dxa" w:w="1128"/>
          </w:tcPr>
          <w:p>
            <w:pPr>
              <w:spacing w:after="0"/>
              <w:jc w:val="left"/>
            </w:pPr>
            <w:r/>
            <w:r>
              <w:rPr>
                <w:rFonts w:ascii="Times New Roman" w:hAnsi="Times New Roman"/>
                <w:sz w:val="22"/>
              </w:rPr>
              <w:t>7,284</w:t>
            </w:r>
          </w:p>
        </w:tc>
        <w:tc>
          <w:tcPr>
            <w:tcW w:type="dxa" w:w="1128"/>
          </w:tcPr>
          <w:p>
            <w:pPr>
              <w:spacing w:after="0"/>
              <w:jc w:val="left"/>
            </w:pPr>
            <w:r/>
            <w:r>
              <w:rPr>
                <w:rFonts w:ascii="Times New Roman" w:hAnsi="Times New Roman"/>
                <w:sz w:val="22"/>
              </w:rPr>
              <w:t>2,589</w:t>
            </w:r>
          </w:p>
        </w:tc>
        <w:tc>
          <w:tcPr>
            <w:tcW w:type="dxa" w:w="1128"/>
          </w:tcPr>
          <w:p>
            <w:pPr>
              <w:spacing w:after="0"/>
              <w:jc w:val="left"/>
            </w:pPr>
            <w:r/>
            <w:r>
              <w:rPr>
                <w:rFonts w:ascii="Times New Roman" w:hAnsi="Times New Roman"/>
                <w:sz w:val="22"/>
              </w:rPr>
              <w:t>2,249</w:t>
            </w:r>
          </w:p>
        </w:tc>
        <w:tc>
          <w:tcPr>
            <w:tcW w:type="dxa" w:w="1128"/>
          </w:tcPr>
          <w:p>
            <w:pPr>
              <w:spacing w:after="0"/>
              <w:jc w:val="left"/>
            </w:pPr>
            <w:r/>
            <w:r>
              <w:rPr>
                <w:rFonts w:ascii="Times New Roman" w:hAnsi="Times New Roman"/>
                <w:sz w:val="22"/>
              </w:rPr>
              <w:t>8,198</w:t>
            </w:r>
          </w:p>
        </w:tc>
        <w:tc>
          <w:tcPr>
            <w:tcW w:type="dxa" w:w="1128"/>
          </w:tcPr>
          <w:p>
            <w:pPr>
              <w:spacing w:after="0"/>
              <w:jc w:val="left"/>
            </w:pPr>
            <w:r/>
            <w:r>
              <w:rPr>
                <w:rFonts w:ascii="Times New Roman" w:hAnsi="Times New Roman"/>
                <w:sz w:val="22"/>
              </w:rPr>
              <w:t>0.738</w:t>
            </w:r>
          </w:p>
        </w:tc>
        <w:tc>
          <w:tcPr>
            <w:tcW w:type="dxa" w:w="1128"/>
          </w:tcPr>
          <w:p>
            <w:pPr>
              <w:spacing w:after="0"/>
              <w:jc w:val="left"/>
            </w:pPr>
            <w:r/>
            <w:r>
              <w:rPr>
                <w:rFonts w:ascii="Times New Roman" w:hAnsi="Times New Roman"/>
                <w:sz w:val="22"/>
              </w:rPr>
              <w:t>0.764</w:t>
            </w:r>
          </w:p>
        </w:tc>
        <w:tc>
          <w:tcPr>
            <w:tcW w:type="dxa" w:w="1128"/>
          </w:tcPr>
          <w:p>
            <w:pPr>
              <w:spacing w:after="0"/>
              <w:jc w:val="left"/>
            </w:pPr>
            <w:r/>
            <w:r>
              <w:rPr>
                <w:rFonts w:ascii="Times New Roman" w:hAnsi="Times New Roman"/>
                <w:sz w:val="22"/>
              </w:rPr>
              <w:t>0.469</w:t>
            </w:r>
          </w:p>
        </w:tc>
      </w:tr>
      <w:tr>
        <w:tc>
          <w:tcPr>
            <w:tcW w:type="dxa" w:w="1128"/>
          </w:tcPr>
          <w:p>
            <w:pPr>
              <w:spacing w:after="0"/>
              <w:jc w:val="left"/>
            </w:pPr>
            <w:r/>
            <w:r>
              <w:rPr>
                <w:rFonts w:ascii="Times New Roman" w:hAnsi="Times New Roman"/>
                <w:sz w:val="22"/>
              </w:rPr>
              <w:t>Lookup baseline, capacity threshold 0.225</w:t>
            </w:r>
          </w:p>
        </w:tc>
        <w:tc>
          <w:tcPr>
            <w:tcW w:type="dxa" w:w="1128"/>
          </w:tcPr>
          <w:p>
            <w:pPr>
              <w:spacing w:after="0"/>
              <w:jc w:val="left"/>
            </w:pPr>
            <w:r/>
            <w:r>
              <w:rPr>
                <w:rFonts w:ascii="Times New Roman" w:hAnsi="Times New Roman"/>
                <w:sz w:val="22"/>
              </w:rPr>
              <w:t>9,043</w:t>
            </w:r>
          </w:p>
        </w:tc>
        <w:tc>
          <w:tcPr>
            <w:tcW w:type="dxa" w:w="1128"/>
          </w:tcPr>
          <w:p>
            <w:pPr>
              <w:spacing w:after="0"/>
              <w:jc w:val="left"/>
            </w:pPr>
            <w:r/>
            <w:r>
              <w:rPr>
                <w:rFonts w:ascii="Times New Roman" w:hAnsi="Times New Roman"/>
                <w:sz w:val="22"/>
              </w:rPr>
              <w:t>830</w:t>
            </w:r>
          </w:p>
        </w:tc>
        <w:tc>
          <w:tcPr>
            <w:tcW w:type="dxa" w:w="1128"/>
          </w:tcPr>
          <w:p>
            <w:pPr>
              <w:spacing w:after="0"/>
              <w:jc w:val="left"/>
            </w:pPr>
            <w:r/>
            <w:r>
              <w:rPr>
                <w:rFonts w:ascii="Times New Roman" w:hAnsi="Times New Roman"/>
                <w:sz w:val="22"/>
              </w:rPr>
              <w:t>6,248</w:t>
            </w:r>
          </w:p>
        </w:tc>
        <w:tc>
          <w:tcPr>
            <w:tcW w:type="dxa" w:w="1128"/>
          </w:tcPr>
          <w:p>
            <w:pPr>
              <w:spacing w:after="0"/>
              <w:jc w:val="left"/>
            </w:pPr>
            <w:r/>
            <w:r>
              <w:rPr>
                <w:rFonts w:ascii="Times New Roman" w:hAnsi="Times New Roman"/>
                <w:sz w:val="22"/>
              </w:rPr>
              <w:t>4,199</w:t>
            </w:r>
          </w:p>
        </w:tc>
        <w:tc>
          <w:tcPr>
            <w:tcW w:type="dxa" w:w="1128"/>
          </w:tcPr>
          <w:p>
            <w:pPr>
              <w:spacing w:after="0"/>
              <w:jc w:val="left"/>
            </w:pPr>
            <w:r/>
            <w:r>
              <w:rPr>
                <w:rFonts w:ascii="Times New Roman" w:hAnsi="Times New Roman"/>
                <w:sz w:val="22"/>
              </w:rPr>
              <w:t>0.916</w:t>
            </w:r>
          </w:p>
        </w:tc>
        <w:tc>
          <w:tcPr>
            <w:tcW w:type="dxa" w:w="1128"/>
          </w:tcPr>
          <w:p>
            <w:pPr>
              <w:spacing w:after="0"/>
              <w:jc w:val="left"/>
            </w:pPr>
            <w:r/>
            <w:r>
              <w:rPr>
                <w:rFonts w:ascii="Times New Roman" w:hAnsi="Times New Roman"/>
                <w:sz w:val="22"/>
              </w:rPr>
              <w:t>0.591</w:t>
            </w:r>
          </w:p>
        </w:tc>
        <w:tc>
          <w:tcPr>
            <w:tcW w:type="dxa" w:w="1128"/>
          </w:tcPr>
          <w:p>
            <w:pPr>
              <w:spacing w:after="0"/>
              <w:jc w:val="left"/>
            </w:pPr>
            <w:r/>
            <w:r>
              <w:rPr>
                <w:rFonts w:ascii="Times New Roman" w:hAnsi="Times New Roman"/>
                <w:sz w:val="22"/>
              </w:rPr>
              <w:t>0.753</w:t>
            </w:r>
          </w:p>
        </w:tc>
      </w:tr>
    </w:tbl>
    <w:p>
      <w:pPr>
        <w:spacing w:after="80"/>
      </w:pPr>
    </w:p>
    <w:p>
      <w:pPr>
        <w:keepNext/>
        <w:jc w:val="center"/>
      </w:pPr>
      <w:r>
        <w:drawing>
          <wp:inline xmlns:a="http://schemas.openxmlformats.org/drawingml/2006/main" xmlns:pic="http://schemas.openxmlformats.org/drawingml/2006/picture">
            <wp:extent cx="5486400" cy="5081024"/>
            <wp:docPr id="20" name="Picture 20" descr="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 title="Figure 20"/>
            <wp:cNvGraphicFramePr>
              <a:graphicFrameLocks noChangeAspect="1"/>
            </wp:cNvGraphicFramePr>
            <a:graphic>
              <a:graphicData uri="http://schemas.openxmlformats.org/drawingml/2006/picture">
                <pic:pic>
                  <pic:nvPicPr>
                    <pic:cNvPr id="0" name="F16_confusion_matrices.png"/>
                    <pic:cNvPicPr/>
                  </pic:nvPicPr>
                  <pic:blipFill>
                    <a:blip r:embed="rId30"/>
                    <a:stretch>
                      <a:fillRect/>
                    </a:stretch>
                  </pic:blipFill>
                  <pic:spPr>
                    <a:xfrm>
                      <a:off x="0" y="0"/>
                      <a:ext cx="5486400" cy="5081024"/>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r>
        <w:rPr>
          <w:rFonts w:ascii="Times New Roman" w:hAnsi="Times New Roman"/>
          <w:sz w:val="24"/>
        </w:rPr>
        <w:t>Table 17 sets the result against the success criteria. HGB passes S1 to S4 and S6, and Table 14 holds the comparisons that S7 requires. It misses S5 at the out-of-fold threshold for a 50% flag rate (0.775 against 0.78), and the miss recurs on the temporal and mine-grouped splits. The MLP passes S1 to S6 only by flagging more than half the reports; among the top half of test scores, the planned form of S5, neither model reaches the target. I kept the pre-fixed rule, since switching after the test results would turn the test score into a selection score. The lookup baseline also passes S1, S2 and S6, so S3 to S5 separate the learned models from it. At half capacity more lost-time cases would go unflagged than planned, so I recommend the capacity threshold, where S3 passes.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2"/>
              </w:rPr>
              <w:t>Criterion</w:t>
            </w:r>
          </w:p>
        </w:tc>
        <w:tc>
          <w:tcPr>
            <w:tcW w:type="dxa" w:w="1504"/>
            <w:shd w:val="clear" w:color="auto" w:fill="E7E6E6"/>
          </w:tcPr>
          <w:p>
            <w:pPr>
              <w:jc w:val="left"/>
            </w:pPr>
            <w:r>
              <w:rPr>
                <w:b/>
              </w:rPr>
            </w:r>
            <w:r>
              <w:rPr>
                <w:rFonts w:ascii="Times New Roman" w:hAnsi="Times New Roman"/>
                <w:b/>
                <w:sz w:val="22"/>
              </w:rPr>
              <w:t>Target</w:t>
            </w:r>
          </w:p>
        </w:tc>
        <w:tc>
          <w:tcPr>
            <w:tcW w:type="dxa" w:w="1504"/>
            <w:shd w:val="clear" w:color="auto" w:fill="E7E6E6"/>
          </w:tcPr>
          <w:p>
            <w:pPr>
              <w:jc w:val="left"/>
            </w:pPr>
            <w:r>
              <w:rPr>
                <w:b/>
              </w:rPr>
            </w:r>
            <w:r>
              <w:rPr>
                <w:rFonts w:ascii="Times New Roman" w:hAnsi="Times New Roman"/>
                <w:b/>
                <w:sz w:val="22"/>
              </w:rPr>
              <w:t>HGB</w:t>
            </w:r>
          </w:p>
        </w:tc>
        <w:tc>
          <w:tcPr>
            <w:tcW w:type="dxa" w:w="1504"/>
            <w:shd w:val="clear" w:color="auto" w:fill="E7E6E6"/>
          </w:tcPr>
          <w:p>
            <w:pPr>
              <w:jc w:val="left"/>
            </w:pPr>
            <w:r>
              <w:rPr>
                <w:b/>
              </w:rPr>
            </w:r>
            <w:r>
              <w:rPr>
                <w:rFonts w:ascii="Times New Roman" w:hAnsi="Times New Roman"/>
                <w:b/>
                <w:sz w:val="22"/>
              </w:rPr>
              <w:t>Result</w:t>
            </w:r>
          </w:p>
        </w:tc>
        <w:tc>
          <w:tcPr>
            <w:tcW w:type="dxa" w:w="1504"/>
            <w:shd w:val="clear" w:color="auto" w:fill="E7E6E6"/>
          </w:tcPr>
          <w:p>
            <w:pPr>
              <w:jc w:val="left"/>
            </w:pPr>
            <w:r>
              <w:rPr>
                <w:b/>
              </w:rPr>
            </w:r>
            <w:r>
              <w:rPr>
                <w:rFonts w:ascii="Times New Roman" w:hAnsi="Times New Roman"/>
                <w:b/>
                <w:sz w:val="22"/>
              </w:rPr>
              <w:t>MLP</w:t>
            </w:r>
          </w:p>
        </w:tc>
        <w:tc>
          <w:tcPr>
            <w:tcW w:type="dxa" w:w="1504"/>
            <w:shd w:val="clear" w:color="auto" w:fill="E7E6E6"/>
          </w:tcPr>
          <w:p>
            <w:pPr>
              <w:jc w:val="left"/>
            </w:pPr>
            <w:r>
              <w:rPr>
                <w:b/>
              </w:rPr>
            </w:r>
            <w:r>
              <w:rPr>
                <w:rFonts w:ascii="Times New Roman" w:hAnsi="Times New Roman"/>
                <w:b/>
                <w:sz w:val="22"/>
              </w:rPr>
              <w:t>Lookup baseline</w:t>
            </w:r>
          </w:p>
        </w:tc>
      </w:tr>
      <w:tr>
        <w:tc>
          <w:tcPr>
            <w:tcW w:type="dxa" w:w="1504"/>
          </w:tcPr>
          <w:p>
            <w:pPr>
              <w:spacing w:after="0"/>
              <w:jc w:val="left"/>
            </w:pPr>
            <w:r/>
            <w:r>
              <w:rPr>
                <w:rFonts w:ascii="Times New Roman" w:hAnsi="Times New Roman"/>
                <w:sz w:val="22"/>
              </w:rPr>
              <w:t>S1 ROC-AUC</w:t>
            </w:r>
          </w:p>
        </w:tc>
        <w:tc>
          <w:tcPr>
            <w:tcW w:type="dxa" w:w="1504"/>
          </w:tcPr>
          <w:p>
            <w:pPr>
              <w:spacing w:after="0"/>
              <w:jc w:val="left"/>
            </w:pPr>
            <w:r/>
            <w:r>
              <w:rPr>
                <w:rFonts w:ascii="Times New Roman" w:hAnsi="Times New Roman"/>
                <w:sz w:val="22"/>
              </w:rPr>
              <w:t>0.80 or more</w:t>
            </w:r>
          </w:p>
        </w:tc>
        <w:tc>
          <w:tcPr>
            <w:tcW w:type="dxa" w:w="1504"/>
          </w:tcPr>
          <w:p>
            <w:pPr>
              <w:spacing w:after="0"/>
              <w:jc w:val="left"/>
            </w:pPr>
            <w:r/>
            <w:r>
              <w:rPr>
                <w:rFonts w:ascii="Times New Roman" w:hAnsi="Times New Roman"/>
                <w:sz w:val="22"/>
              </w:rPr>
              <w:t>0.843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0.839</w:t>
            </w:r>
          </w:p>
        </w:tc>
        <w:tc>
          <w:tcPr>
            <w:tcW w:type="dxa" w:w="1504"/>
          </w:tcPr>
          <w:p>
            <w:pPr>
              <w:spacing w:after="0"/>
              <w:jc w:val="left"/>
            </w:pPr>
            <w:r/>
            <w:r>
              <w:rPr>
                <w:rFonts w:ascii="Times New Roman" w:hAnsi="Times New Roman"/>
                <w:sz w:val="22"/>
              </w:rPr>
              <w:t>0.804</w:t>
            </w:r>
          </w:p>
        </w:tc>
      </w:tr>
      <w:tr>
        <w:tc>
          <w:tcPr>
            <w:tcW w:type="dxa" w:w="1504"/>
          </w:tcPr>
          <w:p>
            <w:pPr>
              <w:spacing w:after="0"/>
              <w:jc w:val="left"/>
            </w:pPr>
            <w:r/>
            <w:r>
              <w:rPr>
                <w:rFonts w:ascii="Times New Roman" w:hAnsi="Times New Roman"/>
                <w:sz w:val="22"/>
              </w:rPr>
              <w:t>S2 PR-AUC</w:t>
            </w:r>
          </w:p>
        </w:tc>
        <w:tc>
          <w:tcPr>
            <w:tcW w:type="dxa" w:w="1504"/>
          </w:tcPr>
          <w:p>
            <w:pPr>
              <w:spacing w:after="0"/>
              <w:jc w:val="left"/>
            </w:pPr>
            <w:r/>
            <w:r>
              <w:rPr>
                <w:rFonts w:ascii="Times New Roman" w:hAnsi="Times New Roman"/>
                <w:sz w:val="22"/>
              </w:rPr>
              <w:t>0.75 or more</w:t>
            </w:r>
          </w:p>
        </w:tc>
        <w:tc>
          <w:tcPr>
            <w:tcW w:type="dxa" w:w="1504"/>
          </w:tcPr>
          <w:p>
            <w:pPr>
              <w:spacing w:after="0"/>
              <w:jc w:val="left"/>
            </w:pPr>
            <w:r/>
            <w:r>
              <w:rPr>
                <w:rFonts w:ascii="Times New Roman" w:hAnsi="Times New Roman"/>
                <w:sz w:val="22"/>
              </w:rPr>
              <w:t>0.841</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0.837</w:t>
            </w:r>
          </w:p>
        </w:tc>
        <w:tc>
          <w:tcPr>
            <w:tcW w:type="dxa" w:w="1504"/>
          </w:tcPr>
          <w:p>
            <w:pPr>
              <w:spacing w:after="0"/>
              <w:jc w:val="left"/>
            </w:pPr>
            <w:r/>
            <w:r>
              <w:rPr>
                <w:rFonts w:ascii="Times New Roman" w:hAnsi="Times New Roman"/>
                <w:sz w:val="22"/>
              </w:rPr>
              <w:t>0.790</w:t>
            </w:r>
          </w:p>
        </w:tc>
      </w:tr>
      <w:tr>
        <w:tc>
          <w:tcPr>
            <w:tcW w:type="dxa" w:w="1504"/>
          </w:tcPr>
          <w:p>
            <w:pPr>
              <w:spacing w:after="0"/>
              <w:jc w:val="left"/>
            </w:pPr>
            <w:r/>
            <w:r>
              <w:rPr>
                <w:rFonts w:ascii="Times New Roman" w:hAnsi="Times New Roman"/>
                <w:sz w:val="22"/>
              </w:rPr>
              <w:t>S3 recall at the out-of-fold threshold for specificity 0.40</w:t>
            </w:r>
          </w:p>
        </w:tc>
        <w:tc>
          <w:tcPr>
            <w:tcW w:type="dxa" w:w="1504"/>
          </w:tcPr>
          <w:p>
            <w:pPr>
              <w:spacing w:after="0"/>
              <w:jc w:val="left"/>
            </w:pPr>
            <w:r/>
            <w:r>
              <w:rPr>
                <w:rFonts w:ascii="Times New Roman" w:hAnsi="Times New Roman"/>
                <w:sz w:val="22"/>
              </w:rPr>
              <w:t>0.92 or more</w:t>
            </w:r>
          </w:p>
        </w:tc>
        <w:tc>
          <w:tcPr>
            <w:tcW w:type="dxa" w:w="1504"/>
          </w:tcPr>
          <w:p>
            <w:pPr>
              <w:spacing w:after="0"/>
              <w:jc w:val="left"/>
            </w:pPr>
            <w:r/>
            <w:r>
              <w:rPr>
                <w:rFonts w:ascii="Times New Roman" w:hAnsi="Times New Roman"/>
                <w:sz w:val="22"/>
              </w:rPr>
              <w:t>0.943 (specificity 0.403)</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0.948 (0.373)</w:t>
            </w:r>
          </w:p>
        </w:tc>
        <w:tc>
          <w:tcPr>
            <w:tcW w:type="dxa" w:w="1504"/>
          </w:tcPr>
          <w:p>
            <w:pPr>
              <w:spacing w:after="0"/>
              <w:jc w:val="left"/>
            </w:pPr>
            <w:r/>
            <w:r>
              <w:rPr>
                <w:rFonts w:ascii="Times New Roman" w:hAnsi="Times New Roman"/>
                <w:sz w:val="22"/>
              </w:rPr>
              <w:t>0.916 (0.402)</w:t>
            </w:r>
          </w:p>
        </w:tc>
      </w:tr>
      <w:tr>
        <w:tc>
          <w:tcPr>
            <w:tcW w:type="dxa" w:w="1504"/>
          </w:tcPr>
          <w:p>
            <w:pPr>
              <w:spacing w:after="0"/>
              <w:jc w:val="left"/>
            </w:pPr>
            <w:r/>
            <w:r>
              <w:rPr>
                <w:rFonts w:ascii="Times New Roman" w:hAnsi="Times New Roman"/>
                <w:sz w:val="22"/>
              </w:rPr>
              <w:t>S4 cost per 1,000 cases at the out-of-fold cost-optimal threshold, 2:1 / 3:1 / 5:1 (USD)</w:t>
            </w:r>
          </w:p>
        </w:tc>
        <w:tc>
          <w:tcPr>
            <w:tcW w:type="dxa" w:w="1504"/>
          </w:tcPr>
          <w:p>
            <w:pPr>
              <w:spacing w:after="0"/>
              <w:jc w:val="left"/>
            </w:pPr>
            <w:r/>
            <w:r>
              <w:rPr>
                <w:rFonts w:ascii="Times New Roman" w:hAnsi="Times New Roman"/>
                <w:sz w:val="22"/>
              </w:rPr>
              <w:t>below the review-everything floor (102,825 on the test set) and below the lookup baseline</w:t>
            </w:r>
          </w:p>
        </w:tc>
        <w:tc>
          <w:tcPr>
            <w:tcW w:type="dxa" w:w="1504"/>
          </w:tcPr>
          <w:p>
            <w:pPr>
              <w:spacing w:after="0"/>
              <w:jc w:val="left"/>
            </w:pPr>
            <w:r/>
            <w:r>
              <w:rPr>
                <w:rFonts w:ascii="Times New Roman" w:hAnsi="Times New Roman"/>
                <w:sz w:val="22"/>
              </w:rPr>
              <w:t>65,896 / 77,697 / 87,638</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67,274 / 78,031 / 89,085</w:t>
            </w:r>
          </w:p>
        </w:tc>
        <w:tc>
          <w:tcPr>
            <w:tcW w:type="dxa" w:w="1504"/>
          </w:tcPr>
          <w:p>
            <w:pPr>
              <w:spacing w:after="0"/>
              <w:jc w:val="left"/>
            </w:pPr>
            <w:r/>
            <w:r>
              <w:rPr>
                <w:rFonts w:ascii="Times New Roman" w:hAnsi="Times New Roman"/>
                <w:sz w:val="22"/>
              </w:rPr>
              <w:t>73,553 / 85,472 / 98,061</w:t>
            </w:r>
          </w:p>
        </w:tc>
      </w:tr>
      <w:tr>
        <w:tc>
          <w:tcPr>
            <w:tcW w:type="dxa" w:w="1504"/>
          </w:tcPr>
          <w:p>
            <w:pPr>
              <w:spacing w:after="0"/>
              <w:jc w:val="left"/>
            </w:pPr>
            <w:r/>
            <w:r>
              <w:rPr>
                <w:rFonts w:ascii="Times New Roman" w:hAnsi="Times New Roman"/>
                <w:sz w:val="22"/>
              </w:rPr>
              <w:t>S5 recall at the out-of-fold threshold for a 50% flag rate</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0.775 (flag rate 0.506)</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0.790 (0.525)</w:t>
            </w:r>
          </w:p>
        </w:tc>
        <w:tc>
          <w:tcPr>
            <w:tcW w:type="dxa" w:w="1504"/>
          </w:tcPr>
          <w:p>
            <w:pPr>
              <w:spacing w:after="0"/>
              <w:jc w:val="left"/>
            </w:pPr>
            <w:r/>
            <w:r>
              <w:rPr>
                <w:rFonts w:ascii="Times New Roman" w:hAnsi="Times New Roman"/>
                <w:sz w:val="22"/>
              </w:rPr>
              <w:t>0.753 (0.520)</w:t>
            </w:r>
          </w:p>
        </w:tc>
      </w:tr>
      <w:tr>
        <w:tc>
          <w:tcPr>
            <w:tcW w:type="dxa" w:w="1504"/>
          </w:tcPr>
          <w:p>
            <w:pPr>
              <w:spacing w:after="0"/>
              <w:jc w:val="left"/>
            </w:pPr>
            <w:r/>
            <w:r>
              <w:rPr>
                <w:rFonts w:ascii="Times New Roman" w:hAnsi="Times New Roman"/>
                <w:sz w:val="22"/>
              </w:rPr>
              <w:t>S5 as planned: recall among the 50% of test reports with the highest scores (cut-off from the test scores, labels only count hits)</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0.769 (flag rate 0.500)</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0.768 (0.500)</w:t>
            </w:r>
          </w:p>
        </w:tc>
        <w:tc>
          <w:tcPr>
            <w:tcW w:type="dxa" w:w="1504"/>
          </w:tcPr>
          <w:p>
            <w:pPr>
              <w:spacing w:after="0"/>
              <w:jc w:val="left"/>
            </w:pPr>
            <w:r/>
            <w:r>
              <w:rPr>
                <w:rFonts w:ascii="Times New Roman" w:hAnsi="Times New Roman"/>
                <w:sz w:val="22"/>
              </w:rPr>
              <w:t>0.725 (0.490, tied scores)</w:t>
            </w:r>
          </w:p>
        </w:tc>
      </w:tr>
      <w:tr>
        <w:tc>
          <w:tcPr>
            <w:tcW w:type="dxa" w:w="1504"/>
          </w:tcPr>
          <w:p>
            <w:pPr>
              <w:spacing w:after="0"/>
              <w:jc w:val="left"/>
            </w:pPr>
            <w:r/>
            <w:r>
              <w:rPr>
                <w:rFonts w:ascii="Times New Roman" w:hAnsi="Times New Roman"/>
                <w:sz w:val="22"/>
              </w:rPr>
              <w:t>S5 on the temporal split (2020-2025) and the mine-grouped split</w:t>
            </w:r>
          </w:p>
        </w:tc>
        <w:tc>
          <w:tcPr>
            <w:tcW w:type="dxa" w:w="1504"/>
          </w:tcPr>
          <w:p>
            <w:pPr>
              <w:spacing w:after="0"/>
              <w:jc w:val="left"/>
            </w:pPr>
            <w:r/>
            <w:r>
              <w:rPr>
                <w:rFonts w:ascii="Times New Roman" w:hAnsi="Times New Roman"/>
                <w:sz w:val="22"/>
              </w:rPr>
              <w:t>0.78 or more</w:t>
            </w:r>
          </w:p>
        </w:tc>
        <w:tc>
          <w:tcPr>
            <w:tcW w:type="dxa" w:w="1504"/>
          </w:tcPr>
          <w:p>
            <w:pPr>
              <w:spacing w:after="0"/>
              <w:jc w:val="left"/>
            </w:pPr>
            <w:r/>
            <w:r>
              <w:rPr>
                <w:rFonts w:ascii="Times New Roman" w:hAnsi="Times New Roman"/>
                <w:sz w:val="22"/>
              </w:rPr>
              <w:t>0.749 and 0.762</w:t>
            </w:r>
          </w:p>
        </w:tc>
        <w:tc>
          <w:tcPr>
            <w:tcW w:type="dxa" w:w="1504"/>
          </w:tcPr>
          <w:p>
            <w:pPr>
              <w:spacing w:after="0"/>
              <w:jc w:val="left"/>
            </w:pPr>
            <w:r/>
            <w:r>
              <w:rPr>
                <w:rFonts w:ascii="Times New Roman" w:hAnsi="Times New Roman"/>
                <w:sz w:val="22"/>
              </w:rPr>
              <w:t>fail</w:t>
            </w:r>
          </w:p>
        </w:tc>
        <w:tc>
          <w:tcPr>
            <w:tcW w:type="dxa" w:w="1504"/>
          </w:tcPr>
          <w:p>
            <w:pPr>
              <w:spacing w:after="0"/>
              <w:jc w:val="left"/>
            </w:pPr>
            <w:r/>
            <w:r>
              <w:rPr>
                <w:rFonts w:ascii="Times New Roman" w:hAnsi="Times New Roman"/>
                <w:sz w:val="22"/>
              </w:rPr>
              <w:t>0.724 (temporal)</w:t>
            </w:r>
          </w:p>
        </w:tc>
        <w:tc>
          <w:tcPr>
            <w:tcW w:type="dxa" w:w="1504"/>
          </w:tcPr>
          <w:p>
            <w:pPr>
              <w:spacing w:after="0"/>
              <w:jc w:val="left"/>
            </w:pPr>
            <w:r/>
            <w:r>
              <w:rPr>
                <w:rFonts w:ascii="Times New Roman" w:hAnsi="Times New Roman"/>
                <w:sz w:val="22"/>
              </w:rPr>
              <w:t>0.710 (mine-grouped)</w:t>
            </w:r>
          </w:p>
        </w:tc>
      </w:tr>
      <w:tr>
        <w:tc>
          <w:tcPr>
            <w:tcW w:type="dxa" w:w="1504"/>
          </w:tcPr>
          <w:p>
            <w:pPr>
              <w:spacing w:after="0"/>
              <w:jc w:val="left"/>
            </w:pPr>
            <w:r/>
            <w:r>
              <w:rPr>
                <w:rFonts w:ascii="Times New Roman" w:hAnsi="Times New Roman"/>
                <w:sz w:val="22"/>
              </w:rPr>
              <w:t>S6 Brier score on the test set, and by sector on the temporal split</w:t>
            </w:r>
          </w:p>
        </w:tc>
        <w:tc>
          <w:tcPr>
            <w:tcW w:type="dxa" w:w="1504"/>
          </w:tcPr>
          <w:p>
            <w:pPr>
              <w:spacing w:after="0"/>
              <w:jc w:val="left"/>
            </w:pPr>
            <w:r/>
            <w:r>
              <w:rPr>
                <w:rFonts w:ascii="Times New Roman" w:hAnsi="Times New Roman"/>
                <w:sz w:val="22"/>
              </w:rPr>
              <w:t>0.20 or less</w:t>
            </w:r>
          </w:p>
        </w:tc>
        <w:tc>
          <w:tcPr>
            <w:tcW w:type="dxa" w:w="1504"/>
          </w:tcPr>
          <w:p>
            <w:pPr>
              <w:spacing w:after="0"/>
              <w:jc w:val="left"/>
            </w:pPr>
            <w:r/>
            <w:r>
              <w:rPr>
                <w:rFonts w:ascii="Times New Roman" w:hAnsi="Times New Roman"/>
                <w:sz w:val="22"/>
              </w:rPr>
              <w:t>test 0.161 (coal 0.135, metal and non-metal 0.179); temporal split: coal 0.125, metal and non-metal 0.187</w:t>
            </w:r>
          </w:p>
        </w:tc>
        <w:tc>
          <w:tcPr>
            <w:tcW w:type="dxa" w:w="1504"/>
          </w:tcPr>
          <w:p>
            <w:pPr>
              <w:spacing w:after="0"/>
              <w:jc w:val="left"/>
            </w:pPr>
            <w:r/>
            <w:r>
              <w:rPr>
                <w:rFonts w:ascii="Times New Roman" w:hAnsi="Times New Roman"/>
                <w:sz w:val="22"/>
              </w:rPr>
              <w:t>pass</w:t>
            </w:r>
          </w:p>
        </w:tc>
        <w:tc>
          <w:tcPr>
            <w:tcW w:type="dxa" w:w="1504"/>
          </w:tcPr>
          <w:p>
            <w:pPr>
              <w:spacing w:after="0"/>
              <w:jc w:val="left"/>
            </w:pPr>
            <w:r/>
            <w:r>
              <w:rPr>
                <w:rFonts w:ascii="Times New Roman" w:hAnsi="Times New Roman"/>
                <w:sz w:val="22"/>
              </w:rPr>
              <w:t>test 0.163 (0.135 and 0.182); temporal split: 0.131 and 0.193</w:t>
            </w:r>
          </w:p>
        </w:tc>
        <w:tc>
          <w:tcPr>
            <w:tcW w:type="dxa" w:w="1504"/>
          </w:tcPr>
          <w:p>
            <w:pPr>
              <w:spacing w:after="0"/>
              <w:jc w:val="left"/>
            </w:pPr>
            <w:r/>
            <w:r>
              <w:rPr>
                <w:rFonts w:ascii="Times New Roman" w:hAnsi="Times New Roman"/>
                <w:sz w:val="22"/>
              </w:rPr>
              <w:t>test 0.179 (0.150 and 0.199)</w:t>
            </w:r>
          </w:p>
        </w:tc>
      </w:tr>
      <w:tr>
        <w:tc>
          <w:tcPr>
            <w:tcW w:type="dxa" w:w="1504"/>
          </w:tcPr>
          <w:p>
            <w:pPr>
              <w:spacing w:after="0"/>
              <w:jc w:val="left"/>
            </w:pPr>
            <w:r/>
            <w:r>
              <w:rPr>
                <w:rFonts w:ascii="Times New Roman" w:hAnsi="Times New Roman"/>
                <w:sz w:val="22"/>
              </w:rPr>
              <w:t>S7 statistical comparison</w:t>
            </w:r>
          </w:p>
        </w:tc>
        <w:tc>
          <w:tcPr>
            <w:tcW w:type="dxa" w:w="1504"/>
          </w:tcPr>
          <w:p>
            <w:pPr>
              <w:spacing w:after="0"/>
              <w:jc w:val="left"/>
            </w:pPr>
            <w:r/>
            <w:r>
              <w:rPr>
                <w:rFonts w:ascii="Times New Roman" w:hAnsi="Times New Roman"/>
                <w:sz w:val="22"/>
              </w:rPr>
              <w:t>McNemar test against the lookup baseline and a paired fold test between the top two</w:t>
            </w:r>
          </w:p>
        </w:tc>
        <w:tc>
          <w:tcPr>
            <w:tcW w:type="dxa" w:w="1504"/>
          </w:tcPr>
          <w:p>
            <w:pPr>
              <w:spacing w:after="0"/>
              <w:jc w:val="left"/>
            </w:pPr>
            <w:r/>
            <w:r>
              <w:rPr>
                <w:rFonts w:ascii="Times New Roman" w:hAnsi="Times New Roman"/>
                <w:sz w:val="22"/>
              </w:rPr>
              <w:t>clustered McNemar p below 0.001; corrected paired t p = 0.044 (Table 14)</w:t>
            </w:r>
          </w:p>
        </w:tc>
        <w:tc>
          <w:tcPr>
            <w:tcW w:type="dxa" w:w="1504"/>
          </w:tcPr>
          <w:p>
            <w:pPr>
              <w:spacing w:after="0"/>
              <w:jc w:val="left"/>
            </w:pPr>
            <w:r/>
            <w:r>
              <w:rPr>
                <w:rFonts w:ascii="Times New Roman" w:hAnsi="Times New Roman"/>
                <w:sz w:val="22"/>
              </w:rPr>
              <w:t>reported</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Table 18 shows that no fatality or permanent disability was missed. Most misses are cuts and lacerations, above all to fingers, thumbs and hands, where half or more of the lost-time cases score below the threshold; such injuries are usually minor, so the few that keep a worker away resemble the many that do not. Metal and non-metal mines hold most misses and have the lower precision (Table 19), consistent with their lower lost-time rate. Most false positives are restricted-duty cases, which differ from lost-time ones mainly in whether restricted work was offered.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Group</w:t>
            </w:r>
          </w:p>
        </w:tc>
        <w:tc>
          <w:tcPr>
            <w:tcW w:type="dxa" w:w="2256"/>
            <w:shd w:val="clear" w:color="auto" w:fill="E7E6E6"/>
          </w:tcPr>
          <w:p>
            <w:pPr>
              <w:jc w:val="left"/>
            </w:pPr>
            <w:r>
              <w:rPr>
                <w:b/>
              </w:rPr>
            </w:r>
            <w:r>
              <w:rPr>
                <w:rFonts w:ascii="Times New Roman" w:hAnsi="Times New Roman"/>
                <w:b/>
                <w:sz w:val="22"/>
              </w:rPr>
              <w:t>Cases</w:t>
            </w:r>
          </w:p>
        </w:tc>
        <w:tc>
          <w:tcPr>
            <w:tcW w:type="dxa" w:w="2256"/>
            <w:shd w:val="clear" w:color="auto" w:fill="E7E6E6"/>
          </w:tcPr>
          <w:p>
            <w:pPr>
              <w:jc w:val="left"/>
            </w:pPr>
            <w:r>
              <w:rPr>
                <w:b/>
              </w:rPr>
            </w:r>
            <w:r>
              <w:rPr>
                <w:rFonts w:ascii="Times New Roman" w:hAnsi="Times New Roman"/>
                <w:b/>
                <w:sz w:val="22"/>
              </w:rPr>
              <w:t>Misclassified</w:t>
            </w:r>
          </w:p>
        </w:tc>
        <w:tc>
          <w:tcPr>
            <w:tcW w:type="dxa" w:w="2256"/>
            <w:shd w:val="clear" w:color="auto" w:fill="E7E6E6"/>
          </w:tcPr>
          <w:p>
            <w:pPr>
              <w:jc w:val="left"/>
            </w:pPr>
            <w:r>
              <w:rPr>
                <w:b/>
              </w:rPr>
            </w:r>
            <w:r>
              <w:rPr>
                <w:rFonts w:ascii="Times New Roman" w:hAnsi="Times New Roman"/>
                <w:b/>
                <w:sz w:val="22"/>
              </w:rPr>
              <w:t>Share</w:t>
            </w:r>
          </w:p>
        </w:tc>
      </w:tr>
      <w:tr>
        <w:tc>
          <w:tcPr>
            <w:tcW w:type="dxa" w:w="2256"/>
          </w:tcPr>
          <w:p>
            <w:pPr>
              <w:spacing w:after="0"/>
              <w:jc w:val="left"/>
            </w:pPr>
            <w:r/>
            <w:r>
              <w:rPr>
                <w:rFonts w:ascii="Times New Roman" w:hAnsi="Times New Roman"/>
                <w:sz w:val="22"/>
              </w:rPr>
              <w:t>All lost-time cases</w:t>
            </w:r>
          </w:p>
        </w:tc>
        <w:tc>
          <w:tcPr>
            <w:tcW w:type="dxa" w:w="2256"/>
          </w:tcPr>
          <w:p>
            <w:pPr>
              <w:spacing w:after="0"/>
              <w:jc w:val="left"/>
            </w:pPr>
            <w:r/>
            <w:r>
              <w:rPr>
                <w:rFonts w:ascii="Times New Roman" w:hAnsi="Times New Roman"/>
                <w:sz w:val="22"/>
              </w:rPr>
              <w:t>9,873</w:t>
            </w:r>
          </w:p>
        </w:tc>
        <w:tc>
          <w:tcPr>
            <w:tcW w:type="dxa" w:w="2256"/>
          </w:tcPr>
          <w:p>
            <w:pPr>
              <w:spacing w:after="0"/>
              <w:jc w:val="left"/>
            </w:pPr>
            <w:r/>
            <w:r>
              <w:rPr>
                <w:rFonts w:ascii="Times New Roman" w:hAnsi="Times New Roman"/>
                <w:sz w:val="22"/>
              </w:rPr>
              <w:t>561 missed</w:t>
            </w:r>
          </w:p>
        </w:tc>
        <w:tc>
          <w:tcPr>
            <w:tcW w:type="dxa" w:w="2256"/>
          </w:tcPr>
          <w:p>
            <w:pPr>
              <w:spacing w:after="0"/>
              <w:jc w:val="left"/>
            </w:pPr>
            <w:r/>
            <w:r>
              <w:rPr>
                <w:rFonts w:ascii="Times New Roman" w:hAnsi="Times New Roman"/>
                <w:sz w:val="22"/>
              </w:rPr>
              <w:t>0.057</w:t>
            </w:r>
          </w:p>
        </w:tc>
      </w:tr>
      <w:tr>
        <w:tc>
          <w:tcPr>
            <w:tcW w:type="dxa" w:w="2256"/>
          </w:tcPr>
          <w:p>
            <w:pPr>
              <w:spacing w:after="0"/>
              <w:jc w:val="left"/>
            </w:pPr>
            <w:r/>
            <w:r>
              <w:rPr>
                <w:rFonts w:ascii="Times New Roman" w:hAnsi="Times New Roman"/>
                <w:sz w:val="22"/>
              </w:rPr>
              <w:t>Lost-time cases, coal</w:t>
            </w:r>
          </w:p>
        </w:tc>
        <w:tc>
          <w:tcPr>
            <w:tcW w:type="dxa" w:w="2256"/>
          </w:tcPr>
          <w:p>
            <w:pPr>
              <w:spacing w:after="0"/>
              <w:jc w:val="left"/>
            </w:pPr>
            <w:r/>
            <w:r>
              <w:rPr>
                <w:rFonts w:ascii="Times New Roman" w:hAnsi="Times New Roman"/>
                <w:sz w:val="22"/>
              </w:rPr>
              <w:t>5,280</w:t>
            </w:r>
          </w:p>
        </w:tc>
        <w:tc>
          <w:tcPr>
            <w:tcW w:type="dxa" w:w="2256"/>
          </w:tcPr>
          <w:p>
            <w:pPr>
              <w:spacing w:after="0"/>
              <w:jc w:val="left"/>
            </w:pPr>
            <w:r/>
            <w:r>
              <w:rPr>
                <w:rFonts w:ascii="Times New Roman" w:hAnsi="Times New Roman"/>
                <w:sz w:val="22"/>
              </w:rPr>
              <w:t>152 missed</w:t>
            </w:r>
          </w:p>
        </w:tc>
        <w:tc>
          <w:tcPr>
            <w:tcW w:type="dxa" w:w="2256"/>
          </w:tcPr>
          <w:p>
            <w:pPr>
              <w:spacing w:after="0"/>
              <w:jc w:val="left"/>
            </w:pPr>
            <w:r/>
            <w:r>
              <w:rPr>
                <w:rFonts w:ascii="Times New Roman" w:hAnsi="Times New Roman"/>
                <w:sz w:val="22"/>
              </w:rPr>
              <w:t>0.029</w:t>
            </w:r>
          </w:p>
        </w:tc>
      </w:tr>
      <w:tr>
        <w:tc>
          <w:tcPr>
            <w:tcW w:type="dxa" w:w="2256"/>
          </w:tcPr>
          <w:p>
            <w:pPr>
              <w:spacing w:after="0"/>
              <w:jc w:val="left"/>
            </w:pPr>
            <w:r/>
            <w:r>
              <w:rPr>
                <w:rFonts w:ascii="Times New Roman" w:hAnsi="Times New Roman"/>
                <w:sz w:val="22"/>
              </w:rPr>
              <w:t>Lost-time cases, metal and non-metal</w:t>
            </w:r>
          </w:p>
        </w:tc>
        <w:tc>
          <w:tcPr>
            <w:tcW w:type="dxa" w:w="2256"/>
          </w:tcPr>
          <w:p>
            <w:pPr>
              <w:spacing w:after="0"/>
              <w:jc w:val="left"/>
            </w:pPr>
            <w:r/>
            <w:r>
              <w:rPr>
                <w:rFonts w:ascii="Times New Roman" w:hAnsi="Times New Roman"/>
                <w:sz w:val="22"/>
              </w:rPr>
              <w:t>4,593</w:t>
            </w:r>
          </w:p>
        </w:tc>
        <w:tc>
          <w:tcPr>
            <w:tcW w:type="dxa" w:w="2256"/>
          </w:tcPr>
          <w:p>
            <w:pPr>
              <w:spacing w:after="0"/>
              <w:jc w:val="left"/>
            </w:pPr>
            <w:r/>
            <w:r>
              <w:rPr>
                <w:rFonts w:ascii="Times New Roman" w:hAnsi="Times New Roman"/>
                <w:sz w:val="22"/>
              </w:rPr>
              <w:t>409 missed</w:t>
            </w:r>
          </w:p>
        </w:tc>
        <w:tc>
          <w:tcPr>
            <w:tcW w:type="dxa" w:w="2256"/>
          </w:tcPr>
          <w:p>
            <w:pPr>
              <w:spacing w:after="0"/>
              <w:jc w:val="left"/>
            </w:pPr>
            <w:r/>
            <w:r>
              <w:rPr>
                <w:rFonts w:ascii="Times New Roman" w:hAnsi="Times New Roman"/>
                <w:sz w:val="22"/>
              </w:rPr>
              <w:t>0.089</w:t>
            </w:r>
          </w:p>
        </w:tc>
      </w:tr>
      <w:tr>
        <w:tc>
          <w:tcPr>
            <w:tcW w:type="dxa" w:w="2256"/>
          </w:tcPr>
          <w:p>
            <w:pPr>
              <w:spacing w:after="0"/>
              <w:jc w:val="left"/>
            </w:pPr>
            <w:r/>
            <w:r>
              <w:rPr>
                <w:rFonts w:ascii="Times New Roman" w:hAnsi="Times New Roman"/>
                <w:sz w:val="22"/>
              </w:rPr>
              <w:t>Fatality (code 01)</w:t>
            </w:r>
          </w:p>
        </w:tc>
        <w:tc>
          <w:tcPr>
            <w:tcW w:type="dxa" w:w="2256"/>
          </w:tcPr>
          <w:p>
            <w:pPr>
              <w:spacing w:after="0"/>
              <w:jc w:val="left"/>
            </w:pPr>
            <w:r/>
            <w:r>
              <w:rPr>
                <w:rFonts w:ascii="Times New Roman" w:hAnsi="Times New Roman"/>
                <w:sz w:val="22"/>
              </w:rPr>
              <w:t>142</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Permanent disability (02)</w:t>
            </w:r>
          </w:p>
        </w:tc>
        <w:tc>
          <w:tcPr>
            <w:tcW w:type="dxa" w:w="2256"/>
          </w:tcPr>
          <w:p>
            <w:pPr>
              <w:spacing w:after="0"/>
              <w:jc w:val="left"/>
            </w:pPr>
            <w:r/>
            <w:r>
              <w:rPr>
                <w:rFonts w:ascii="Times New Roman" w:hAnsi="Times New Roman"/>
                <w:sz w:val="22"/>
              </w:rPr>
              <w:t>224</w:t>
            </w:r>
          </w:p>
        </w:tc>
        <w:tc>
          <w:tcPr>
            <w:tcW w:type="dxa" w:w="2256"/>
          </w:tcPr>
          <w:p>
            <w:pPr>
              <w:spacing w:after="0"/>
              <w:jc w:val="left"/>
            </w:pPr>
            <w:r/>
            <w:r>
              <w:rPr>
                <w:rFonts w:ascii="Times New Roman" w:hAnsi="Times New Roman"/>
                <w:sz w:val="22"/>
              </w:rPr>
              <w:t>0 missed</w:t>
            </w:r>
          </w:p>
        </w:tc>
        <w:tc>
          <w:tcPr>
            <w:tcW w:type="dxa" w:w="2256"/>
          </w:tcPr>
          <w:p>
            <w:pPr>
              <w:spacing w:after="0"/>
              <w:jc w:val="left"/>
            </w:pPr>
            <w:r/>
            <w:r>
              <w:rPr>
                <w:rFonts w:ascii="Times New Roman" w:hAnsi="Times New Roman"/>
                <w:sz w:val="22"/>
              </w:rPr>
              <w:t>0.000</w:t>
            </w:r>
          </w:p>
        </w:tc>
      </w:tr>
      <w:tr>
        <w:tc>
          <w:tcPr>
            <w:tcW w:type="dxa" w:w="2256"/>
          </w:tcPr>
          <w:p>
            <w:pPr>
              <w:spacing w:after="0"/>
              <w:jc w:val="left"/>
            </w:pPr>
            <w:r/>
            <w:r>
              <w:rPr>
                <w:rFonts w:ascii="Times New Roman" w:hAnsi="Times New Roman"/>
                <w:sz w:val="22"/>
              </w:rPr>
              <w:t>Days away only (03)</w:t>
            </w:r>
          </w:p>
        </w:tc>
        <w:tc>
          <w:tcPr>
            <w:tcW w:type="dxa" w:w="2256"/>
          </w:tcPr>
          <w:p>
            <w:pPr>
              <w:spacing w:after="0"/>
              <w:jc w:val="left"/>
            </w:pPr>
            <w:r/>
            <w:r>
              <w:rPr>
                <w:rFonts w:ascii="Times New Roman" w:hAnsi="Times New Roman"/>
                <w:sz w:val="22"/>
              </w:rPr>
              <w:t>7,380</w:t>
            </w:r>
          </w:p>
        </w:tc>
        <w:tc>
          <w:tcPr>
            <w:tcW w:type="dxa" w:w="2256"/>
          </w:tcPr>
          <w:p>
            <w:pPr>
              <w:spacing w:after="0"/>
              <w:jc w:val="left"/>
            </w:pPr>
            <w:r/>
            <w:r>
              <w:rPr>
                <w:rFonts w:ascii="Times New Roman" w:hAnsi="Times New Roman"/>
                <w:sz w:val="22"/>
              </w:rPr>
              <w:t>376 missed</w:t>
            </w:r>
          </w:p>
        </w:tc>
        <w:tc>
          <w:tcPr>
            <w:tcW w:type="dxa" w:w="2256"/>
          </w:tcPr>
          <w:p>
            <w:pPr>
              <w:spacing w:after="0"/>
              <w:jc w:val="left"/>
            </w:pPr>
            <w:r/>
            <w:r>
              <w:rPr>
                <w:rFonts w:ascii="Times New Roman" w:hAnsi="Times New Roman"/>
                <w:sz w:val="22"/>
              </w:rPr>
              <w:t>0.051</w:t>
            </w:r>
          </w:p>
        </w:tc>
      </w:tr>
      <w:tr>
        <w:tc>
          <w:tcPr>
            <w:tcW w:type="dxa" w:w="2256"/>
          </w:tcPr>
          <w:p>
            <w:pPr>
              <w:spacing w:after="0"/>
              <w:jc w:val="left"/>
            </w:pPr>
            <w:r/>
            <w:r>
              <w:rPr>
                <w:rFonts w:ascii="Times New Roman" w:hAnsi="Times New Roman"/>
                <w:sz w:val="22"/>
              </w:rPr>
              <w:t>Days away and restricted activity (04)</w:t>
            </w:r>
          </w:p>
        </w:tc>
        <w:tc>
          <w:tcPr>
            <w:tcW w:type="dxa" w:w="2256"/>
          </w:tcPr>
          <w:p>
            <w:pPr>
              <w:spacing w:after="0"/>
              <w:jc w:val="left"/>
            </w:pPr>
            <w:r/>
            <w:r>
              <w:rPr>
                <w:rFonts w:ascii="Times New Roman" w:hAnsi="Times New Roman"/>
                <w:sz w:val="22"/>
              </w:rPr>
              <w:t>2,127</w:t>
            </w:r>
          </w:p>
        </w:tc>
        <w:tc>
          <w:tcPr>
            <w:tcW w:type="dxa" w:w="2256"/>
          </w:tcPr>
          <w:p>
            <w:pPr>
              <w:spacing w:after="0"/>
              <w:jc w:val="left"/>
            </w:pPr>
            <w:r/>
            <w:r>
              <w:rPr>
                <w:rFonts w:ascii="Times New Roman" w:hAnsi="Times New Roman"/>
                <w:sz w:val="22"/>
              </w:rPr>
              <w:t>185 missed</w:t>
            </w:r>
          </w:p>
        </w:tc>
        <w:tc>
          <w:tcPr>
            <w:tcW w:type="dxa" w:w="2256"/>
          </w:tcPr>
          <w:p>
            <w:pPr>
              <w:spacing w:after="0"/>
              <w:jc w:val="left"/>
            </w:pPr>
            <w:r/>
            <w:r>
              <w:rPr>
                <w:rFonts w:ascii="Times New Roman" w:hAnsi="Times New Roman"/>
                <w:sz w:val="22"/>
              </w:rPr>
              <w:t>0.087</w:t>
            </w:r>
          </w:p>
        </w:tc>
      </w:tr>
      <w:tr>
        <w:tc>
          <w:tcPr>
            <w:tcW w:type="dxa" w:w="2256"/>
          </w:tcPr>
          <w:p>
            <w:pPr>
              <w:spacing w:after="0"/>
              <w:jc w:val="left"/>
            </w:pPr>
            <w:r/>
            <w:r>
              <w:rPr>
                <w:rFonts w:ascii="Times New Roman" w:hAnsi="Times New Roman"/>
                <w:sz w:val="22"/>
              </w:rPr>
              <w:t>Cut, laceration or puncture x finger or thumb</w:t>
            </w:r>
          </w:p>
        </w:tc>
        <w:tc>
          <w:tcPr>
            <w:tcW w:type="dxa" w:w="2256"/>
          </w:tcPr>
          <w:p>
            <w:pPr>
              <w:spacing w:after="0"/>
              <w:jc w:val="left"/>
            </w:pPr>
            <w:r/>
            <w:r>
              <w:rPr>
                <w:rFonts w:ascii="Times New Roman" w:hAnsi="Times New Roman"/>
                <w:sz w:val="22"/>
              </w:rPr>
              <w:t>324</w:t>
            </w:r>
          </w:p>
        </w:tc>
        <w:tc>
          <w:tcPr>
            <w:tcW w:type="dxa" w:w="2256"/>
          </w:tcPr>
          <w:p>
            <w:pPr>
              <w:spacing w:after="0"/>
              <w:jc w:val="left"/>
            </w:pPr>
            <w:r/>
            <w:r>
              <w:rPr>
                <w:rFonts w:ascii="Times New Roman" w:hAnsi="Times New Roman"/>
                <w:sz w:val="22"/>
              </w:rPr>
              <w:t>170 missed</w:t>
            </w:r>
          </w:p>
        </w:tc>
        <w:tc>
          <w:tcPr>
            <w:tcW w:type="dxa" w:w="2256"/>
          </w:tcPr>
          <w:p>
            <w:pPr>
              <w:spacing w:after="0"/>
              <w:jc w:val="left"/>
            </w:pPr>
            <w:r/>
            <w:r>
              <w:rPr>
                <w:rFonts w:ascii="Times New Roman" w:hAnsi="Times New Roman"/>
                <w:sz w:val="22"/>
              </w:rPr>
              <w:t>0.525</w:t>
            </w:r>
          </w:p>
        </w:tc>
      </w:tr>
      <w:tr>
        <w:tc>
          <w:tcPr>
            <w:tcW w:type="dxa" w:w="2256"/>
          </w:tcPr>
          <w:p>
            <w:pPr>
              <w:spacing w:after="0"/>
              <w:jc w:val="left"/>
            </w:pPr>
            <w:r/>
            <w:r>
              <w:rPr>
                <w:rFonts w:ascii="Times New Roman" w:hAnsi="Times New Roman"/>
                <w:sz w:val="22"/>
              </w:rPr>
              <w:t>Cut, laceration or puncture x hand</w:t>
            </w:r>
          </w:p>
        </w:tc>
        <w:tc>
          <w:tcPr>
            <w:tcW w:type="dxa" w:w="2256"/>
          </w:tcPr>
          <w:p>
            <w:pPr>
              <w:spacing w:after="0"/>
              <w:jc w:val="left"/>
            </w:pPr>
            <w:r/>
            <w:r>
              <w:rPr>
                <w:rFonts w:ascii="Times New Roman" w:hAnsi="Times New Roman"/>
                <w:sz w:val="22"/>
              </w:rPr>
              <w:t>104</w:t>
            </w:r>
          </w:p>
        </w:tc>
        <w:tc>
          <w:tcPr>
            <w:tcW w:type="dxa" w:w="2256"/>
          </w:tcPr>
          <w:p>
            <w:pPr>
              <w:spacing w:after="0"/>
              <w:jc w:val="left"/>
            </w:pPr>
            <w:r/>
            <w:r>
              <w:rPr>
                <w:rFonts w:ascii="Times New Roman" w:hAnsi="Times New Roman"/>
                <w:sz w:val="22"/>
              </w:rPr>
              <w:t>65 missed</w:t>
            </w:r>
          </w:p>
        </w:tc>
        <w:tc>
          <w:tcPr>
            <w:tcW w:type="dxa" w:w="2256"/>
          </w:tcPr>
          <w:p>
            <w:pPr>
              <w:spacing w:after="0"/>
              <w:jc w:val="left"/>
            </w:pPr>
            <w:r/>
            <w:r>
              <w:rPr>
                <w:rFonts w:ascii="Times New Roman" w:hAnsi="Times New Roman"/>
                <w:sz w:val="22"/>
              </w:rPr>
              <w:t>0.625</w:t>
            </w:r>
          </w:p>
        </w:tc>
      </w:tr>
      <w:tr>
        <w:tc>
          <w:tcPr>
            <w:tcW w:type="dxa" w:w="2256"/>
          </w:tcPr>
          <w:p>
            <w:pPr>
              <w:spacing w:after="0"/>
              <w:jc w:val="left"/>
            </w:pPr>
            <w:r/>
            <w:r>
              <w:rPr>
                <w:rFonts w:ascii="Times New Roman" w:hAnsi="Times New Roman"/>
                <w:sz w:val="22"/>
              </w:rPr>
              <w:t>Fracture x finger or thumb</w:t>
            </w:r>
          </w:p>
        </w:tc>
        <w:tc>
          <w:tcPr>
            <w:tcW w:type="dxa" w:w="2256"/>
          </w:tcPr>
          <w:p>
            <w:pPr>
              <w:spacing w:after="0"/>
              <w:jc w:val="left"/>
            </w:pPr>
            <w:r/>
            <w:r>
              <w:rPr>
                <w:rFonts w:ascii="Times New Roman" w:hAnsi="Times New Roman"/>
                <w:sz w:val="22"/>
              </w:rPr>
              <w:t>392</w:t>
            </w:r>
          </w:p>
        </w:tc>
        <w:tc>
          <w:tcPr>
            <w:tcW w:type="dxa" w:w="2256"/>
          </w:tcPr>
          <w:p>
            <w:pPr>
              <w:spacing w:after="0"/>
              <w:jc w:val="left"/>
            </w:pPr>
            <w:r/>
            <w:r>
              <w:rPr>
                <w:rFonts w:ascii="Times New Roman" w:hAnsi="Times New Roman"/>
                <w:sz w:val="22"/>
              </w:rPr>
              <w:t>51 missed</w:t>
            </w:r>
          </w:p>
        </w:tc>
        <w:tc>
          <w:tcPr>
            <w:tcW w:type="dxa" w:w="2256"/>
          </w:tcPr>
          <w:p>
            <w:pPr>
              <w:spacing w:after="0"/>
              <w:jc w:val="left"/>
            </w:pPr>
            <w:r/>
            <w:r>
              <w:rPr>
                <w:rFonts w:ascii="Times New Roman" w:hAnsi="Times New Roman"/>
                <w:sz w:val="22"/>
              </w:rPr>
              <w:t>0.130</w:t>
            </w:r>
          </w:p>
        </w:tc>
      </w:tr>
      <w:tr>
        <w:tc>
          <w:tcPr>
            <w:tcW w:type="dxa" w:w="2256"/>
          </w:tcPr>
          <w:p>
            <w:pPr>
              <w:spacing w:after="0"/>
              <w:jc w:val="left"/>
            </w:pPr>
            <w:r/>
            <w:r>
              <w:rPr>
                <w:rFonts w:ascii="Times New Roman" w:hAnsi="Times New Roman"/>
                <w:sz w:val="22"/>
              </w:rPr>
              <w:t>Fracture x mouth, lips, teeth or throat</w:t>
            </w:r>
          </w:p>
        </w:tc>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17 missed</w:t>
            </w:r>
          </w:p>
        </w:tc>
        <w:tc>
          <w:tcPr>
            <w:tcW w:type="dxa" w:w="2256"/>
          </w:tcPr>
          <w:p>
            <w:pPr>
              <w:spacing w:after="0"/>
              <w:jc w:val="left"/>
            </w:pPr>
            <w:r/>
            <w:r>
              <w:rPr>
                <w:rFonts w:ascii="Times New Roman" w:hAnsi="Times New Roman"/>
                <w:sz w:val="22"/>
              </w:rPr>
              <w:t>0.895</w:t>
            </w:r>
          </w:p>
        </w:tc>
      </w:tr>
      <w:tr>
        <w:tc>
          <w:tcPr>
            <w:tcW w:type="dxa" w:w="2256"/>
          </w:tcPr>
          <w:p>
            <w:pPr>
              <w:spacing w:after="0"/>
              <w:jc w:val="left"/>
            </w:pPr>
            <w:r/>
            <w:r>
              <w:rPr>
                <w:rFonts w:ascii="Times New Roman" w:hAnsi="Times New Roman"/>
                <w:sz w:val="22"/>
              </w:rPr>
              <w:t>Dust in the eyes x eye</w:t>
            </w:r>
          </w:p>
        </w:tc>
        <w:tc>
          <w:tcPr>
            <w:tcW w:type="dxa" w:w="2256"/>
          </w:tcPr>
          <w:p>
            <w:pPr>
              <w:spacing w:after="0"/>
              <w:jc w:val="left"/>
            </w:pPr>
            <w:r/>
            <w:r>
              <w:rPr>
                <w:rFonts w:ascii="Times New Roman" w:hAnsi="Times New Roman"/>
                <w:sz w:val="22"/>
              </w:rPr>
              <w:t>36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0.444</w:t>
            </w:r>
          </w:p>
        </w:tc>
      </w:tr>
      <w:tr>
        <w:tc>
          <w:tcPr>
            <w:tcW w:type="dxa" w:w="2256"/>
          </w:tcPr>
          <w:p>
            <w:pPr>
              <w:spacing w:after="0"/>
              <w:jc w:val="left"/>
            </w:pPr>
            <w:r/>
            <w:r>
              <w:rPr>
                <w:rFonts w:ascii="Times New Roman" w:hAnsi="Times New Roman"/>
                <w:sz w:val="22"/>
              </w:rPr>
              <w:t>Burn or chemical injury x eye</w:t>
            </w:r>
          </w:p>
        </w:tc>
        <w:tc>
          <w:tcPr>
            <w:tcW w:type="dxa" w:w="2256"/>
          </w:tcPr>
          <w:p>
            <w:pPr>
              <w:spacing w:after="0"/>
              <w:jc w:val="left"/>
            </w:pPr>
            <w:r/>
            <w:r>
              <w:rPr>
                <w:rFonts w:ascii="Times New Roman" w:hAnsi="Times New Roman"/>
                <w:sz w:val="22"/>
              </w:rPr>
              <w:t>46</w:t>
            </w:r>
          </w:p>
        </w:tc>
        <w:tc>
          <w:tcPr>
            <w:tcW w:type="dxa" w:w="2256"/>
          </w:tcPr>
          <w:p>
            <w:pPr>
              <w:spacing w:after="0"/>
              <w:jc w:val="left"/>
            </w:pPr>
            <w:r/>
            <w:r>
              <w:rPr>
                <w:rFonts w:ascii="Times New Roman" w:hAnsi="Times New Roman"/>
                <w:sz w:val="22"/>
              </w:rPr>
              <w:t>16 missed</w:t>
            </w:r>
          </w:p>
        </w:tc>
        <w:tc>
          <w:tcPr>
            <w:tcW w:type="dxa" w:w="2256"/>
          </w:tcPr>
          <w:p>
            <w:pPr>
              <w:spacing w:after="0"/>
              <w:jc w:val="left"/>
            </w:pPr>
            <w:r/>
            <w:r>
              <w:rPr>
                <w:rFonts w:ascii="Times New Roman" w:hAnsi="Times New Roman"/>
                <w:sz w:val="22"/>
              </w:rPr>
              <w:t>0.348</w:t>
            </w:r>
          </w:p>
        </w:tc>
      </w:tr>
      <w:tr>
        <w:tc>
          <w:tcPr>
            <w:tcW w:type="dxa" w:w="2256"/>
          </w:tcPr>
          <w:p>
            <w:pPr>
              <w:spacing w:after="0"/>
              <w:jc w:val="left"/>
            </w:pPr>
            <w:r/>
            <w:r>
              <w:rPr>
                <w:rFonts w:ascii="Times New Roman" w:hAnsi="Times New Roman"/>
                <w:sz w:val="22"/>
              </w:rPr>
              <w:t>Non-lost-time: restricted activity only (05)</w:t>
            </w:r>
          </w:p>
        </w:tc>
        <w:tc>
          <w:tcPr>
            <w:tcW w:type="dxa" w:w="2256"/>
          </w:tcPr>
          <w:p>
            <w:pPr>
              <w:spacing w:after="0"/>
              <w:jc w:val="left"/>
            </w:pPr>
            <w:r/>
            <w:r>
              <w:rPr>
                <w:rFonts w:ascii="Times New Roman" w:hAnsi="Times New Roman"/>
                <w:sz w:val="22"/>
              </w:rPr>
              <w:t>4,212</w:t>
            </w:r>
          </w:p>
        </w:tc>
        <w:tc>
          <w:tcPr>
            <w:tcW w:type="dxa" w:w="2256"/>
          </w:tcPr>
          <w:p>
            <w:pPr>
              <w:spacing w:after="0"/>
              <w:jc w:val="left"/>
            </w:pPr>
            <w:r/>
            <w:r>
              <w:rPr>
                <w:rFonts w:ascii="Times New Roman" w:hAnsi="Times New Roman"/>
                <w:sz w:val="22"/>
              </w:rPr>
              <w:t>3,297 flagged</w:t>
            </w:r>
          </w:p>
        </w:tc>
        <w:tc>
          <w:tcPr>
            <w:tcW w:type="dxa" w:w="2256"/>
          </w:tcPr>
          <w:p>
            <w:pPr>
              <w:spacing w:after="0"/>
              <w:jc w:val="left"/>
            </w:pPr>
            <w:r/>
            <w:r>
              <w:rPr>
                <w:rFonts w:ascii="Times New Roman" w:hAnsi="Times New Roman"/>
                <w:sz w:val="22"/>
              </w:rPr>
              <w:t>0.783</w:t>
            </w:r>
          </w:p>
        </w:tc>
      </w:tr>
      <w:tr>
        <w:tc>
          <w:tcPr>
            <w:tcW w:type="dxa" w:w="2256"/>
          </w:tcPr>
          <w:p>
            <w:pPr>
              <w:spacing w:after="0"/>
              <w:jc w:val="left"/>
            </w:pPr>
            <w:r/>
            <w:r>
              <w:rPr>
                <w:rFonts w:ascii="Times New Roman" w:hAnsi="Times New Roman"/>
                <w:sz w:val="22"/>
              </w:rPr>
              <w:t>Non-lost-time: no days away and no restriction (06)</w:t>
            </w:r>
          </w:p>
        </w:tc>
        <w:tc>
          <w:tcPr>
            <w:tcW w:type="dxa" w:w="2256"/>
          </w:tcPr>
          <w:p>
            <w:pPr>
              <w:spacing w:after="0"/>
              <w:jc w:val="left"/>
            </w:pPr>
            <w:r/>
            <w:r>
              <w:rPr>
                <w:rFonts w:ascii="Times New Roman" w:hAnsi="Times New Roman"/>
                <w:sz w:val="22"/>
              </w:rPr>
              <w:t>6,235</w:t>
            </w:r>
          </w:p>
        </w:tc>
        <w:tc>
          <w:tcPr>
            <w:tcW w:type="dxa" w:w="2256"/>
          </w:tcPr>
          <w:p>
            <w:pPr>
              <w:spacing w:after="0"/>
              <w:jc w:val="left"/>
            </w:pPr>
            <w:r/>
            <w:r>
              <w:rPr>
                <w:rFonts w:ascii="Times New Roman" w:hAnsi="Times New Roman"/>
                <w:sz w:val="22"/>
              </w:rPr>
              <w:t>2,935 flagged</w:t>
            </w:r>
          </w:p>
        </w:tc>
        <w:tc>
          <w:tcPr>
            <w:tcW w:type="dxa" w:w="2256"/>
          </w:tcPr>
          <w:p>
            <w:pPr>
              <w:spacing w:after="0"/>
              <w:jc w:val="left"/>
            </w:pPr>
            <w:r/>
            <w:r>
              <w:rPr>
                <w:rFonts w:ascii="Times New Roman" w:hAnsi="Times New Roman"/>
                <w:sz w:val="22"/>
              </w:rPr>
              <w:t>0.471</w:t>
            </w:r>
          </w:p>
        </w:tc>
      </w:tr>
    </w:tbl>
    <w:p>
      <w:pPr>
        <w:spacing w:after="80"/>
      </w:pPr>
    </w:p>
    <w:p>
      <w:r>
        <w:rPr>
          <w:rFonts w:ascii="Times New Roman" w:hAnsi="Times New Roman"/>
          <w:sz w:val="24"/>
        </w:rPr>
        <w:t>Table 19 is the model card of HGB (Mitchell et al., 2019). Its monitoring entries follow Sculley et al. (2015), who show that deployed models accrue hidden debt through shifting inputs and feedback loops. A feedback loop is plausible here, since return-to-work plans prompted by flags could turn lost-time cases into restricted-duty ones and change the label the model learns from.</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card of the HGB pipeline, after Mitchell et al. (2019), with metrics on the 20,320 test reports at the capacity threshold unless stated otherwise. Source: author's analysis of MSHA open data.</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E7E6E6"/>
          </w:tcPr>
          <w:p>
            <w:pPr>
              <w:jc w:val="left"/>
            </w:pPr>
            <w:r>
              <w:rPr>
                <w:b/>
              </w:rPr>
            </w:r>
            <w:r>
              <w:rPr>
                <w:rFonts w:ascii="Times New Roman" w:hAnsi="Times New Roman"/>
                <w:b/>
                <w:sz w:val="22"/>
              </w:rPr>
              <w:t>Field</w:t>
            </w:r>
          </w:p>
        </w:tc>
        <w:tc>
          <w:tcPr>
            <w:tcW w:type="dxa" w:w="4513"/>
            <w:shd w:val="clear" w:color="auto" w:fill="E7E6E6"/>
          </w:tcPr>
          <w:p>
            <w:pPr>
              <w:jc w:val="left"/>
            </w:pPr>
            <w:r>
              <w:rPr>
                <w:b/>
              </w:rPr>
            </w:r>
            <w:r>
              <w:rPr>
                <w:rFonts w:ascii="Times New Roman" w:hAnsi="Times New Roman"/>
                <w:b/>
                <w:sz w:val="22"/>
              </w:rPr>
              <w:t>Content</w:t>
            </w:r>
          </w:p>
        </w:tc>
      </w:tr>
      <w:tr>
        <w:tc>
          <w:tcPr>
            <w:tcW w:type="dxa" w:w="4513"/>
          </w:tcPr>
          <w:p>
            <w:pPr>
              <w:spacing w:after="0"/>
              <w:jc w:val="left"/>
            </w:pPr>
            <w:r/>
            <w:r>
              <w:rPr>
                <w:rFonts w:ascii="Times New Roman" w:hAnsi="Times New Roman"/>
                <w:sz w:val="22"/>
              </w:rPr>
              <w:t>Model</w:t>
            </w:r>
          </w:p>
        </w:tc>
        <w:tc>
          <w:tcPr>
            <w:tcW w:type="dxa" w:w="4513"/>
          </w:tcPr>
          <w:p>
            <w:pPr>
              <w:spacing w:after="0"/>
              <w:jc w:val="left"/>
            </w:pPr>
            <w:r/>
            <w:r>
              <w:rPr>
                <w:rFonts w:ascii="Times New Roman" w:hAnsi="Times New Roman"/>
                <w:sz w:val="22"/>
              </w:rPr>
              <w:t>HistGradientBoostingClassifier from scikit-learn 1.9.1 inside the preprocessing pipeline of Figure 11; learning rate 0.05, at most 400 rounds with early stopping, 31 leaf nodes, no L2 penalty; refitted on the 81,289 training rows on 14 October 2026; saved pipeline 0.45 MB</w:t>
            </w:r>
          </w:p>
        </w:tc>
      </w:tr>
      <w:tr>
        <w:tc>
          <w:tcPr>
            <w:tcW w:type="dxa" w:w="4513"/>
          </w:tcPr>
          <w:p>
            <w:pPr>
              <w:spacing w:after="0"/>
              <w:jc w:val="left"/>
            </w:pPr>
            <w:r/>
            <w:r>
              <w:rPr>
                <w:rFonts w:ascii="Times New Roman" w:hAnsi="Times New Roman"/>
                <w:sz w:val="22"/>
              </w:rPr>
              <w:t>Intended use</w:t>
            </w:r>
          </w:p>
        </w:tc>
        <w:tc>
          <w:tcPr>
            <w:tcW w:type="dxa" w:w="4513"/>
          </w:tcPr>
          <w:p>
            <w:pPr>
              <w:spacing w:after="0"/>
              <w:jc w:val="left"/>
            </w:pPr>
            <w:r/>
            <w:r>
              <w:rPr>
                <w:rFonts w:ascii="Times New Roman" w:hAnsi="Times New Roman"/>
                <w:sz w:val="22"/>
              </w:rPr>
              <w:t>ranking new Form 7000-1 reports at filing for early review by workers'-compensation adjusters at insurers and self-insured operators, flagging reports that score 0.210 or more (about three in four); an adjuster confirms every flag</w:t>
            </w:r>
          </w:p>
        </w:tc>
      </w:tr>
      <w:tr>
        <w:tc>
          <w:tcPr>
            <w:tcW w:type="dxa" w:w="4513"/>
          </w:tcPr>
          <w:p>
            <w:pPr>
              <w:spacing w:after="0"/>
              <w:jc w:val="left"/>
            </w:pPr>
            <w:r/>
            <w:r>
              <w:rPr>
                <w:rFonts w:ascii="Times New Roman" w:hAnsi="Times New Roman"/>
                <w:sz w:val="22"/>
              </w:rPr>
              <w:t>Out-of-scope uses</w:t>
            </w:r>
          </w:p>
        </w:tc>
        <w:tc>
          <w:tcPr>
            <w:tcW w:type="dxa" w:w="4513"/>
          </w:tcPr>
          <w:p>
            <w:pPr>
              <w:spacing w:after="0"/>
              <w:jc w:val="left"/>
            </w:pPr>
            <w:r/>
            <w:r>
              <w:rPr>
                <w:rFonts w:ascii="Times New Roman" w:hAnsi="Times New Roman"/>
                <w:sz w:val="22"/>
              </w:rPr>
              <w:t>ranking mines for inspection, which the DART label suits better; setting benefit levels or denying claims; judging individual workers; reports outside 2010-2025 or outside degree codes 01 to 06</w:t>
            </w:r>
          </w:p>
        </w:tc>
      </w:tr>
      <w:tr>
        <w:tc>
          <w:tcPr>
            <w:tcW w:type="dxa" w:w="4513"/>
          </w:tcPr>
          <w:p>
            <w:pPr>
              <w:spacing w:after="0"/>
              <w:jc w:val="left"/>
            </w:pPr>
            <w:r/>
            <w:r>
              <w:rPr>
                <w:rFonts w:ascii="Times New Roman" w:hAnsi="Times New Roman"/>
                <w:sz w:val="22"/>
              </w:rPr>
              <w:t>Data</w:t>
            </w:r>
          </w:p>
        </w:tc>
        <w:tc>
          <w:tcPr>
            <w:tcW w:type="dxa" w:w="4513"/>
          </w:tcPr>
          <w:p>
            <w:pPr>
              <w:spacing w:after="0"/>
              <w:jc w:val="left"/>
            </w:pPr>
            <w:r/>
            <w:r>
              <w:rPr>
                <w:rFonts w:ascii="Times New Roman" w:hAnsi="Times New Roman"/>
                <w:sz w:val="22"/>
              </w:rPr>
              <w:t>101,609 MSHA reports of 2010-2025 (Section 1.3), split by 32,732 mine-years with 6,724 of them in the test set; secondary temporal split (2010-2019 against 2020-2025) and mine-grouped split</w:t>
            </w:r>
          </w:p>
        </w:tc>
      </w:tr>
      <w:tr>
        <w:tc>
          <w:tcPr>
            <w:tcW w:type="dxa" w:w="4513"/>
          </w:tcPr>
          <w:p>
            <w:pPr>
              <w:spacing w:after="0"/>
              <w:jc w:val="left"/>
            </w:pPr>
            <w:r/>
            <w:r>
              <w:rPr>
                <w:rFonts w:ascii="Times New Roman" w:hAnsi="Times New Roman"/>
                <w:sz w:val="22"/>
              </w:rPr>
              <w:t>Metrics</w:t>
            </w:r>
          </w:p>
        </w:tc>
        <w:tc>
          <w:tcPr>
            <w:tcW w:type="dxa" w:w="4513"/>
          </w:tcPr>
          <w:p>
            <w:pPr>
              <w:spacing w:after="0"/>
              <w:jc w:val="left"/>
            </w:pPr>
            <w:r/>
            <w:r>
              <w:rPr>
                <w:rFonts w:ascii="Times New Roman" w:hAnsi="Times New Roman"/>
                <w:sz w:val="22"/>
              </w:rPr>
              <w:t>PR-AUC (primary), ROC-AUC, recall, specificity, precision, Brier score and expected cost per 1,000 cases, with thresholds from out-of-fold probabilities</w:t>
            </w:r>
          </w:p>
        </w:tc>
      </w:tr>
      <w:tr>
        <w:tc>
          <w:tcPr>
            <w:tcW w:type="dxa" w:w="4513"/>
          </w:tcPr>
          <w:p>
            <w:pPr>
              <w:spacing w:after="0"/>
              <w:jc w:val="left"/>
            </w:pPr>
            <w:r/>
            <w:r>
              <w:rPr>
                <w:rFonts w:ascii="Times New Roman" w:hAnsi="Times New Roman"/>
                <w:sz w:val="22"/>
              </w:rPr>
              <w:t>Overall performance</w:t>
            </w:r>
          </w:p>
        </w:tc>
        <w:tc>
          <w:tcPr>
            <w:tcW w:type="dxa" w:w="4513"/>
          </w:tcPr>
          <w:p>
            <w:pPr>
              <w:spacing w:after="0"/>
              <w:jc w:val="left"/>
            </w:pPr>
            <w:r/>
            <w:r>
              <w:rPr>
                <w:rFonts w:ascii="Times New Roman" w:hAnsi="Times New Roman"/>
                <w:sz w:val="22"/>
              </w:rPr>
              <w:t>PR-AUC 0.841 (mine-year bootstrap 95% interval 0.825 to 0.856), ROC-AUC 0.843 and Brier score 0.161; recall 0.943, specificity 0.403 and precision 0.599 at threshold 0.210</w:t>
            </w:r>
          </w:p>
        </w:tc>
      </w:tr>
      <w:tr>
        <w:tc>
          <w:tcPr>
            <w:tcW w:type="dxa" w:w="4513"/>
          </w:tcPr>
          <w:p>
            <w:pPr>
              <w:spacing w:after="0"/>
              <w:jc w:val="left"/>
            </w:pPr>
            <w:r/>
            <w:r>
              <w:rPr>
                <w:rFonts w:ascii="Times New Roman" w:hAnsi="Times New Roman"/>
                <w:sz w:val="22"/>
              </w:rPr>
              <w:t>Subgroup performance</w:t>
            </w:r>
          </w:p>
        </w:tc>
        <w:tc>
          <w:tcPr>
            <w:tcW w:type="dxa" w:w="4513"/>
          </w:tcPr>
          <w:p>
            <w:pPr>
              <w:spacing w:after="0"/>
              <w:jc w:val="left"/>
            </w:pPr>
            <w:r/>
            <w:r>
              <w:rPr>
                <w:rFonts w:ascii="Times New Roman" w:hAnsi="Times New Roman"/>
                <w:sz w:val="22"/>
              </w:rPr>
              <w:t>coal (8,270 reports, prevalence 0.638): recall 0.971, specificity 0.397, precision 0.740, PR-AUC 0.912, Brier 0.135; metal and non-metal (12,050 reports, prevalence 0.381): recall 0.911, specificity 0.406, precision 0.486, PR-AUC 0.708, Brier 0.179</w:t>
            </w:r>
          </w:p>
        </w:tc>
      </w:tr>
      <w:tr>
        <w:tc>
          <w:tcPr>
            <w:tcW w:type="dxa" w:w="4513"/>
          </w:tcPr>
          <w:p>
            <w:pPr>
              <w:spacing w:after="0"/>
              <w:jc w:val="left"/>
            </w:pPr>
            <w:r/>
            <w:r>
              <w:rPr>
                <w:rFonts w:ascii="Times New Roman" w:hAnsi="Times New Roman"/>
                <w:sz w:val="22"/>
              </w:rPr>
              <w:t>Stability checks</w:t>
            </w:r>
          </w:p>
        </w:tc>
        <w:tc>
          <w:tcPr>
            <w:tcW w:type="dxa" w:w="4513"/>
          </w:tcPr>
          <w:p>
            <w:pPr>
              <w:spacing w:after="0"/>
              <w:jc w:val="left"/>
            </w:pPr>
            <w:r/>
            <w:r>
              <w:rPr>
                <w:rFonts w:ascii="Times New Roman" w:hAnsi="Times New Roman"/>
                <w:sz w:val="22"/>
              </w:rPr>
              <w:t>temporal split: PR-AUC 0.843 and recall 0.944 at a realised specificity of 0.377; mine-grouped split: PR-AUC 0.836 and recall 0.936; removing immed_reportable or the 103(i) status, counting only resolved earlier cases or blanking early-January exposure changed test PR-AUC by at most 0.001; without the 175 amputation reports, all lost-time, test PR-AUC is 0.834</w:t>
            </w:r>
          </w:p>
        </w:tc>
      </w:tr>
      <w:tr>
        <w:tc>
          <w:tcPr>
            <w:tcW w:type="dxa" w:w="4513"/>
          </w:tcPr>
          <w:p>
            <w:pPr>
              <w:spacing w:after="0"/>
              <w:jc w:val="left"/>
            </w:pPr>
            <w:r/>
            <w:r>
              <w:rPr>
                <w:rFonts w:ascii="Times New Roman" w:hAnsi="Times New Roman"/>
                <w:sz w:val="22"/>
              </w:rPr>
              <w:t>Limitations</w:t>
            </w:r>
          </w:p>
        </w:tc>
        <w:tc>
          <w:tcPr>
            <w:tcW w:type="dxa" w:w="4513"/>
          </w:tcPr>
          <w:p>
            <w:pPr>
              <w:spacing w:after="0"/>
              <w:jc w:val="left"/>
            </w:pPr>
            <w:r/>
            <w:r>
              <w:rPr>
                <w:rFonts w:ascii="Times New Roman" w:hAnsi="Times New Roman"/>
                <w:sz w:val="22"/>
              </w:rPr>
              <w:t>misses S5 (recall 0.775 at a 50% flag rate); the label records whether restricted duty was offered; precision below 0.5 in metal and non-metal mines; self-reported data omit unreported injuries; scores describe association, not cause</w:t>
            </w:r>
          </w:p>
        </w:tc>
      </w:tr>
      <w:tr>
        <w:tc>
          <w:tcPr>
            <w:tcW w:type="dxa" w:w="4513"/>
          </w:tcPr>
          <w:p>
            <w:pPr>
              <w:spacing w:after="0"/>
              <w:jc w:val="left"/>
            </w:pPr>
            <w:r/>
            <w:r>
              <w:rPr>
                <w:rFonts w:ascii="Times New Roman" w:hAnsi="Times New Roman"/>
                <w:sz w:val="22"/>
              </w:rPr>
              <w:t>Ethical considerations</w:t>
            </w:r>
          </w:p>
        </w:tc>
        <w:tc>
          <w:tcPr>
            <w:tcW w:type="dxa" w:w="4513"/>
          </w:tcPr>
          <w:p>
            <w:pPr>
              <w:spacing w:after="0"/>
              <w:jc w:val="left"/>
            </w:pPr>
            <w:r/>
            <w:r>
              <w:rPr>
                <w:rFonts w:ascii="Times New Roman" w:hAnsi="Times New Roman"/>
                <w:sz w:val="22"/>
              </w:rPr>
              <w:t>no names or narratives are used, but occupation, experience and state can stand in for groups of workers; a flag must never reduce benefits; the sector gap is disclosed; the application states the intended use and leaves the decision to a person</w:t>
            </w:r>
          </w:p>
        </w:tc>
      </w:tr>
      <w:tr>
        <w:tc>
          <w:tcPr>
            <w:tcW w:type="dxa" w:w="4513"/>
          </w:tcPr>
          <w:p>
            <w:pPr>
              <w:spacing w:after="0"/>
              <w:jc w:val="left"/>
            </w:pPr>
            <w:r/>
            <w:r>
              <w:rPr>
                <w:rFonts w:ascii="Times New Roman" w:hAnsi="Times New Roman"/>
                <w:sz w:val="22"/>
              </w:rPr>
              <w:t>Monitoring</w:t>
            </w:r>
          </w:p>
        </w:tc>
        <w:tc>
          <w:tcPr>
            <w:tcW w:type="dxa" w:w="4513"/>
          </w:tcPr>
          <w:p>
            <w:pPr>
              <w:spacing w:after="0"/>
              <w:jc w:val="left"/>
            </w:pPr>
            <w:r/>
            <w:r>
              <w:rPr>
                <w:rFonts w:ascii="Times New Roman" w:hAnsi="Times New Roman"/>
                <w:sz w:val="22"/>
              </w:rPr>
              <w:t>track the flag rate against the planned three in four, and PR-AUC and Brier score by sector on newly closed cases; retrain or recalibrate when PR-AUC falls below the S2 target of 0.75, the Brier score exceeds the S6 limit of 0.20 or the share of pooled infrequent levels grows (Sculley et al., 2015)</w:t>
            </w:r>
          </w:p>
        </w:tc>
      </w:tr>
    </w:tbl>
    <w:p>
      <w:pPr>
        <w:spacing w:after="80"/>
      </w:pPr>
    </w:p>
    <w:p>
      <w:r>
        <w:br w:type="page"/>
      </w:r>
    </w:p>
    <w:p>
      <w:pPr>
        <w:pStyle w:val="Heading1"/>
      </w:pPr>
      <w:r>
        <w:rPr>
          <w:rFonts w:ascii="Times New Roman" w:hAnsi="Times New Roman"/>
          <w:b/>
          <w:color w:val="000000"/>
          <w:sz w:val="32"/>
        </w:rPr>
        <w:t>5 Conclusion</w:t>
      </w:r>
    </w:p>
    <w:p>
      <w:pPr>
        <w:pStyle w:val="Heading2"/>
      </w:pPr>
      <w:r>
        <w:rPr>
          <w:rFonts w:ascii="Times New Roman" w:hAnsi="Times New Roman"/>
          <w:b/>
          <w:color w:val="000000"/>
          <w:sz w:val="28"/>
        </w:rPr>
        <w:t>5.1 Key data analysis findings</w:t>
      </w:r>
    </w:p>
    <w:p>
      <w:pPr>
        <w:pStyle w:val="ListNumber"/>
        <w:spacing w:after="60"/>
      </w:pPr>
      <w:r>
        <w:rPr>
          <w:rFonts w:ascii="Times New Roman" w:hAnsi="Times New Roman"/>
          <w:sz w:val="24"/>
        </w:rPr>
        <w:t>Lost-time cases are 48.6% of the 101,609 in-scope reports (Figure 1), so a rule that finds none is right about half the time and the insurer needs a ranked review queue.</w:t>
      </w:r>
    </w:p>
    <w:p>
      <w:pPr>
        <w:pStyle w:val="ListNumber"/>
        <w:spacing w:after="60"/>
      </w:pPr>
      <w:r>
        <w:rPr>
          <w:rFonts w:ascii="Times New Roman" w:hAnsi="Times New Roman"/>
          <w:sz w:val="24"/>
        </w:rPr>
        <w:t>Nature of injury and body part lead the association with lost time (Cramer's V of 0.391 and 0.364, Table 7), with cuts near 18% lost-time (Figure 7), so the fields the safety officer completes on the form carry most of the signal at filing.</w:t>
      </w:r>
    </w:p>
    <w:p>
      <w:pPr>
        <w:pStyle w:val="ListNumber"/>
        <w:spacing w:after="60"/>
      </w:pPr>
      <w:r>
        <w:rPr>
          <w:rFonts w:ascii="Times New Roman" w:hAnsi="Times New Roman"/>
          <w:sz w:val="24"/>
        </w:rPr>
        <w:t>The mine's previous-year lost-time share is the strongest numeric signal (point-biserial r = 0.292, Table 7; Figure 5), so mine history known before the accident shifts each score, though it partly reflects the restricted-duty practice behind the label.</w:t>
      </w:r>
    </w:p>
    <w:p>
      <w:pPr>
        <w:pStyle w:val="ListNumber"/>
        <w:spacing w:after="60"/>
      </w:pPr>
      <w:r>
        <w:rPr>
          <w:rFonts w:ascii="Times New Roman" w:hAnsi="Times New Roman"/>
          <w:sz w:val="24"/>
        </w:rPr>
        <w:t>Coal reports are lost-time in 63.0% of cases against 38.6% in metal and non-metal mines, while the DART label hardly varies by sector (Table 2), so the label records employers' restricted-duty practice as well as severity, and scores must be read within sector.</w:t>
      </w:r>
    </w:p>
    <w:p>
      <w:pPr>
        <w:pStyle w:val="ListNumber"/>
        <w:spacing w:after="60"/>
      </w:pPr>
      <w:r>
        <w:rPr>
          <w:rFonts w:ascii="Times New Roman" w:hAnsi="Times New Roman"/>
          <w:sz w:val="24"/>
        </w:rPr>
        <w:t>Gaps are mostly structural, but reports without total experience are lost-time in 59.3% of training cases against 48.5% of recorded ones (Figure 8; Table 8), so missing-value indicators keep that higher risk visible to the reserve decision.</w:t>
      </w:r>
    </w:p>
    <w:p>
      <w:pPr>
        <w:pStyle w:val="ListNumber"/>
        <w:spacing w:after="60"/>
      </w:pPr>
      <w:r>
        <w:rPr>
          <w:rFonts w:ascii="Times New Roman" w:hAnsi="Times New Roman"/>
          <w:sz w:val="24"/>
        </w:rPr>
        <w:t>The classes overlap in every two-dimensional view (Figure 6; Figure 10), and the one-field hand rule reaches a specificity of 0.429 (Table 3), so sparing needless reviews without losing lost-time cases needs a model that combines many fields.</w:t>
      </w:r>
    </w:p>
    <w:p>
      <w:pPr>
        <w:pStyle w:val="Heading2"/>
      </w:pPr>
      <w:r>
        <w:rPr>
          <w:rFonts w:ascii="Times New Roman" w:hAnsi="Times New Roman"/>
          <w:b/>
          <w:color w:val="000000"/>
          <w:sz w:val="28"/>
        </w:rPr>
        <w:t>5.2 Interpretation of results</w:t>
      </w:r>
    </w:p>
    <w:p>
      <w:r>
        <w:rPr>
          <w:rFonts w:ascii="Times New Roman" w:hAnsi="Times New Roman"/>
          <w:sz w:val="24"/>
        </w:rPr>
        <w:t>Per 1,000 filed cases at the capacity threshold, HGB misses 27.6 lost-time cases against 49.5 for the one-field hand rule, for a slightly larger review load (Table 20). Its cost-optimal thresholds undercut reviewing everything at low cost ratios. At the base ratio of Table 1 the cheapest threshold flags almost every case (Figure 14), leaving the score to order the queue when capacity binds.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Outcomes per 1,000 filed cases on the 20,320-row held-out test set for HGB at three thresholds fixed on out-of-fold probabilities and at two other review capacities, for the lookup baseline at its capacity threshold, for the one-field hand rule built for this study and for reviewing everything, with the expected cost at the 2:1 and 5:1 cost ratios at USD 200 per review; counts are test confusion counts scaled to 1,000 cases, the two capacity rows take their cut-off from the test scores (labels only count the hits), and reviewing everything costs USD 102,825 per 1,000 on the test set against USD 102,829 on all in-scope reports.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2"/>
              </w:rPr>
              <w:t>Policy</w:t>
            </w:r>
          </w:p>
        </w:tc>
        <w:tc>
          <w:tcPr>
            <w:tcW w:type="dxa" w:w="1128"/>
            <w:shd w:val="clear" w:color="auto" w:fill="E7E6E6"/>
          </w:tcPr>
          <w:p>
            <w:pPr>
              <w:jc w:val="left"/>
            </w:pPr>
            <w:r>
              <w:rPr>
                <w:b/>
              </w:rPr>
            </w:r>
            <w:r>
              <w:rPr>
                <w:rFonts w:ascii="Times New Roman" w:hAnsi="Times New Roman"/>
                <w:b/>
                <w:sz w:val="22"/>
              </w:rPr>
              <w:t>Threshold</w:t>
            </w:r>
          </w:p>
        </w:tc>
        <w:tc>
          <w:tcPr>
            <w:tcW w:type="dxa" w:w="1128"/>
            <w:shd w:val="clear" w:color="auto" w:fill="E7E6E6"/>
          </w:tcPr>
          <w:p>
            <w:pPr>
              <w:jc w:val="left"/>
            </w:pPr>
            <w:r>
              <w:rPr>
                <w:b/>
              </w:rPr>
            </w:r>
            <w:r>
              <w:rPr>
                <w:rFonts w:ascii="Times New Roman" w:hAnsi="Times New Roman"/>
                <w:b/>
                <w:sz w:val="22"/>
              </w:rPr>
              <w:t>Flagged</w:t>
            </w:r>
          </w:p>
        </w:tc>
        <w:tc>
          <w:tcPr>
            <w:tcW w:type="dxa" w:w="1128"/>
            <w:shd w:val="clear" w:color="auto" w:fill="E7E6E6"/>
          </w:tcPr>
          <w:p>
            <w:pPr>
              <w:jc w:val="left"/>
            </w:pPr>
            <w:r>
              <w:rPr>
                <w:b/>
              </w:rPr>
            </w:r>
            <w:r>
              <w:rPr>
                <w:rFonts w:ascii="Times New Roman" w:hAnsi="Times New Roman"/>
                <w:b/>
                <w:sz w:val="22"/>
              </w:rPr>
              <w:t>Lost-time cases caught</w:t>
            </w:r>
          </w:p>
        </w:tc>
        <w:tc>
          <w:tcPr>
            <w:tcW w:type="dxa" w:w="1128"/>
            <w:shd w:val="clear" w:color="auto" w:fill="E7E6E6"/>
          </w:tcPr>
          <w:p>
            <w:pPr>
              <w:jc w:val="left"/>
            </w:pPr>
            <w:r>
              <w:rPr>
                <w:b/>
              </w:rPr>
            </w:r>
            <w:r>
              <w:rPr>
                <w:rFonts w:ascii="Times New Roman" w:hAnsi="Times New Roman"/>
                <w:b/>
                <w:sz w:val="22"/>
              </w:rPr>
              <w:t>Lost-time cases missed</w:t>
            </w:r>
          </w:p>
        </w:tc>
        <w:tc>
          <w:tcPr>
            <w:tcW w:type="dxa" w:w="1128"/>
            <w:shd w:val="clear" w:color="auto" w:fill="E7E6E6"/>
          </w:tcPr>
          <w:p>
            <w:pPr>
              <w:jc w:val="left"/>
            </w:pPr>
            <w:r>
              <w:rPr>
                <w:b/>
              </w:rPr>
            </w:r>
            <w:r>
              <w:rPr>
                <w:rFonts w:ascii="Times New Roman" w:hAnsi="Times New Roman"/>
                <w:b/>
                <w:sz w:val="22"/>
              </w:rPr>
              <w:t>False alarms</w:t>
            </w:r>
          </w:p>
        </w:tc>
        <w:tc>
          <w:tcPr>
            <w:tcW w:type="dxa" w:w="1128"/>
            <w:shd w:val="clear" w:color="auto" w:fill="E7E6E6"/>
          </w:tcPr>
          <w:p>
            <w:pPr>
              <w:jc w:val="left"/>
            </w:pPr>
            <w:r>
              <w:rPr>
                <w:b/>
              </w:rPr>
            </w:r>
            <w:r>
              <w:rPr>
                <w:rFonts w:ascii="Times New Roman" w:hAnsi="Times New Roman"/>
                <w:b/>
                <w:sz w:val="22"/>
              </w:rPr>
              <w:t>Expected cost at 2:1 (USD)</w:t>
            </w:r>
          </w:p>
        </w:tc>
        <w:tc>
          <w:tcPr>
            <w:tcW w:type="dxa" w:w="1128"/>
            <w:shd w:val="clear" w:color="auto" w:fill="E7E6E6"/>
          </w:tcPr>
          <w:p>
            <w:pPr>
              <w:jc w:val="left"/>
            </w:pPr>
            <w:r>
              <w:rPr>
                <w:b/>
              </w:rPr>
            </w:r>
            <w:r>
              <w:rPr>
                <w:rFonts w:ascii="Times New Roman" w:hAnsi="Times New Roman"/>
                <w:b/>
                <w:sz w:val="22"/>
              </w:rPr>
              <w:t>Expected cost at 5:1 (USD)</w:t>
            </w:r>
          </w:p>
        </w:tc>
      </w:tr>
      <w:tr>
        <w:tc>
          <w:tcPr>
            <w:tcW w:type="dxa" w:w="1128"/>
          </w:tcPr>
          <w:p>
            <w:pPr>
              <w:spacing w:after="0"/>
              <w:jc w:val="left"/>
            </w:pPr>
            <w:r/>
            <w:r>
              <w:rPr>
                <w:rFonts w:ascii="Times New Roman" w:hAnsi="Times New Roman"/>
                <w:sz w:val="22"/>
              </w:rPr>
              <w:t>HGB, capacity threshold (out-of-fold specificity 0.40)</w:t>
            </w:r>
          </w:p>
        </w:tc>
        <w:tc>
          <w:tcPr>
            <w:tcW w:type="dxa" w:w="1128"/>
          </w:tcPr>
          <w:p>
            <w:pPr>
              <w:spacing w:after="0"/>
              <w:jc w:val="left"/>
            </w:pPr>
            <w:r/>
            <w:r>
              <w:rPr>
                <w:rFonts w:ascii="Times New Roman" w:hAnsi="Times New Roman"/>
                <w:sz w:val="22"/>
              </w:rPr>
              <w:t>0.210</w:t>
            </w:r>
          </w:p>
        </w:tc>
        <w:tc>
          <w:tcPr>
            <w:tcW w:type="dxa" w:w="1128"/>
          </w:tcPr>
          <w:p>
            <w:pPr>
              <w:spacing w:after="0"/>
              <w:jc w:val="left"/>
            </w:pPr>
            <w:r/>
            <w:r>
              <w:rPr>
                <w:rFonts w:ascii="Times New Roman" w:hAnsi="Times New Roman"/>
                <w:sz w:val="22"/>
              </w:rPr>
              <w:t>765.0</w:t>
            </w:r>
          </w:p>
        </w:tc>
        <w:tc>
          <w:tcPr>
            <w:tcW w:type="dxa" w:w="1128"/>
          </w:tcPr>
          <w:p>
            <w:pPr>
              <w:spacing w:after="0"/>
              <w:jc w:val="left"/>
            </w:pPr>
            <w:r/>
            <w:r>
              <w:rPr>
                <w:rFonts w:ascii="Times New Roman" w:hAnsi="Times New Roman"/>
                <w:sz w:val="22"/>
              </w:rPr>
              <w:t>458.3</w:t>
            </w:r>
          </w:p>
        </w:tc>
        <w:tc>
          <w:tcPr>
            <w:tcW w:type="dxa" w:w="1128"/>
          </w:tcPr>
          <w:p>
            <w:pPr>
              <w:spacing w:after="0"/>
              <w:jc w:val="left"/>
            </w:pPr>
            <w:r/>
            <w:r>
              <w:rPr>
                <w:rFonts w:ascii="Times New Roman" w:hAnsi="Times New Roman"/>
                <w:sz w:val="22"/>
              </w:rPr>
              <w:t>27.6</w:t>
            </w:r>
          </w:p>
        </w:tc>
        <w:tc>
          <w:tcPr>
            <w:tcW w:type="dxa" w:w="1128"/>
          </w:tcPr>
          <w:p>
            <w:pPr>
              <w:spacing w:after="0"/>
              <w:jc w:val="left"/>
            </w:pPr>
            <w:r/>
            <w:r>
              <w:rPr>
                <w:rFonts w:ascii="Times New Roman" w:hAnsi="Times New Roman"/>
                <w:sz w:val="22"/>
              </w:rPr>
              <w:t>306.7</w:t>
            </w:r>
          </w:p>
        </w:tc>
        <w:tc>
          <w:tcPr>
            <w:tcW w:type="dxa" w:w="1128"/>
          </w:tcPr>
          <w:p>
            <w:pPr>
              <w:spacing w:after="0"/>
              <w:jc w:val="left"/>
            </w:pPr>
            <w:r/>
            <w:r>
              <w:rPr>
                <w:rFonts w:ascii="Times New Roman" w:hAnsi="Times New Roman"/>
                <w:sz w:val="22"/>
              </w:rPr>
              <w:t>72,382</w:t>
            </w:r>
          </w:p>
        </w:tc>
        <w:tc>
          <w:tcPr>
            <w:tcW w:type="dxa" w:w="1128"/>
          </w:tcPr>
          <w:p>
            <w:pPr>
              <w:spacing w:after="0"/>
              <w:jc w:val="left"/>
            </w:pPr>
            <w:r/>
            <w:r>
              <w:rPr>
                <w:rFonts w:ascii="Times New Roman" w:hAnsi="Times New Roman"/>
                <w:sz w:val="22"/>
              </w:rPr>
              <w:t>88,947</w:t>
            </w:r>
          </w:p>
        </w:tc>
      </w:tr>
      <w:tr>
        <w:tc>
          <w:tcPr>
            <w:tcW w:type="dxa" w:w="1128"/>
          </w:tcPr>
          <w:p>
            <w:pPr>
              <w:spacing w:after="0"/>
              <w:jc w:val="left"/>
            </w:pPr>
            <w:r/>
            <w:r>
              <w:rPr>
                <w:rFonts w:ascii="Times New Roman" w:hAnsi="Times New Roman"/>
                <w:sz w:val="22"/>
              </w:rPr>
              <w:t>HGB, cost-optimal at 2:1</w:t>
            </w:r>
          </w:p>
        </w:tc>
        <w:tc>
          <w:tcPr>
            <w:tcW w:type="dxa" w:w="1128"/>
          </w:tcPr>
          <w:p>
            <w:pPr>
              <w:spacing w:after="0"/>
              <w:jc w:val="left"/>
            </w:pPr>
            <w:r/>
            <w:r>
              <w:rPr>
                <w:rFonts w:ascii="Times New Roman" w:hAnsi="Times New Roman"/>
                <w:sz w:val="22"/>
              </w:rPr>
              <w:t>0.335</w:t>
            </w:r>
          </w:p>
        </w:tc>
        <w:tc>
          <w:tcPr>
            <w:tcW w:type="dxa" w:w="1128"/>
          </w:tcPr>
          <w:p>
            <w:pPr>
              <w:spacing w:after="0"/>
              <w:jc w:val="left"/>
            </w:pPr>
            <w:r/>
            <w:r>
              <w:rPr>
                <w:rFonts w:ascii="Times New Roman" w:hAnsi="Times New Roman"/>
                <w:sz w:val="22"/>
              </w:rPr>
              <w:t>621.9</w:t>
            </w:r>
          </w:p>
        </w:tc>
        <w:tc>
          <w:tcPr>
            <w:tcW w:type="dxa" w:w="1128"/>
          </w:tcPr>
          <w:p>
            <w:pPr>
              <w:spacing w:after="0"/>
              <w:jc w:val="left"/>
            </w:pPr>
            <w:r/>
            <w:r>
              <w:rPr>
                <w:rFonts w:ascii="Times New Roman" w:hAnsi="Times New Roman"/>
                <w:sz w:val="22"/>
              </w:rPr>
              <w:t>421.4</w:t>
            </w:r>
          </w:p>
        </w:tc>
        <w:tc>
          <w:tcPr>
            <w:tcW w:type="dxa" w:w="1128"/>
          </w:tcPr>
          <w:p>
            <w:pPr>
              <w:spacing w:after="0"/>
              <w:jc w:val="left"/>
            </w:pPr>
            <w:r/>
            <w:r>
              <w:rPr>
                <w:rFonts w:ascii="Times New Roman" w:hAnsi="Times New Roman"/>
                <w:sz w:val="22"/>
              </w:rPr>
              <w:t>64.5</w:t>
            </w:r>
          </w:p>
        </w:tc>
        <w:tc>
          <w:tcPr>
            <w:tcW w:type="dxa" w:w="1128"/>
          </w:tcPr>
          <w:p>
            <w:pPr>
              <w:spacing w:after="0"/>
              <w:jc w:val="left"/>
            </w:pPr>
            <w:r/>
            <w:r>
              <w:rPr>
                <w:rFonts w:ascii="Times New Roman" w:hAnsi="Times New Roman"/>
                <w:sz w:val="22"/>
              </w:rPr>
              <w:t>200.5</w:t>
            </w:r>
          </w:p>
        </w:tc>
        <w:tc>
          <w:tcPr>
            <w:tcW w:type="dxa" w:w="1128"/>
          </w:tcPr>
          <w:p>
            <w:pPr>
              <w:spacing w:after="0"/>
              <w:jc w:val="left"/>
            </w:pPr>
            <w:r/>
            <w:r>
              <w:rPr>
                <w:rFonts w:ascii="Times New Roman" w:hAnsi="Times New Roman"/>
                <w:sz w:val="22"/>
              </w:rPr>
              <w:t>65,896</w:t>
            </w:r>
          </w:p>
        </w:tc>
        <w:tc>
          <w:tcPr>
            <w:tcW w:type="dxa" w:w="1128"/>
          </w:tcPr>
          <w:p>
            <w:pPr>
              <w:spacing w:after="0"/>
              <w:jc w:val="left"/>
            </w:pPr>
            <w:r/>
            <w:r>
              <w:rPr>
                <w:rFonts w:ascii="Times New Roman" w:hAnsi="Times New Roman"/>
                <w:sz w:val="22"/>
              </w:rPr>
              <w:t>104,577</w:t>
            </w:r>
          </w:p>
        </w:tc>
      </w:tr>
      <w:tr>
        <w:tc>
          <w:tcPr>
            <w:tcW w:type="dxa" w:w="1128"/>
          </w:tcPr>
          <w:p>
            <w:pPr>
              <w:spacing w:after="0"/>
              <w:jc w:val="left"/>
            </w:pPr>
            <w:r/>
            <w:r>
              <w:rPr>
                <w:rFonts w:ascii="Times New Roman" w:hAnsi="Times New Roman"/>
                <w:sz w:val="22"/>
              </w:rPr>
              <w:t>HGB, cost-optimal at 5:1</w:t>
            </w:r>
          </w:p>
        </w:tc>
        <w:tc>
          <w:tcPr>
            <w:tcW w:type="dxa" w:w="1128"/>
          </w:tcPr>
          <w:p>
            <w:pPr>
              <w:spacing w:after="0"/>
              <w:jc w:val="left"/>
            </w:pPr>
            <w:r/>
            <w:r>
              <w:rPr>
                <w:rFonts w:ascii="Times New Roman" w:hAnsi="Times New Roman"/>
                <w:sz w:val="22"/>
              </w:rPr>
              <w:t>0.165</w:t>
            </w:r>
          </w:p>
        </w:tc>
        <w:tc>
          <w:tcPr>
            <w:tcW w:type="dxa" w:w="1128"/>
          </w:tcPr>
          <w:p>
            <w:pPr>
              <w:spacing w:after="0"/>
              <w:jc w:val="left"/>
            </w:pPr>
            <w:r/>
            <w:r>
              <w:rPr>
                <w:rFonts w:ascii="Times New Roman" w:hAnsi="Times New Roman"/>
                <w:sz w:val="22"/>
              </w:rPr>
              <w:t>821.0</w:t>
            </w:r>
          </w:p>
        </w:tc>
        <w:tc>
          <w:tcPr>
            <w:tcW w:type="dxa" w:w="1128"/>
          </w:tcPr>
          <w:p>
            <w:pPr>
              <w:spacing w:after="0"/>
              <w:jc w:val="left"/>
            </w:pPr>
            <w:r/>
            <w:r>
              <w:rPr>
                <w:rFonts w:ascii="Times New Roman" w:hAnsi="Times New Roman"/>
                <w:sz w:val="22"/>
              </w:rPr>
              <w:t>468.7</w:t>
            </w:r>
          </w:p>
        </w:tc>
        <w:tc>
          <w:tcPr>
            <w:tcW w:type="dxa" w:w="1128"/>
          </w:tcPr>
          <w:p>
            <w:pPr>
              <w:spacing w:after="0"/>
              <w:jc w:val="left"/>
            </w:pPr>
            <w:r/>
            <w:r>
              <w:rPr>
                <w:rFonts w:ascii="Times New Roman" w:hAnsi="Times New Roman"/>
                <w:sz w:val="22"/>
              </w:rPr>
              <w:t>17.2</w:t>
            </w:r>
          </w:p>
        </w:tc>
        <w:tc>
          <w:tcPr>
            <w:tcW w:type="dxa" w:w="1128"/>
          </w:tcPr>
          <w:p>
            <w:pPr>
              <w:spacing w:after="0"/>
              <w:jc w:val="left"/>
            </w:pPr>
            <w:r/>
            <w:r>
              <w:rPr>
                <w:rFonts w:ascii="Times New Roman" w:hAnsi="Times New Roman"/>
                <w:sz w:val="22"/>
              </w:rPr>
              <w:t>352.3</w:t>
            </w:r>
          </w:p>
        </w:tc>
        <w:tc>
          <w:tcPr>
            <w:tcW w:type="dxa" w:w="1128"/>
          </w:tcPr>
          <w:p>
            <w:pPr>
              <w:spacing w:after="0"/>
              <w:jc w:val="left"/>
            </w:pPr>
            <w:r/>
            <w:r>
              <w:rPr>
                <w:rFonts w:ascii="Times New Roman" w:hAnsi="Times New Roman"/>
                <w:sz w:val="22"/>
              </w:rPr>
              <w:t>77,333</w:t>
            </w:r>
          </w:p>
        </w:tc>
        <w:tc>
          <w:tcPr>
            <w:tcW w:type="dxa" w:w="1128"/>
          </w:tcPr>
          <w:p>
            <w:pPr>
              <w:spacing w:after="0"/>
              <w:jc w:val="left"/>
            </w:pPr>
            <w:r/>
            <w:r>
              <w:rPr>
                <w:rFonts w:ascii="Times New Roman" w:hAnsi="Times New Roman"/>
                <w:sz w:val="22"/>
              </w:rPr>
              <w:t>87,638</w:t>
            </w:r>
          </w:p>
        </w:tc>
      </w:tr>
      <w:tr>
        <w:tc>
          <w:tcPr>
            <w:tcW w:type="dxa" w:w="1128"/>
          </w:tcPr>
          <w:p>
            <w:pPr>
              <w:spacing w:after="0"/>
              <w:jc w:val="left"/>
            </w:pPr>
            <w:r/>
            <w:r>
              <w:rPr>
                <w:rFonts w:ascii="Times New Roman" w:hAnsi="Times New Roman"/>
                <w:sz w:val="22"/>
              </w:rPr>
              <w:t>HGB, half of the filings flagged (top 50% of test scores)</w:t>
            </w:r>
          </w:p>
        </w:tc>
        <w:tc>
          <w:tcPr>
            <w:tcW w:type="dxa" w:w="1128"/>
          </w:tcPr>
          <w:p>
            <w:pPr>
              <w:spacing w:after="0"/>
              <w:jc w:val="left"/>
            </w:pPr>
            <w:r/>
            <w:r>
              <w:rPr>
                <w:rFonts w:ascii="Times New Roman" w:hAnsi="Times New Roman"/>
                <w:sz w:val="22"/>
              </w:rPr>
              <w:t>0.463</w:t>
            </w:r>
          </w:p>
        </w:tc>
        <w:tc>
          <w:tcPr>
            <w:tcW w:type="dxa" w:w="1128"/>
          </w:tcPr>
          <w:p>
            <w:pPr>
              <w:spacing w:after="0"/>
              <w:jc w:val="left"/>
            </w:pPr>
            <w:r/>
            <w:r>
              <w:rPr>
                <w:rFonts w:ascii="Times New Roman" w:hAnsi="Times New Roman"/>
                <w:sz w:val="22"/>
              </w:rPr>
              <w:t>500.0</w:t>
            </w:r>
          </w:p>
        </w:tc>
        <w:tc>
          <w:tcPr>
            <w:tcW w:type="dxa" w:w="1128"/>
          </w:tcPr>
          <w:p>
            <w:pPr>
              <w:spacing w:after="0"/>
              <w:jc w:val="left"/>
            </w:pPr>
            <w:r/>
            <w:r>
              <w:rPr>
                <w:rFonts w:ascii="Times New Roman" w:hAnsi="Times New Roman"/>
                <w:sz w:val="22"/>
              </w:rPr>
              <w:t>373.7</w:t>
            </w:r>
          </w:p>
        </w:tc>
        <w:tc>
          <w:tcPr>
            <w:tcW w:type="dxa" w:w="1128"/>
          </w:tcPr>
          <w:p>
            <w:pPr>
              <w:spacing w:after="0"/>
              <w:jc w:val="left"/>
            </w:pPr>
            <w:r/>
            <w:r>
              <w:rPr>
                <w:rFonts w:ascii="Times New Roman" w:hAnsi="Times New Roman"/>
                <w:sz w:val="22"/>
              </w:rPr>
              <w:t>112.2</w:t>
            </w:r>
          </w:p>
        </w:tc>
        <w:tc>
          <w:tcPr>
            <w:tcW w:type="dxa" w:w="1128"/>
          </w:tcPr>
          <w:p>
            <w:pPr>
              <w:spacing w:after="0"/>
              <w:jc w:val="left"/>
            </w:pPr>
            <w:r/>
            <w:r>
              <w:rPr>
                <w:rFonts w:ascii="Times New Roman" w:hAnsi="Times New Roman"/>
                <w:sz w:val="22"/>
              </w:rPr>
              <w:t>126.3</w:t>
            </w:r>
          </w:p>
        </w:tc>
        <w:tc>
          <w:tcPr>
            <w:tcW w:type="dxa" w:w="1128"/>
          </w:tcPr>
          <w:p>
            <w:pPr>
              <w:spacing w:after="0"/>
              <w:jc w:val="left"/>
            </w:pPr>
            <w:r/>
            <w:r>
              <w:rPr>
                <w:rFonts w:ascii="Times New Roman" w:hAnsi="Times New Roman"/>
                <w:sz w:val="22"/>
              </w:rPr>
              <w:t>70,148</w:t>
            </w:r>
          </w:p>
        </w:tc>
        <w:tc>
          <w:tcPr>
            <w:tcW w:type="dxa" w:w="1128"/>
          </w:tcPr>
          <w:p>
            <w:pPr>
              <w:spacing w:after="0"/>
              <w:jc w:val="left"/>
            </w:pPr>
            <w:r/>
            <w:r>
              <w:rPr>
                <w:rFonts w:ascii="Times New Roman" w:hAnsi="Times New Roman"/>
                <w:sz w:val="22"/>
              </w:rPr>
              <w:t>137,470</w:t>
            </w:r>
          </w:p>
        </w:tc>
      </w:tr>
      <w:tr>
        <w:tc>
          <w:tcPr>
            <w:tcW w:type="dxa" w:w="1128"/>
          </w:tcPr>
          <w:p>
            <w:pPr>
              <w:spacing w:after="0"/>
              <w:jc w:val="left"/>
            </w:pPr>
            <w:r/>
            <w:r>
              <w:rPr>
                <w:rFonts w:ascii="Times New Roman" w:hAnsi="Times New Roman"/>
                <w:sz w:val="22"/>
              </w:rPr>
              <w:t>HGB, five in six filings flagged (top 83.3% of test scores)</w:t>
            </w:r>
          </w:p>
        </w:tc>
        <w:tc>
          <w:tcPr>
            <w:tcW w:type="dxa" w:w="1128"/>
          </w:tcPr>
          <w:p>
            <w:pPr>
              <w:spacing w:after="0"/>
              <w:jc w:val="left"/>
            </w:pPr>
            <w:r/>
            <w:r>
              <w:rPr>
                <w:rFonts w:ascii="Times New Roman" w:hAnsi="Times New Roman"/>
                <w:sz w:val="22"/>
              </w:rPr>
              <w:t>0.157</w:t>
            </w:r>
          </w:p>
        </w:tc>
        <w:tc>
          <w:tcPr>
            <w:tcW w:type="dxa" w:w="1128"/>
          </w:tcPr>
          <w:p>
            <w:pPr>
              <w:spacing w:after="0"/>
              <w:jc w:val="left"/>
            </w:pPr>
            <w:r/>
            <w:r>
              <w:rPr>
                <w:rFonts w:ascii="Times New Roman" w:hAnsi="Times New Roman"/>
                <w:sz w:val="22"/>
              </w:rPr>
              <w:t>833.3</w:t>
            </w:r>
          </w:p>
        </w:tc>
        <w:tc>
          <w:tcPr>
            <w:tcW w:type="dxa" w:w="1128"/>
          </w:tcPr>
          <w:p>
            <w:pPr>
              <w:spacing w:after="0"/>
              <w:jc w:val="left"/>
            </w:pPr>
            <w:r/>
            <w:r>
              <w:rPr>
                <w:rFonts w:ascii="Times New Roman" w:hAnsi="Times New Roman"/>
                <w:sz w:val="22"/>
              </w:rPr>
              <w:t>470.4</w:t>
            </w:r>
          </w:p>
        </w:tc>
        <w:tc>
          <w:tcPr>
            <w:tcW w:type="dxa" w:w="1128"/>
          </w:tcPr>
          <w:p>
            <w:pPr>
              <w:spacing w:after="0"/>
              <w:jc w:val="left"/>
            </w:pPr>
            <w:r/>
            <w:r>
              <w:rPr>
                <w:rFonts w:ascii="Times New Roman" w:hAnsi="Times New Roman"/>
                <w:sz w:val="22"/>
              </w:rPr>
              <w:t>15.5</w:t>
            </w:r>
          </w:p>
        </w:tc>
        <w:tc>
          <w:tcPr>
            <w:tcW w:type="dxa" w:w="1128"/>
          </w:tcPr>
          <w:p>
            <w:pPr>
              <w:spacing w:after="0"/>
              <w:jc w:val="left"/>
            </w:pPr>
            <w:r/>
            <w:r>
              <w:rPr>
                <w:rFonts w:ascii="Times New Roman" w:hAnsi="Times New Roman"/>
                <w:sz w:val="22"/>
              </w:rPr>
              <w:t>362.9</w:t>
            </w:r>
          </w:p>
        </w:tc>
        <w:tc>
          <w:tcPr>
            <w:tcW w:type="dxa" w:w="1128"/>
          </w:tcPr>
          <w:p>
            <w:pPr>
              <w:spacing w:after="0"/>
              <w:jc w:val="left"/>
            </w:pPr>
            <w:r/>
            <w:r>
              <w:rPr>
                <w:rFonts w:ascii="Times New Roman" w:hAnsi="Times New Roman"/>
                <w:sz w:val="22"/>
              </w:rPr>
              <w:t>78,760</w:t>
            </w:r>
          </w:p>
        </w:tc>
        <w:tc>
          <w:tcPr>
            <w:tcW w:type="dxa" w:w="1128"/>
          </w:tcPr>
          <w:p>
            <w:pPr>
              <w:spacing w:after="0"/>
              <w:jc w:val="left"/>
            </w:pPr>
            <w:r/>
            <w:r>
              <w:rPr>
                <w:rFonts w:ascii="Times New Roman" w:hAnsi="Times New Roman"/>
                <w:sz w:val="22"/>
              </w:rPr>
              <w:t>88,031</w:t>
            </w:r>
          </w:p>
        </w:tc>
      </w:tr>
      <w:tr>
        <w:tc>
          <w:tcPr>
            <w:tcW w:type="dxa" w:w="1128"/>
          </w:tcPr>
          <w:p>
            <w:pPr>
              <w:spacing w:after="0"/>
              <w:jc w:val="left"/>
            </w:pPr>
            <w:r/>
            <w:r>
              <w:rPr>
                <w:rFonts w:ascii="Times New Roman" w:hAnsi="Times New Roman"/>
                <w:sz w:val="22"/>
              </w:rPr>
              <w:t>Lookup baseline, capacity threshold</w:t>
            </w:r>
          </w:p>
        </w:tc>
        <w:tc>
          <w:tcPr>
            <w:tcW w:type="dxa" w:w="1128"/>
          </w:tcPr>
          <w:p>
            <w:pPr>
              <w:spacing w:after="0"/>
              <w:jc w:val="left"/>
            </w:pPr>
            <w:r/>
            <w:r>
              <w:rPr>
                <w:rFonts w:ascii="Times New Roman" w:hAnsi="Times New Roman"/>
                <w:sz w:val="22"/>
              </w:rPr>
              <w:t>0.225</w:t>
            </w:r>
          </w:p>
        </w:tc>
        <w:tc>
          <w:tcPr>
            <w:tcW w:type="dxa" w:w="1128"/>
          </w:tcPr>
          <w:p>
            <w:pPr>
              <w:spacing w:after="0"/>
              <w:jc w:val="left"/>
            </w:pPr>
            <w:r/>
            <w:r>
              <w:rPr>
                <w:rFonts w:ascii="Times New Roman" w:hAnsi="Times New Roman"/>
                <w:sz w:val="22"/>
              </w:rPr>
              <w:t>752.5</w:t>
            </w:r>
          </w:p>
        </w:tc>
        <w:tc>
          <w:tcPr>
            <w:tcW w:type="dxa" w:w="1128"/>
          </w:tcPr>
          <w:p>
            <w:pPr>
              <w:spacing w:after="0"/>
              <w:jc w:val="left"/>
            </w:pPr>
            <w:r/>
            <w:r>
              <w:rPr>
                <w:rFonts w:ascii="Times New Roman" w:hAnsi="Times New Roman"/>
                <w:sz w:val="22"/>
              </w:rPr>
              <w:t>445.0</w:t>
            </w:r>
          </w:p>
        </w:tc>
        <w:tc>
          <w:tcPr>
            <w:tcW w:type="dxa" w:w="1128"/>
          </w:tcPr>
          <w:p>
            <w:pPr>
              <w:spacing w:after="0"/>
              <w:jc w:val="left"/>
            </w:pPr>
            <w:r/>
            <w:r>
              <w:rPr>
                <w:rFonts w:ascii="Times New Roman" w:hAnsi="Times New Roman"/>
                <w:sz w:val="22"/>
              </w:rPr>
              <w:t>40.8</w:t>
            </w:r>
          </w:p>
        </w:tc>
        <w:tc>
          <w:tcPr>
            <w:tcW w:type="dxa" w:w="1128"/>
          </w:tcPr>
          <w:p>
            <w:pPr>
              <w:spacing w:after="0"/>
              <w:jc w:val="left"/>
            </w:pPr>
            <w:r/>
            <w:r>
              <w:rPr>
                <w:rFonts w:ascii="Times New Roman" w:hAnsi="Times New Roman"/>
                <w:sz w:val="22"/>
              </w:rPr>
              <w:t>307.5</w:t>
            </w:r>
          </w:p>
        </w:tc>
        <w:tc>
          <w:tcPr>
            <w:tcW w:type="dxa" w:w="1128"/>
          </w:tcPr>
          <w:p>
            <w:pPr>
              <w:spacing w:after="0"/>
              <w:jc w:val="left"/>
            </w:pPr>
            <w:r/>
            <w:r>
              <w:rPr>
                <w:rFonts w:ascii="Times New Roman" w:hAnsi="Times New Roman"/>
                <w:sz w:val="22"/>
              </w:rPr>
              <w:t>77,835</w:t>
            </w:r>
          </w:p>
        </w:tc>
        <w:tc>
          <w:tcPr>
            <w:tcW w:type="dxa" w:w="1128"/>
          </w:tcPr>
          <w:p>
            <w:pPr>
              <w:spacing w:after="0"/>
              <w:jc w:val="left"/>
            </w:pPr>
            <w:r/>
            <w:r>
              <w:rPr>
                <w:rFonts w:ascii="Times New Roman" w:hAnsi="Times New Roman"/>
                <w:sz w:val="22"/>
              </w:rPr>
              <w:t>102,343</w:t>
            </w:r>
          </w:p>
        </w:tc>
      </w:tr>
      <w:tr>
        <w:tc>
          <w:tcPr>
            <w:tcW w:type="dxa" w:w="1128"/>
          </w:tcPr>
          <w:p>
            <w:pPr>
              <w:spacing w:after="0"/>
              <w:jc w:val="left"/>
            </w:pPr>
            <w:r/>
            <w:r>
              <w:rPr>
                <w:rFonts w:ascii="Times New Roman" w:hAnsi="Times New Roman"/>
                <w:sz w:val="22"/>
              </w:rPr>
              <w:t>Hand rule built for this study: nature is not a cut, dust in the eye or a scratch</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733.2</w:t>
            </w:r>
          </w:p>
        </w:tc>
        <w:tc>
          <w:tcPr>
            <w:tcW w:type="dxa" w:w="1128"/>
          </w:tcPr>
          <w:p>
            <w:pPr>
              <w:spacing w:after="0"/>
              <w:jc w:val="left"/>
            </w:pPr>
            <w:r/>
            <w:r>
              <w:rPr>
                <w:rFonts w:ascii="Times New Roman" w:hAnsi="Times New Roman"/>
                <w:sz w:val="22"/>
              </w:rPr>
              <w:t>436.4</w:t>
            </w:r>
          </w:p>
        </w:tc>
        <w:tc>
          <w:tcPr>
            <w:tcW w:type="dxa" w:w="1128"/>
          </w:tcPr>
          <w:p>
            <w:pPr>
              <w:spacing w:after="0"/>
              <w:jc w:val="left"/>
            </w:pPr>
            <w:r/>
            <w:r>
              <w:rPr>
                <w:rFonts w:ascii="Times New Roman" w:hAnsi="Times New Roman"/>
                <w:sz w:val="22"/>
              </w:rPr>
              <w:t>49.5</w:t>
            </w:r>
          </w:p>
        </w:tc>
        <w:tc>
          <w:tcPr>
            <w:tcW w:type="dxa" w:w="1128"/>
          </w:tcPr>
          <w:p>
            <w:pPr>
              <w:spacing w:after="0"/>
              <w:jc w:val="left"/>
            </w:pPr>
            <w:r/>
            <w:r>
              <w:rPr>
                <w:rFonts w:ascii="Times New Roman" w:hAnsi="Times New Roman"/>
                <w:sz w:val="22"/>
              </w:rPr>
              <w:t>296.8</w:t>
            </w:r>
          </w:p>
        </w:tc>
        <w:tc>
          <w:tcPr>
            <w:tcW w:type="dxa" w:w="1128"/>
          </w:tcPr>
          <w:p>
            <w:pPr>
              <w:spacing w:after="0"/>
              <w:jc w:val="left"/>
            </w:pPr>
            <w:r/>
            <w:r>
              <w:rPr>
                <w:rFonts w:ascii="Times New Roman" w:hAnsi="Times New Roman"/>
                <w:sz w:val="22"/>
              </w:rPr>
              <w:t>79,144</w:t>
            </w:r>
          </w:p>
        </w:tc>
        <w:tc>
          <w:tcPr>
            <w:tcW w:type="dxa" w:w="1128"/>
          </w:tcPr>
          <w:p>
            <w:pPr>
              <w:spacing w:after="0"/>
              <w:jc w:val="left"/>
            </w:pPr>
            <w:r/>
            <w:r>
              <w:rPr>
                <w:rFonts w:ascii="Times New Roman" w:hAnsi="Times New Roman"/>
                <w:sz w:val="22"/>
              </w:rPr>
              <w:t>108,819</w:t>
            </w:r>
          </w:p>
        </w:tc>
      </w:tr>
      <w:tr>
        <w:tc>
          <w:tcPr>
            <w:tcW w:type="dxa" w:w="1128"/>
          </w:tcPr>
          <w:p>
            <w:pPr>
              <w:spacing w:after="0"/>
              <w:jc w:val="left"/>
            </w:pPr>
            <w:r/>
            <w:r>
              <w:rPr>
                <w:rFonts w:ascii="Times New Roman" w:hAnsi="Times New Roman"/>
                <w:sz w:val="22"/>
              </w:rPr>
              <w:t>Review everything</w:t>
            </w:r>
          </w:p>
        </w:tc>
        <w:tc>
          <w:tcPr>
            <w:tcW w:type="dxa" w:w="1128"/>
          </w:tcPr>
          <w:p>
            <w:pPr>
              <w:spacing w:after="0"/>
              <w:jc w:val="left"/>
            </w:pPr>
            <w:r/>
            <w:r>
              <w:rPr>
                <w:rFonts w:ascii="Times New Roman" w:hAnsi="Times New Roman"/>
                <w:sz w:val="22"/>
              </w:rPr>
              <w:t>not applicable</w:t>
            </w:r>
          </w:p>
        </w:tc>
        <w:tc>
          <w:tcPr>
            <w:tcW w:type="dxa" w:w="1128"/>
          </w:tcPr>
          <w:p>
            <w:pPr>
              <w:spacing w:after="0"/>
              <w:jc w:val="left"/>
            </w:pPr>
            <w:r/>
            <w:r>
              <w:rPr>
                <w:rFonts w:ascii="Times New Roman" w:hAnsi="Times New Roman"/>
                <w:sz w:val="22"/>
              </w:rPr>
              <w:t>1,000.0</w:t>
            </w:r>
          </w:p>
        </w:tc>
        <w:tc>
          <w:tcPr>
            <w:tcW w:type="dxa" w:w="1128"/>
          </w:tcPr>
          <w:p>
            <w:pPr>
              <w:spacing w:after="0"/>
              <w:jc w:val="left"/>
            </w:pPr>
            <w:r/>
            <w:r>
              <w:rPr>
                <w:rFonts w:ascii="Times New Roman" w:hAnsi="Times New Roman"/>
                <w:sz w:val="22"/>
              </w:rPr>
              <w:t>485.9</w:t>
            </w:r>
          </w:p>
        </w:tc>
        <w:tc>
          <w:tcPr>
            <w:tcW w:type="dxa" w:w="1128"/>
          </w:tcPr>
          <w:p>
            <w:pPr>
              <w:spacing w:after="0"/>
              <w:jc w:val="left"/>
            </w:pPr>
            <w:r/>
            <w:r>
              <w:rPr>
                <w:rFonts w:ascii="Times New Roman" w:hAnsi="Times New Roman"/>
                <w:sz w:val="22"/>
              </w:rPr>
              <w:t>0.0</w:t>
            </w:r>
          </w:p>
        </w:tc>
        <w:tc>
          <w:tcPr>
            <w:tcW w:type="dxa" w:w="1128"/>
          </w:tcPr>
          <w:p>
            <w:pPr>
              <w:spacing w:after="0"/>
              <w:jc w:val="left"/>
            </w:pPr>
            <w:r/>
            <w:r>
              <w:rPr>
                <w:rFonts w:ascii="Times New Roman" w:hAnsi="Times New Roman"/>
                <w:sz w:val="22"/>
              </w:rPr>
              <w:t>514.1</w:t>
            </w:r>
          </w:p>
        </w:tc>
        <w:tc>
          <w:tcPr>
            <w:tcW w:type="dxa" w:w="1128"/>
          </w:tcPr>
          <w:p>
            <w:pPr>
              <w:spacing w:after="0"/>
              <w:jc w:val="left"/>
            </w:pPr>
            <w:r/>
            <w:r>
              <w:rPr>
                <w:rFonts w:ascii="Times New Roman" w:hAnsi="Times New Roman"/>
                <w:sz w:val="22"/>
              </w:rPr>
              <w:t>102,825</w:t>
            </w:r>
          </w:p>
        </w:tc>
        <w:tc>
          <w:tcPr>
            <w:tcW w:type="dxa" w:w="1128"/>
          </w:tcPr>
          <w:p>
            <w:pPr>
              <w:spacing w:after="0"/>
              <w:jc w:val="left"/>
            </w:pPr>
            <w:r/>
            <w:r>
              <w:rPr>
                <w:rFonts w:ascii="Times New Roman" w:hAnsi="Times New Roman"/>
                <w:sz w:val="22"/>
              </w:rPr>
              <w:t>102,825</w:t>
            </w:r>
          </w:p>
        </w:tc>
      </w:tr>
    </w:tbl>
    <w:p>
      <w:pPr>
        <w:spacing w:after="80"/>
      </w:pPr>
    </w:p>
    <w:p>
      <w:r>
        <w:rPr>
          <w:rFonts w:ascii="Times New Roman" w:hAnsi="Times New Roman"/>
          <w:sz w:val="24"/>
        </w:rPr>
        <w:t>Nature, body part and sector lead the permutation importance (Figure 18), and their joint cells explain about half of HGB's lead over logistic regression. A one-hot block for the joint cell raises the cross-validated PR-AUC of logistic regression from 0.820 to 0.829, against 0.838 for HGB (Table 21). Logistic regression assumes additive log-odds, so it forms those cells only when they are supplied. Trees also rank skewed inputs, follow curved size effects and isolate each structural "none" level, which fits the rest of the gap and the lead of tree ensembles on tabular benchmarks (Grinsztajn et al., 2022).</w:t>
      </w:r>
    </w:p>
    <w:p>
      <w:r>
        <w:rPr>
          <w:rFonts w:ascii="Times New Roman" w:hAnsi="Times New Roman"/>
          <w:sz w:val="24"/>
        </w:rPr>
        <w:t>The estimates hold under resampling and harder splits (Table 21). The fold standard deviation of PR-AUC is 0.003, and the clustered bootstrap interval of test PR-AUC clears the S2 target. The Wilcoxon test does not confirm the corrected fold test against the MLP, so that lead is thin. Unseen mines and 2020-2025 reports move PR-AUC by under 0.01, and in 2020-2025 recall holds in both sectors while specificity falls below plan. S5 is missed by 0.005, so a team reviewing half the filings catches fewer cases than planned.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Uncertainty, generalisability and mechanism checks of HGB, covering cross-validation on the training split, 95% percentile bootstrap intervals and paired tests on the held-out test set, results by sector, a temporal split, a mine-grouped split, the reports still open at filing and logistic regression given the lookup baseline's joint cell; the capacity threshold is the out-of-fold threshold for specificity 0.40, and the last two checks were run after the test scoring and changed no choice. Source: author's analysis of MSHA open data.</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E7E6E6"/>
          </w:tcPr>
          <w:p>
            <w:pPr>
              <w:jc w:val="left"/>
            </w:pPr>
            <w:r>
              <w:rPr>
                <w:b/>
              </w:rPr>
            </w:r>
            <w:r>
              <w:rPr>
                <w:rFonts w:ascii="Times New Roman" w:hAnsi="Times New Roman"/>
                <w:b/>
                <w:sz w:val="22"/>
              </w:rPr>
              <w:t>Check</w:t>
            </w:r>
          </w:p>
        </w:tc>
        <w:tc>
          <w:tcPr>
            <w:tcW w:type="dxa" w:w="3009"/>
            <w:shd w:val="clear" w:color="auto" w:fill="E7E6E6"/>
          </w:tcPr>
          <w:p>
            <w:pPr>
              <w:jc w:val="left"/>
            </w:pPr>
            <w:r>
              <w:rPr>
                <w:b/>
              </w:rPr>
            </w:r>
            <w:r>
              <w:rPr>
                <w:rFonts w:ascii="Times New Roman" w:hAnsi="Times New Roman"/>
                <w:b/>
                <w:sz w:val="22"/>
              </w:rPr>
              <w:t>Data and protocol</w:t>
            </w:r>
          </w:p>
        </w:tc>
        <w:tc>
          <w:tcPr>
            <w:tcW w:type="dxa" w:w="3009"/>
            <w:shd w:val="clear" w:color="auto" w:fill="E7E6E6"/>
          </w:tcPr>
          <w:p>
            <w:pPr>
              <w:jc w:val="left"/>
            </w:pPr>
            <w:r>
              <w:rPr>
                <w:b/>
              </w:rPr>
            </w:r>
            <w:r>
              <w:rPr>
                <w:rFonts w:ascii="Times New Roman" w:hAnsi="Times New Roman"/>
                <w:b/>
                <w:sz w:val="22"/>
              </w:rPr>
              <w:t>Result for HGB</w:t>
            </w:r>
          </w:p>
        </w:tc>
      </w:tr>
      <w:tr>
        <w:tc>
          <w:tcPr>
            <w:tcW w:type="dxa" w:w="3009"/>
          </w:tcPr>
          <w:p>
            <w:pPr>
              <w:spacing w:after="0"/>
              <w:jc w:val="left"/>
            </w:pPr>
            <w:r/>
            <w:r>
              <w:rPr>
                <w:rFonts w:ascii="Times New Roman" w:hAnsi="Times New Roman"/>
                <w:sz w:val="22"/>
              </w:rPr>
              <w:t>Cross-validation</w:t>
            </w:r>
          </w:p>
        </w:tc>
        <w:tc>
          <w:tcPr>
            <w:tcW w:type="dxa" w:w="3009"/>
          </w:tcPr>
          <w:p>
            <w:pPr>
              <w:spacing w:after="0"/>
              <w:jc w:val="left"/>
            </w:pPr>
            <w:r/>
            <w:r>
              <w:rPr>
                <w:rFonts w:ascii="Times New Roman" w:hAnsi="Times New Roman"/>
                <w:sz w:val="22"/>
              </w:rPr>
              <w:t>5-fold mine-year-grouped CV on the 81,289 training rows</w:t>
            </w:r>
          </w:p>
        </w:tc>
        <w:tc>
          <w:tcPr>
            <w:tcW w:type="dxa" w:w="3009"/>
          </w:tcPr>
          <w:p>
            <w:pPr>
              <w:spacing w:after="0"/>
              <w:jc w:val="left"/>
            </w:pPr>
            <w:r/>
            <w:r>
              <w:rPr>
                <w:rFonts w:ascii="Times New Roman" w:hAnsi="Times New Roman"/>
                <w:sz w:val="22"/>
              </w:rPr>
              <w:t>PR-AUC 0.838 (SD 0.003, folds 0.834 to 0.841); ROC-AUC 0.839 (SD 0.002)</w:t>
            </w:r>
          </w:p>
        </w:tc>
      </w:tr>
      <w:tr>
        <w:tc>
          <w:tcPr>
            <w:tcW w:type="dxa" w:w="3009"/>
          </w:tcPr>
          <w:p>
            <w:pPr>
              <w:spacing w:after="0"/>
              <w:jc w:val="left"/>
            </w:pPr>
            <w:r/>
            <w:r>
              <w:rPr>
                <w:rFonts w:ascii="Times New Roman" w:hAnsi="Times New Roman"/>
                <w:sz w:val="22"/>
              </w:rPr>
              <w:t>Bootstrap intervals</w:t>
            </w:r>
          </w:p>
        </w:tc>
        <w:tc>
          <w:tcPr>
            <w:tcW w:type="dxa" w:w="3009"/>
          </w:tcPr>
          <w:p>
            <w:pPr>
              <w:spacing w:after="0"/>
              <w:jc w:val="left"/>
            </w:pPr>
            <w:r/>
            <w:r>
              <w:rPr>
                <w:rFonts w:ascii="Times New Roman" w:hAnsi="Times New Roman"/>
                <w:sz w:val="22"/>
              </w:rPr>
              <w:t>1,000 resamples of the 20,320 test rows and of their 6,724 mine-years</w:t>
            </w:r>
          </w:p>
        </w:tc>
        <w:tc>
          <w:tcPr>
            <w:tcW w:type="dxa" w:w="3009"/>
          </w:tcPr>
          <w:p>
            <w:pPr>
              <w:spacing w:after="0"/>
              <w:jc w:val="left"/>
            </w:pPr>
            <w:r/>
            <w:r>
              <w:rPr>
                <w:rFonts w:ascii="Times New Roman" w:hAnsi="Times New Roman"/>
                <w:sz w:val="22"/>
              </w:rPr>
              <w:t>PR-AUC 0.841 (rows 0.835 to 0.848; mine-years 0.825 to 0.856); ROC-AUC 0.843 (mine-years 0.835 to 0.851); recall at the capacity threshold 0.943 (mine-years 0.938 to 0.949)</w:t>
            </w:r>
          </w:p>
        </w:tc>
      </w:tr>
      <w:tr>
        <w:tc>
          <w:tcPr>
            <w:tcW w:type="dxa" w:w="3009"/>
          </w:tcPr>
          <w:p>
            <w:pPr>
              <w:spacing w:after="0"/>
              <w:jc w:val="left"/>
            </w:pPr>
            <w:r/>
            <w:r>
              <w:rPr>
                <w:rFonts w:ascii="Times New Roman" w:hAnsi="Times New Roman"/>
                <w:sz w:val="22"/>
              </w:rPr>
              <w:t>Paired fold test against the MLP</w:t>
            </w:r>
          </w:p>
        </w:tc>
        <w:tc>
          <w:tcPr>
            <w:tcW w:type="dxa" w:w="3009"/>
          </w:tcPr>
          <w:p>
            <w:pPr>
              <w:spacing w:after="0"/>
              <w:jc w:val="left"/>
            </w:pPr>
            <w:r/>
            <w:r>
              <w:rPr>
                <w:rFonts w:ascii="Times New Roman" w:hAnsi="Times New Roman"/>
                <w:sz w:val="22"/>
              </w:rPr>
              <w:t>PR-AUC on the same five CV folds</w:t>
            </w:r>
          </w:p>
        </w:tc>
        <w:tc>
          <w:tcPr>
            <w:tcW w:type="dxa" w:w="3009"/>
          </w:tcPr>
          <w:p>
            <w:pPr>
              <w:spacing w:after="0"/>
              <w:jc w:val="left"/>
            </w:pPr>
            <w:r/>
            <w:r>
              <w:rPr>
                <w:rFonts w:ascii="Times New Roman" w:hAnsi="Times New Roman"/>
                <w:sz w:val="22"/>
              </w:rPr>
              <w:t>mean difference 0.005; corrected t-test p = 0.044; Wilcoxon signed-rank p = 0.0625</w:t>
            </w:r>
          </w:p>
        </w:tc>
      </w:tr>
      <w:tr>
        <w:tc>
          <w:tcPr>
            <w:tcW w:type="dxa" w:w="3009"/>
          </w:tcPr>
          <w:p>
            <w:pPr>
              <w:spacing w:after="0"/>
              <w:jc w:val="left"/>
            </w:pPr>
            <w:r/>
            <w:r>
              <w:rPr>
                <w:rFonts w:ascii="Times New Roman" w:hAnsi="Times New Roman"/>
                <w:sz w:val="22"/>
              </w:rPr>
              <w:t>McNemar test against the lookup baseline</w:t>
            </w:r>
          </w:p>
        </w:tc>
        <w:tc>
          <w:tcPr>
            <w:tcW w:type="dxa" w:w="3009"/>
          </w:tcPr>
          <w:p>
            <w:pPr>
              <w:spacing w:after="0"/>
              <w:jc w:val="left"/>
            </w:pPr>
            <w:r/>
            <w:r>
              <w:rPr>
                <w:rFonts w:ascii="Times New Roman" w:hAnsi="Times New Roman"/>
                <w:sz w:val="22"/>
              </w:rPr>
              <w:t>test set at the capacity threshold, row-wise and clustered by mine-year</w:t>
            </w:r>
          </w:p>
        </w:tc>
        <w:tc>
          <w:tcPr>
            <w:tcW w:type="dxa" w:w="3009"/>
          </w:tcPr>
          <w:p>
            <w:pPr>
              <w:spacing w:after="0"/>
              <w:jc w:val="left"/>
            </w:pPr>
            <w:r/>
            <w:r>
              <w:rPr>
                <w:rFonts w:ascii="Times New Roman" w:hAnsi="Times New Roman"/>
                <w:sz w:val="22"/>
              </w:rPr>
              <w:t>p &lt; 0.001 in both forms (clustered chi-square 24.4, 1 df)</w:t>
            </w:r>
          </w:p>
        </w:tc>
      </w:tr>
      <w:tr>
        <w:tc>
          <w:tcPr>
            <w:tcW w:type="dxa" w:w="3009"/>
          </w:tcPr>
          <w:p>
            <w:pPr>
              <w:spacing w:after="0"/>
              <w:jc w:val="left"/>
            </w:pPr>
            <w:r/>
            <w:r>
              <w:rPr>
                <w:rFonts w:ascii="Times New Roman" w:hAnsi="Times New Roman"/>
                <w:sz w:val="22"/>
              </w:rPr>
              <w:t>By sector</w:t>
            </w:r>
          </w:p>
        </w:tc>
        <w:tc>
          <w:tcPr>
            <w:tcW w:type="dxa" w:w="3009"/>
          </w:tcPr>
          <w:p>
            <w:pPr>
              <w:spacing w:after="0"/>
              <w:jc w:val="left"/>
            </w:pPr>
            <w:r/>
            <w:r>
              <w:rPr>
                <w:rFonts w:ascii="Times New Roman" w:hAnsi="Times New Roman"/>
                <w:sz w:val="22"/>
              </w:rPr>
              <w:t>test set at the capacity threshold 0.210</w:t>
            </w:r>
          </w:p>
        </w:tc>
        <w:tc>
          <w:tcPr>
            <w:tcW w:type="dxa" w:w="3009"/>
          </w:tcPr>
          <w:p>
            <w:pPr>
              <w:spacing w:after="0"/>
              <w:jc w:val="left"/>
            </w:pPr>
            <w:r/>
            <w:r>
              <w:rPr>
                <w:rFonts w:ascii="Times New Roman" w:hAnsi="Times New Roman"/>
                <w:sz w:val="22"/>
              </w:rPr>
              <w:t>coal (n = 8,270) recall 0.971, specificity 0.397, precision 0.740; metal and non-metal (n = 12,050) recall 0.911, specificity 0.406, precision 0.486</w:t>
            </w:r>
          </w:p>
        </w:tc>
      </w:tr>
      <w:tr>
        <w:tc>
          <w:tcPr>
            <w:tcW w:type="dxa" w:w="3009"/>
          </w:tcPr>
          <w:p>
            <w:pPr>
              <w:spacing w:after="0"/>
              <w:jc w:val="left"/>
            </w:pPr>
            <w:r/>
            <w:r>
              <w:rPr>
                <w:rFonts w:ascii="Times New Roman" w:hAnsi="Times New Roman"/>
                <w:sz w:val="22"/>
              </w:rPr>
              <w:t>Temporal split</w:t>
            </w:r>
          </w:p>
        </w:tc>
        <w:tc>
          <w:tcPr>
            <w:tcW w:type="dxa" w:w="3009"/>
          </w:tcPr>
          <w:p>
            <w:pPr>
              <w:spacing w:after="0"/>
              <w:jc w:val="left"/>
            </w:pPr>
            <w:r/>
            <w:r>
              <w:rPr>
                <w:rFonts w:ascii="Times New Roman" w:hAnsi="Times New Roman"/>
                <w:sz w:val="22"/>
              </w:rPr>
              <w:t>re-tuned on 2010-2019 (71,877 rows) with thresholds from its out-of-fold probabilities, scored on 2020-2025 (29,732 rows)</w:t>
            </w:r>
          </w:p>
        </w:tc>
        <w:tc>
          <w:tcPr>
            <w:tcW w:type="dxa" w:w="3009"/>
          </w:tcPr>
          <w:p>
            <w:pPr>
              <w:spacing w:after="0"/>
              <w:jc w:val="left"/>
            </w:pPr>
            <w:r/>
            <w:r>
              <w:rPr>
                <w:rFonts w:ascii="Times New Roman" w:hAnsi="Times New Roman"/>
                <w:sz w:val="22"/>
              </w:rPr>
              <w:t>ROC-AUC 0.834, PR-AUC 0.843; recall 0.944 and specificity 0.377 at the capacity threshold; coal recall 0.973 and Brier 0.125; metal and non-metal recall 0.918 and Brier 0.187</w:t>
            </w:r>
          </w:p>
        </w:tc>
      </w:tr>
      <w:tr>
        <w:tc>
          <w:tcPr>
            <w:tcW w:type="dxa" w:w="3009"/>
          </w:tcPr>
          <w:p>
            <w:pPr>
              <w:spacing w:after="0"/>
              <w:jc w:val="left"/>
            </w:pPr>
            <w:r/>
            <w:r>
              <w:rPr>
                <w:rFonts w:ascii="Times New Roman" w:hAnsi="Times New Roman"/>
                <w:sz w:val="22"/>
              </w:rPr>
              <w:t>Mine-grouped split</w:t>
            </w:r>
          </w:p>
        </w:tc>
        <w:tc>
          <w:tcPr>
            <w:tcW w:type="dxa" w:w="3009"/>
          </w:tcPr>
          <w:p>
            <w:pPr>
              <w:spacing w:after="0"/>
              <w:jc w:val="left"/>
            </w:pPr>
            <w:r/>
            <w:r>
              <w:rPr>
                <w:rFonts w:ascii="Times New Roman" w:hAnsi="Times New Roman"/>
                <w:sz w:val="22"/>
              </w:rPr>
              <w:t>no mine on both sides (8,303 mines; 20,289 test rows), primary hyperparameters</w:t>
            </w:r>
          </w:p>
        </w:tc>
        <w:tc>
          <w:tcPr>
            <w:tcW w:type="dxa" w:w="3009"/>
          </w:tcPr>
          <w:p>
            <w:pPr>
              <w:spacing w:after="0"/>
              <w:jc w:val="left"/>
            </w:pPr>
            <w:r/>
            <w:r>
              <w:rPr>
                <w:rFonts w:ascii="Times New Roman" w:hAnsi="Times New Roman"/>
                <w:sz w:val="22"/>
              </w:rPr>
              <w:t>ROC-AUC 0.838, PR-AUC 0.836, recall 0.936 at the capacity threshold, recall 0.762 at a 50% flag rate</w:t>
            </w:r>
          </w:p>
        </w:tc>
      </w:tr>
      <w:tr>
        <w:tc>
          <w:tcPr>
            <w:tcW w:type="dxa" w:w="3009"/>
          </w:tcPr>
          <w:p>
            <w:pPr>
              <w:spacing w:after="0"/>
              <w:jc w:val="left"/>
            </w:pPr>
            <w:r/>
            <w:r>
              <w:rPr>
                <w:rFonts w:ascii="Times New Roman" w:hAnsi="Times New Roman"/>
                <w:sz w:val="22"/>
              </w:rPr>
              <w:t>Feature variants</w:t>
            </w:r>
          </w:p>
        </w:tc>
        <w:tc>
          <w:tcPr>
            <w:tcW w:type="dxa" w:w="3009"/>
          </w:tcPr>
          <w:p>
            <w:pPr>
              <w:spacing w:after="0"/>
              <w:jc w:val="left"/>
            </w:pPr>
            <w:r/>
            <w:r>
              <w:rPr>
                <w:rFonts w:ascii="Times New Roman" w:hAnsi="Times New Roman"/>
                <w:sz w:val="22"/>
              </w:rPr>
              <w:t>primary split with fixed hyperparameters: immed_reportable set to 0; status_103i_at_accident constant; 175 amputation test rows (nature code 100) removed</w:t>
            </w:r>
          </w:p>
        </w:tc>
        <w:tc>
          <w:tcPr>
            <w:tcW w:type="dxa" w:w="3009"/>
          </w:tcPr>
          <w:p>
            <w:pPr>
              <w:spacing w:after="0"/>
              <w:jc w:val="left"/>
            </w:pPr>
            <w:r/>
            <w:r>
              <w:rPr>
                <w:rFonts w:ascii="Times New Roman" w:hAnsi="Times New Roman"/>
                <w:sz w:val="22"/>
              </w:rPr>
              <w:t>PR-AUC 0.840, 0.841 and 0.834 against 0.841</w:t>
            </w:r>
          </w:p>
        </w:tc>
      </w:tr>
      <w:tr>
        <w:tc>
          <w:tcPr>
            <w:tcW w:type="dxa" w:w="3009"/>
          </w:tcPr>
          <w:p>
            <w:pPr>
              <w:spacing w:after="0"/>
              <w:jc w:val="left"/>
            </w:pPr>
            <w:r/>
            <w:r>
              <w:rPr>
                <w:rFonts w:ascii="Times New Roman" w:hAnsi="Times New Roman"/>
                <w:sz w:val="22"/>
              </w:rPr>
              <w:t>S5, recall at a 50% flag rate</w:t>
            </w:r>
          </w:p>
        </w:tc>
        <w:tc>
          <w:tcPr>
            <w:tcW w:type="dxa" w:w="3009"/>
          </w:tcPr>
          <w:p>
            <w:pPr>
              <w:spacing w:after="0"/>
              <w:jc w:val="left"/>
            </w:pPr>
            <w:r/>
            <w:r>
              <w:rPr>
                <w:rFonts w:ascii="Times New Roman" w:hAnsi="Times New Roman"/>
                <w:sz w:val="22"/>
              </w:rPr>
              <w:t>out-of-fold threshold 0.456, test flag rate 50.6%; and the top 50% of test scores, the planned form</w:t>
            </w:r>
          </w:p>
        </w:tc>
        <w:tc>
          <w:tcPr>
            <w:tcW w:type="dxa" w:w="3009"/>
          </w:tcPr>
          <w:p>
            <w:pPr>
              <w:spacing w:after="0"/>
              <w:jc w:val="left"/>
            </w:pPr>
            <w:r/>
            <w:r>
              <w:rPr>
                <w:rFonts w:ascii="Times New Roman" w:hAnsi="Times New Roman"/>
                <w:sz w:val="22"/>
              </w:rPr>
              <w:t>0.775 against the 0.78 target (missed); MLP 0.790 at a 52.5% flag rate; top half of test scores: HGB 0.769, MLP 0.768</w:t>
            </w:r>
          </w:p>
        </w:tc>
      </w:tr>
      <w:tr>
        <w:tc>
          <w:tcPr>
            <w:tcW w:type="dxa" w:w="3009"/>
          </w:tcPr>
          <w:p>
            <w:pPr>
              <w:spacing w:after="0"/>
              <w:jc w:val="left"/>
            </w:pPr>
            <w:r/>
            <w:r>
              <w:rPr>
                <w:rFonts w:ascii="Times New Roman" w:hAnsi="Times New Roman"/>
                <w:sz w:val="22"/>
              </w:rPr>
              <w:t>Reports still open at filing</w:t>
            </w:r>
          </w:p>
        </w:tc>
        <w:tc>
          <w:tcPr>
            <w:tcW w:type="dxa" w:w="3009"/>
          </w:tcPr>
          <w:p>
            <w:pPr>
              <w:spacing w:after="0"/>
              <w:jc w:val="left"/>
            </w:pPr>
            <w:r/>
            <w:r>
              <w:rPr>
                <w:rFonts w:ascii="Times New Roman" w:hAnsi="Times New Roman"/>
                <w:sz w:val="22"/>
              </w:rPr>
              <w:t>45,679 in-scope reports (45.0%) were filed once the worker was back at work, lost-time in 20.4% against 71.6% of the rest; test reports with a return-to-work date after the filing date or none (11,290, prevalence 0.712), thresholds unchanged</w:t>
            </w:r>
          </w:p>
        </w:tc>
        <w:tc>
          <w:tcPr>
            <w:tcW w:type="dxa" w:w="3009"/>
          </w:tcPr>
          <w:p>
            <w:pPr>
              <w:spacing w:after="0"/>
              <w:jc w:val="left"/>
            </w:pPr>
            <w:r/>
            <w:r>
              <w:rPr>
                <w:rFonts w:ascii="Times New Roman" w:hAnsi="Times New Roman"/>
                <w:sz w:val="22"/>
              </w:rPr>
              <w:t>ROC-AUC 0.812, PR-AUC 0.920; recall 0.950 and specificity 0.212 at the capacity threshold; reports filed after the return (9,030, prevalence 0.203): ROC-AUC 0.828, recall 0.914</w:t>
            </w:r>
          </w:p>
        </w:tc>
      </w:tr>
      <w:tr>
        <w:tc>
          <w:tcPr>
            <w:tcW w:type="dxa" w:w="3009"/>
          </w:tcPr>
          <w:p>
            <w:pPr>
              <w:spacing w:after="0"/>
              <w:jc w:val="left"/>
            </w:pPr>
            <w:r/>
            <w:r>
              <w:rPr>
                <w:rFonts w:ascii="Times New Roman" w:hAnsi="Times New Roman"/>
                <w:sz w:val="22"/>
              </w:rPr>
              <w:t>Logistic regression with the joint cell</w:t>
            </w:r>
          </w:p>
        </w:tc>
        <w:tc>
          <w:tcPr>
            <w:tcW w:type="dxa" w:w="3009"/>
          </w:tcPr>
          <w:p>
            <w:pPr>
              <w:spacing w:after="0"/>
              <w:jc w:val="left"/>
            </w:pPr>
            <w:r/>
            <w:r>
              <w:rPr>
                <w:rFonts w:ascii="Times New Roman" w:hAnsi="Times New Roman"/>
                <w:sz w:val="22"/>
              </w:rPr>
              <w:t>the selected logistic regression refitted with a one-hot block for the nature x body part x sector cell (724 columns), same five folds and test rows</w:t>
            </w:r>
          </w:p>
        </w:tc>
        <w:tc>
          <w:tcPr>
            <w:tcW w:type="dxa" w:w="3009"/>
          </w:tcPr>
          <w:p>
            <w:pPr>
              <w:spacing w:after="0"/>
              <w:jc w:val="left"/>
            </w:pPr>
            <w:r/>
            <w:r>
              <w:rPr>
                <w:rFonts w:ascii="Times New Roman" w:hAnsi="Times New Roman"/>
                <w:sz w:val="22"/>
              </w:rPr>
              <w:t>CV PR-AUC 0.829 (SD 0.004) against 0.820 without the block and 0.838 for HGB; test PR-AUC 0.833 against 0.825</w:t>
            </w:r>
          </w:p>
        </w:tc>
      </w:tr>
    </w:tbl>
    <w:p>
      <w:pPr>
        <w:spacing w:after="80"/>
      </w:pPr>
    </w:p>
    <w:p>
      <w:r>
        <w:rPr>
          <w:rFonts w:ascii="Times New Roman" w:hAnsi="Times New Roman"/>
          <w:sz w:val="24"/>
        </w:rPr>
        <w:t>The question of Section 1.1 is answered yes for an insurer that reviews about three cases in four, the load at which the score outranks both hand-built references. I recommend that insurers and self-insured operators score daily filings and review them in score order down to capacity, from the 0.210 threshold. An adjuster should decide every flagged claim, and the score should not rank mines for inspection.</w:t>
      </w:r>
    </w:p>
    <w:p>
      <w:pPr>
        <w:pStyle w:val="Heading2"/>
      </w:pPr>
      <w:r>
        <w:rPr>
          <w:rFonts w:ascii="Times New Roman" w:hAnsi="Times New Roman"/>
          <w:b/>
          <w:color w:val="000000"/>
          <w:sz w:val="28"/>
        </w:rPr>
        <w:t>5.3 Limitations</w:t>
      </w:r>
    </w:p>
    <w:p>
      <w:r>
        <w:rPr>
          <w:rFonts w:ascii="Times New Roman" w:hAnsi="Times New Roman"/>
          <w:sz w:val="24"/>
        </w:rPr>
        <w:t>The data are operator self-reports under Part 50, so the findings cover reported injuries and inherit under-reporting that varies by mine and year. The label also records each employer's restricted-duty practice, which the model learns with severity. Contractor hours are absent from the production file, so exposure is understated at contractor-heavy mines, and Mines attributes are a snapshot that can post-date the accident. About one in twenty late-2025 reports may still be re-coded. Test metrics also pool reports filed after the worker's return, and ranking is weaker on the open ones (Table 21).</w:t>
      </w:r>
    </w:p>
    <w:p>
      <w:r>
        <w:rPr>
          <w:rFonts w:ascii="Times New Roman" w:hAnsi="Times New Roman"/>
          <w:sz w:val="24"/>
        </w:rPr>
        <w:t>Grids were small, though wider ones tried after testing gained at most 0.002; the test set was one fold, and the SVM and KNN used subsamples. No external data set was scored, and the cost comparison rests on an assumed USD 4,000 per missed case (Table 1). SHAP values cover 500 rows, and the application retrains on reduced grids, so its live numbers differ from the full run.</w:t>
      </w:r>
    </w:p>
    <w:p>
      <w:pPr>
        <w:pStyle w:val="Heading2"/>
      </w:pPr>
      <w:r>
        <w:rPr>
          <w:rFonts w:ascii="Times New Roman" w:hAnsi="Times New Roman"/>
          <w:b/>
          <w:color w:val="000000"/>
          <w:sz w:val="28"/>
        </w:rPr>
        <w:t>5.4 Future work</w:t>
      </w:r>
    </w:p>
    <w:p>
      <w:r>
        <w:rPr>
          <w:rFonts w:ascii="Times New Roman" w:hAnsi="Times New Roman"/>
          <w:sz w:val="24"/>
        </w:rPr>
        <w:t>External validation on closed 2026 reports, with the thresholds fixed here, comes first. Sector-level monitoring of the Brier score and review rate should trigger a refit at the S6 limit. An insurer's closed claims could then price a missed case and replace the assumed ratio. Narrative text with post-filing leakage controls, and a DART model, come last. Uzbekistan publishes only aggregate accident statistics (Kun.uz, 2026), so transfer there would first need case-level reports with a degree-of-injury code.</w:t>
      </w:r>
    </w:p>
    <w:p>
      <w:pPr>
        <w:pStyle w:val="Heading2"/>
      </w:pPr>
      <w:r>
        <w:rPr>
          <w:rFonts w:ascii="Times New Roman" w:hAnsi="Times New Roman"/>
          <w:b/>
          <w:color w:val="000000"/>
          <w:sz w:val="28"/>
        </w:rPr>
        <w:t>5.5 Ethical considerations</w:t>
      </w:r>
    </w:p>
    <w:p>
      <w:r>
        <w:rPr>
          <w:rFonts w:ascii="Times New Roman" w:hAnsi="Times New Roman"/>
          <w:sz w:val="24"/>
        </w:rPr>
        <w:t>The MSHA files are public-domain US government works (Office of the Law Revision Counsel, 2020), credited to the US Department of Labor as requested (US Department of Labor, no date). No names or narratives enter the model, but occupation, experience, mine and date could identify a worker at a small mine, so scored lists should stay with claims staff. Self-reporting adds representational bias and the label measurement bias (Mehrabi et al., 2021), as the same injury scores lower where restricted duty is offered. Recall at the capacity threshold is 0.971 in coal and 0.911 in metal and non-metal mines (Table 21), so misses fall more often on metal and non-metal workers. The model card (Table 19) and the application's decision-support notice rule out using a score to contest or delay a claim. I recommend that an adjuster confirm every flag and that the insurer compare recall by sector each quarter, recalibrating when the gap widens.</w:t>
      </w:r>
    </w:p>
    <w:p>
      <w:r>
        <w:br w:type="page"/>
      </w:r>
    </w:p>
    <w:p>
      <w:pPr>
        <w:pStyle w:val="Heading1"/>
      </w:pPr>
      <w:r>
        <w:rPr>
          <w:rFonts w:ascii="Times New Roman" w:hAnsi="Times New Roman"/>
          <w:b/>
          <w:color w:val="000000"/>
          <w:sz w:val="32"/>
        </w:rPr>
        <w:t>References</w:t>
      </w:r>
    </w:p>
    <w:p>
      <w:r>
        <w:rPr>
          <w:rFonts w:ascii="Times New Roman" w:hAnsi="Times New Roman"/>
          <w:sz w:val="24"/>
        </w:rPr>
        <w:t xml:space="preserve">Bishop, C.M. (2006) </w:t>
      </w:r>
      <w:r>
        <w:rPr>
          <w:rFonts w:ascii="Times New Roman" w:hAnsi="Times New Roman"/>
          <w:i/>
          <w:sz w:val="24"/>
        </w:rPr>
        <w:t>Pattern Recognition and Machine Learning</w:t>
      </w:r>
      <w:r>
        <w:rPr>
          <w:rFonts w:ascii="Times New Roman" w:hAnsi="Times New Roman"/>
          <w:sz w:val="24"/>
        </w:rPr>
        <w:t>. New York: Springer.</w:t>
      </w:r>
    </w:p>
    <w:p>
      <w:r>
        <w:rPr>
          <w:rFonts w:ascii="Times New Roman" w:hAnsi="Times New Roman"/>
          <w:sz w:val="24"/>
        </w:rPr>
        <w:t xml:space="preserve">Breiman, L. (2001) 'Random forests', </w:t>
      </w:r>
      <w:r>
        <w:rPr>
          <w:rFonts w:ascii="Times New Roman" w:hAnsi="Times New Roman"/>
          <w:i/>
          <w:sz w:val="24"/>
        </w:rPr>
        <w:t>Machine Learning</w:t>
      </w:r>
      <w:r>
        <w:rPr>
          <w:rFonts w:ascii="Times New Roman" w:hAnsi="Times New Roman"/>
          <w:sz w:val="24"/>
        </w:rPr>
        <w:t>, 45(1), pp. 5-32. doi:10.1023/A:1010933404324.</w:t>
      </w:r>
    </w:p>
    <w:p>
      <w:r>
        <w:rPr>
          <w:rFonts w:ascii="Times New Roman" w:hAnsi="Times New Roman"/>
          <w:sz w:val="24"/>
        </w:rPr>
        <w:t xml:space="preserve">Bruce, P., Bruce, A. and Gedeck, P. (2020) </w:t>
      </w:r>
      <w:r>
        <w:rPr>
          <w:rFonts w:ascii="Times New Roman" w:hAnsi="Times New Roman"/>
          <w:i/>
          <w:sz w:val="24"/>
        </w:rPr>
        <w:t>Practical Statistics for Data Scientists</w:t>
      </w:r>
      <w:r>
        <w:rPr>
          <w:rFonts w:ascii="Times New Roman" w:hAnsi="Times New Roman"/>
          <w:sz w:val="24"/>
        </w:rPr>
        <w:t>. 2nd edn. Sebastopol, CA: O'Reilly Media.</w:t>
      </w:r>
    </w:p>
    <w:p>
      <w:r>
        <w:rPr>
          <w:rFonts w:ascii="Times New Roman" w:hAnsi="Times New Roman"/>
          <w:sz w:val="24"/>
        </w:rPr>
        <w:t xml:space="preserve">Bureau of Labor Statistics (2025) </w:t>
      </w:r>
      <w:r>
        <w:rPr>
          <w:rFonts w:ascii="Times New Roman" w:hAnsi="Times New Roman"/>
          <w:i/>
          <w:sz w:val="24"/>
        </w:rPr>
        <w:t>Occupational Outlook Handbook: Claims adjusters, appraisers, examiners, and investigators</w:t>
      </w:r>
      <w:r>
        <w:rPr>
          <w:rFonts w:ascii="Times New Roman" w:hAnsi="Times New Roman"/>
          <w:sz w:val="24"/>
        </w:rPr>
        <w:t>. Washington, DC: US Department of Labor. Available at: https://www.bls.gov/ooh/business-and-financial/claims-adjusters-appraisers-examiners-and-investigators.htm (Accessed: 14 October 2026).</w:t>
      </w:r>
    </w:p>
    <w:p>
      <w:r>
        <w:rPr>
          <w:rFonts w:ascii="Times New Roman" w:hAnsi="Times New Roman"/>
          <w:sz w:val="24"/>
        </w:rPr>
        <w:t xml:space="preserve">Bureau of Labor Statistics (no date) </w:t>
      </w:r>
      <w:r>
        <w:rPr>
          <w:rFonts w:ascii="Times New Roman" w:hAnsi="Times New Roman"/>
          <w:i/>
          <w:sz w:val="24"/>
        </w:rPr>
        <w:t>Handbook of Methods: Survey of Occupational Injuries and Illnesses - Concepts</w:t>
      </w:r>
      <w:r>
        <w:rPr>
          <w:rFonts w:ascii="Times New Roman" w:hAnsi="Times New Roman"/>
          <w:sz w:val="24"/>
        </w:rPr>
        <w:t>. Available at: https://www.bls.gov/opub/hom/soii/concepts.htm (Accessed: 14 October 2026).</w:t>
      </w:r>
    </w:p>
    <w:p>
      <w:r>
        <w:rPr>
          <w:rFonts w:ascii="Times New Roman" w:hAnsi="Times New Roman"/>
          <w:sz w:val="24"/>
        </w:rPr>
        <w:t>Business Insurance (2015) 'Delayed reporting of workplace injuries can raise comp claim costs up to 51%', 7 June. Available at: https://www.businessinsurance.com/delayed-reporting-of-workplace-injuries-can-raise-comp-claim-costs-up-to-51/ (Accessed: 14 October 2026).</w:t>
      </w:r>
    </w:p>
    <w:p>
      <w:r>
        <w:rPr>
          <w:rFonts w:ascii="Times New Roman" w:hAnsi="Times New Roman"/>
          <w:sz w:val="24"/>
        </w:rPr>
        <w:t xml:space="preserve">Chawla, N.V., Bowyer, K.W., Hall, L.O. and Kegelmeyer, W.P. (2002) 'SMOTE: Synthetic minority over-sampling technique', </w:t>
      </w:r>
      <w:r>
        <w:rPr>
          <w:rFonts w:ascii="Times New Roman" w:hAnsi="Times New Roman"/>
          <w:i/>
          <w:sz w:val="24"/>
        </w:rPr>
        <w:t>Journal of Artificial Intelligence Research</w:t>
      </w:r>
      <w:r>
        <w:rPr>
          <w:rFonts w:ascii="Times New Roman" w:hAnsi="Times New Roman"/>
          <w:sz w:val="24"/>
        </w:rPr>
        <w:t>, 16, pp. 321-357. doi:10.1613/jair.953.</w:t>
      </w:r>
    </w:p>
    <w:p>
      <w:r>
        <w:rPr>
          <w:rFonts w:ascii="Times New Roman" w:hAnsi="Times New Roman"/>
          <w:sz w:val="24"/>
        </w:rPr>
        <w:t xml:space="preserve">Chen, T. and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sz w:val="24"/>
        </w:rPr>
        <w:t>. San Francisco, CA, 13-17 August. New York: ACM, pp. 785-794. doi:10.1145/2939672.2939785.</w:t>
      </w:r>
    </w:p>
    <w:p>
      <w:r>
        <w:rPr>
          <w:rFonts w:ascii="Times New Roman" w:hAnsi="Times New Roman"/>
          <w:sz w:val="24"/>
        </w:rPr>
        <w:t xml:space="preserve">Cortes, C. and Vapnik, V. (1995) 'Support-vector networks', </w:t>
      </w:r>
      <w:r>
        <w:rPr>
          <w:rFonts w:ascii="Times New Roman" w:hAnsi="Times New Roman"/>
          <w:i/>
          <w:sz w:val="24"/>
        </w:rPr>
        <w:t>Machine Learning</w:t>
      </w:r>
      <w:r>
        <w:rPr>
          <w:rFonts w:ascii="Times New Roman" w:hAnsi="Times New Roman"/>
          <w:sz w:val="24"/>
        </w:rPr>
        <w:t>, 20(3), pp. 273-297. doi:10.1007/BF00994018.</w:t>
      </w:r>
    </w:p>
    <w:p>
      <w:r>
        <w:rPr>
          <w:rFonts w:ascii="Times New Roman" w:hAnsi="Times New Roman"/>
          <w:sz w:val="24"/>
        </w:rPr>
        <w:t xml:space="preserve">Cover, T. and Hart, P. (1967) 'Nearest neighbor pattern classification', </w:t>
      </w:r>
      <w:r>
        <w:rPr>
          <w:rFonts w:ascii="Times New Roman" w:hAnsi="Times New Roman"/>
          <w:i/>
          <w:sz w:val="24"/>
        </w:rPr>
        <w:t>IEEE Transactions on Information Theory</w:t>
      </w:r>
      <w:r>
        <w:rPr>
          <w:rFonts w:ascii="Times New Roman" w:hAnsi="Times New Roman"/>
          <w:sz w:val="24"/>
        </w:rPr>
        <w:t>, 13(1), pp. 21-27. doi:10.1109/TIT.1967.1053964.</w:t>
      </w:r>
    </w:p>
    <w:p>
      <w:r>
        <w:rPr>
          <w:rFonts w:ascii="Times New Roman" w:hAnsi="Times New Roman"/>
          <w:sz w:val="24"/>
        </w:rPr>
        <w:t xml:space="preserve">Davis, J. and Goadrich, M. (2006) 'The relationship between Precision-Recall and ROC curves', in </w:t>
      </w:r>
      <w:r>
        <w:rPr>
          <w:rFonts w:ascii="Times New Roman" w:hAnsi="Times New Roman"/>
          <w:i/>
          <w:sz w:val="24"/>
        </w:rPr>
        <w:t>Proceedings of the 23rd International Conference on Machine Learning</w:t>
      </w:r>
      <w:r>
        <w:rPr>
          <w:rFonts w:ascii="Times New Roman" w:hAnsi="Times New Roman"/>
          <w:sz w:val="24"/>
        </w:rPr>
        <w:t>. Pittsburgh, PA, 25-29 June. New York: ACM, pp. 233-240. doi:10.1145/1143844.1143874.</w:t>
      </w:r>
    </w:p>
    <w:p>
      <w:r>
        <w:rPr>
          <w:rFonts w:ascii="Times New Roman" w:hAnsi="Times New Roman"/>
          <w:sz w:val="24"/>
        </w:rPr>
        <w:t xml:space="preserve">Demšar, J. (2006) 'Statistical comparisons of classifiers over multiple data sets', </w:t>
      </w:r>
      <w:r>
        <w:rPr>
          <w:rFonts w:ascii="Times New Roman" w:hAnsi="Times New Roman"/>
          <w:i/>
          <w:sz w:val="24"/>
        </w:rPr>
        <w:t>Journal of Machine Learning Research</w:t>
      </w:r>
      <w:r>
        <w:rPr>
          <w:rFonts w:ascii="Times New Roman" w:hAnsi="Times New Roman"/>
          <w:sz w:val="24"/>
        </w:rPr>
        <w:t>, 7, pp. 1-30.</w:t>
      </w:r>
    </w:p>
    <w:p>
      <w:r>
        <w:rPr>
          <w:rFonts w:ascii="Times New Roman" w:hAnsi="Times New Roman"/>
          <w:sz w:val="24"/>
        </w:rPr>
        <w:t xml:space="preserve">Dietterich, T.G. (1998) 'Approximate statistical tests for comparing supervised classification learning algorithms', </w:t>
      </w:r>
      <w:r>
        <w:rPr>
          <w:rFonts w:ascii="Times New Roman" w:hAnsi="Times New Roman"/>
          <w:i/>
          <w:sz w:val="24"/>
        </w:rPr>
        <w:t>Neural Computation</w:t>
      </w:r>
      <w:r>
        <w:rPr>
          <w:rFonts w:ascii="Times New Roman" w:hAnsi="Times New Roman"/>
          <w:sz w:val="24"/>
        </w:rPr>
        <w:t>, 10(7), pp. 1895-1923. doi:10.1162/089976698300017197.</w:t>
      </w:r>
    </w:p>
    <w:p>
      <w:r>
        <w:rPr>
          <w:rFonts w:ascii="Times New Roman" w:hAnsi="Times New Roman"/>
          <w:sz w:val="24"/>
        </w:rPr>
        <w:t xml:space="preserve">Domingos, P. and Pazzani, M. (1997) 'On the optimality of the simple Bayesian classifier under zero-one loss', </w:t>
      </w:r>
      <w:r>
        <w:rPr>
          <w:rFonts w:ascii="Times New Roman" w:hAnsi="Times New Roman"/>
          <w:i/>
          <w:sz w:val="24"/>
        </w:rPr>
        <w:t>Machine Learning</w:t>
      </w:r>
      <w:r>
        <w:rPr>
          <w:rFonts w:ascii="Times New Roman" w:hAnsi="Times New Roman"/>
          <w:sz w:val="24"/>
        </w:rPr>
        <w:t>, 29(2-3), pp. 103-130. doi:10.1023/A:1007413511361.</w:t>
      </w:r>
    </w:p>
    <w:p>
      <w:r>
        <w:rPr>
          <w:rFonts w:ascii="Times New Roman" w:hAnsi="Times New Roman"/>
          <w:sz w:val="24"/>
        </w:rPr>
        <w:t xml:space="preserve">Durkalski, V.L., Palesch, Y.Y., Lipsitz, S.R. and Rust, P.F. (2003) 'Analysis of clustered matched-pair data', </w:t>
      </w:r>
      <w:r>
        <w:rPr>
          <w:rFonts w:ascii="Times New Roman" w:hAnsi="Times New Roman"/>
          <w:i/>
          <w:sz w:val="24"/>
        </w:rPr>
        <w:t>Statistics in Medicine</w:t>
      </w:r>
      <w:r>
        <w:rPr>
          <w:rFonts w:ascii="Times New Roman" w:hAnsi="Times New Roman"/>
          <w:sz w:val="24"/>
        </w:rPr>
        <w:t>, 22(15), pp. 2417-2428. doi:10.1002/sim.1438.</w:t>
      </w:r>
    </w:p>
    <w:p>
      <w:r>
        <w:rPr>
          <w:rFonts w:ascii="Times New Roman" w:hAnsi="Times New Roman"/>
          <w:sz w:val="24"/>
        </w:rPr>
        <w:t xml:space="preserve">Fawcett, T. (2006) 'An introduction to ROC analysis', </w:t>
      </w:r>
      <w:r>
        <w:rPr>
          <w:rFonts w:ascii="Times New Roman" w:hAnsi="Times New Roman"/>
          <w:i/>
          <w:sz w:val="24"/>
        </w:rPr>
        <w:t>Pattern Recognition Letters</w:t>
      </w:r>
      <w:r>
        <w:rPr>
          <w:rFonts w:ascii="Times New Roman" w:hAnsi="Times New Roman"/>
          <w:sz w:val="24"/>
        </w:rPr>
        <w:t>, 27(8), pp. 861-874. doi:10.1016/j.patrec.2005.10.010.</w:t>
      </w:r>
    </w:p>
    <w:p>
      <w:r>
        <w:rPr>
          <w:rFonts w:ascii="Times New Roman" w:hAnsi="Times New Roman"/>
          <w:sz w:val="24"/>
        </w:rPr>
        <w:t xml:space="preserve">Gebru, T., Morgenstern, J., Vecchione, B., Vaughan, J.W., Wallach, H., Daume III, H. and Crawford, K. (2021) 'Datasheets for datasets', </w:t>
      </w:r>
      <w:r>
        <w:rPr>
          <w:rFonts w:ascii="Times New Roman" w:hAnsi="Times New Roman"/>
          <w:i/>
          <w:sz w:val="24"/>
        </w:rPr>
        <w:t>Communications of the ACM</w:t>
      </w:r>
      <w:r>
        <w:rPr>
          <w:rFonts w:ascii="Times New Roman" w:hAnsi="Times New Roman"/>
          <w:sz w:val="24"/>
        </w:rPr>
        <w:t>, 64(12), pp. 86-92. doi:10.1145/3458723.</w:t>
      </w:r>
    </w:p>
    <w:p>
      <w:r>
        <w:rPr>
          <w:rFonts w:ascii="Times New Roman" w:hAnsi="Times New Roman"/>
          <w:sz w:val="24"/>
        </w:rPr>
        <w:t xml:space="preserve">Gen Re (2026) </w:t>
      </w:r>
      <w:r>
        <w:rPr>
          <w:rFonts w:ascii="Times New Roman" w:hAnsi="Times New Roman"/>
          <w:i/>
          <w:sz w:val="24"/>
        </w:rPr>
        <w:t>Workers' comp healthy amid change</w:t>
      </w:r>
      <w:r>
        <w:rPr>
          <w:rFonts w:ascii="Times New Roman" w:hAnsi="Times New Roman"/>
          <w:sz w:val="24"/>
        </w:rPr>
        <w:t>. 26 May. Available at: https://www.genre.com/us/knowledge/publications/2026/may/workers-comp-healthy-amid-change-en (Accessed: 14 October 2026).</w:t>
      </w:r>
    </w:p>
    <w:p>
      <w:r>
        <w:rPr>
          <w:rFonts w:ascii="Times New Roman" w:hAnsi="Times New Roman"/>
          <w:sz w:val="24"/>
        </w:rPr>
        <w:t xml:space="preserve">Grinsztajn, L., Oyallon, E. and Varoquaux, G. (2022) 'Why do tree-based models still outperform deep learning on typical tabular data?', in </w:t>
      </w:r>
      <w:r>
        <w:rPr>
          <w:rFonts w:ascii="Times New Roman" w:hAnsi="Times New Roman"/>
          <w:i/>
          <w:sz w:val="24"/>
        </w:rPr>
        <w:t>Advances in Neural Information Processing Systems 35, Datasets and Benchmarks Track</w:t>
      </w:r>
      <w:r>
        <w:rPr>
          <w:rFonts w:ascii="Times New Roman" w:hAnsi="Times New Roman"/>
          <w:sz w:val="24"/>
        </w:rPr>
        <w:t>.</w:t>
      </w:r>
    </w:p>
    <w:p>
      <w:r>
        <w:rPr>
          <w:rFonts w:ascii="Times New Roman" w:hAnsi="Times New Roman"/>
          <w:sz w:val="24"/>
        </w:rPr>
        <w:t xml:space="preserve">Han, J., Pei, J. and Tong, H. (2022) </w:t>
      </w:r>
      <w:r>
        <w:rPr>
          <w:rFonts w:ascii="Times New Roman" w:hAnsi="Times New Roman"/>
          <w:i/>
          <w:sz w:val="24"/>
        </w:rPr>
        <w:t>Data Mining: Concepts and Techniques</w:t>
      </w:r>
      <w:r>
        <w:rPr>
          <w:rFonts w:ascii="Times New Roman" w:hAnsi="Times New Roman"/>
          <w:sz w:val="24"/>
        </w:rPr>
        <w:t>. 4th edn. Cambridge, MA: Morgan Kaufmann.</w:t>
      </w:r>
    </w:p>
    <w:p>
      <w:r>
        <w:rPr>
          <w:rFonts w:ascii="Times New Roman" w:hAnsi="Times New Roman"/>
          <w:sz w:val="24"/>
        </w:rPr>
        <w:t xml:space="preserve">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edn. New York: Springer.</w:t>
      </w:r>
    </w:p>
    <w:p>
      <w:r>
        <w:rPr>
          <w:rFonts w:ascii="Times New Roman" w:hAnsi="Times New Roman"/>
          <w:sz w:val="24"/>
        </w:rPr>
        <w:t xml:space="preserve">He, H. and Garcia, E.A. (2009) 'Learning from imbalanced data', </w:t>
      </w:r>
      <w:r>
        <w:rPr>
          <w:rFonts w:ascii="Times New Roman" w:hAnsi="Times New Roman"/>
          <w:i/>
          <w:sz w:val="24"/>
        </w:rPr>
        <w:t>IEEE Transactions on Knowledge and Data Engineering</w:t>
      </w:r>
      <w:r>
        <w:rPr>
          <w:rFonts w:ascii="Times New Roman" w:hAnsi="Times New Roman"/>
          <w:sz w:val="24"/>
        </w:rPr>
        <w:t>, 21(9), pp. 1263-1284. doi:10.1109/TKDE.2008.239.</w:t>
      </w:r>
    </w:p>
    <w:p>
      <w:r>
        <w:rPr>
          <w:rFonts w:ascii="Times New Roman" w:hAnsi="Times New Roman"/>
          <w:sz w:val="24"/>
        </w:rPr>
        <w:t xml:space="preserve">Hosmer, D.W., Lemeshow, S. and Sturdivant, R.X. (2013) </w:t>
      </w:r>
      <w:r>
        <w:rPr>
          <w:rFonts w:ascii="Times New Roman" w:hAnsi="Times New Roman"/>
          <w:i/>
          <w:sz w:val="24"/>
        </w:rPr>
        <w:t>Applied Logistic Regression</w:t>
      </w:r>
      <w:r>
        <w:rPr>
          <w:rFonts w:ascii="Times New Roman" w:hAnsi="Times New Roman"/>
          <w:sz w:val="24"/>
        </w:rPr>
        <w:t>. 3rd edn. Hoboken, NJ: Wiley.</w:t>
      </w:r>
    </w:p>
    <w:p>
      <w:r>
        <w:rPr>
          <w:rFonts w:ascii="Times New Roman" w:hAnsi="Times New Roman"/>
          <w:sz w:val="24"/>
        </w:rPr>
        <w:t xml:space="preserve">Hunter, J.D. (2007) 'Matplotlib: A 2D graphics environment', </w:t>
      </w:r>
      <w:r>
        <w:rPr>
          <w:rFonts w:ascii="Times New Roman" w:hAnsi="Times New Roman"/>
          <w:i/>
          <w:sz w:val="24"/>
        </w:rPr>
        <w:t>Computing in Science and Engineering</w:t>
      </w:r>
      <w:r>
        <w:rPr>
          <w:rFonts w:ascii="Times New Roman" w:hAnsi="Times New Roman"/>
          <w:sz w:val="24"/>
        </w:rPr>
        <w:t>, 9(3), pp. 90-95. doi:10.1109/MCSE.2007.55.</w:t>
      </w:r>
    </w:p>
    <w:p>
      <w:r>
        <w:rPr>
          <w:rFonts w:ascii="Times New Roman" w:hAnsi="Times New Roman"/>
          <w:sz w:val="24"/>
        </w:rPr>
        <w:t xml:space="preserve">Kaufman, S., Rosset, S., Perlich, C. and Stitelman, O. (2012) 'Leakage in data mining: Formulation, detection, and avoidance', </w:t>
      </w:r>
      <w:r>
        <w:rPr>
          <w:rFonts w:ascii="Times New Roman" w:hAnsi="Times New Roman"/>
          <w:i/>
          <w:sz w:val="24"/>
        </w:rPr>
        <w:t>ACM Transactions on Knowledge Discovery from Data</w:t>
      </w:r>
      <w:r>
        <w:rPr>
          <w:rFonts w:ascii="Times New Roman" w:hAnsi="Times New Roman"/>
          <w:sz w:val="24"/>
        </w:rPr>
        <w:t>, 6(4), Article 15. doi:10.1145/2382577.2382579.</w:t>
      </w:r>
    </w:p>
    <w:p>
      <w:r>
        <w:rPr>
          <w:rFonts w:ascii="Times New Roman" w:hAnsi="Times New Roman"/>
          <w:sz w:val="24"/>
        </w:rPr>
        <w:t xml:space="preserve">Kohavi, R. (1995) 'A study of cross-validation and bootstrap for accuracy estimation and model selection', in </w:t>
      </w:r>
      <w:r>
        <w:rPr>
          <w:rFonts w:ascii="Times New Roman" w:hAnsi="Times New Roman"/>
          <w:i/>
          <w:sz w:val="24"/>
        </w:rPr>
        <w:t>Proceedings of the 14th International Joint Conference on Artificial Intelligence</w:t>
      </w:r>
      <w:r>
        <w:rPr>
          <w:rFonts w:ascii="Times New Roman" w:hAnsi="Times New Roman"/>
          <w:sz w:val="24"/>
        </w:rPr>
        <w:t>. Montreal, 20-25 August. San Francisco, CA: Morgan Kaufmann, vol. 2, pp. 1137-1145.</w:t>
      </w:r>
    </w:p>
    <w:p>
      <w:r>
        <w:rPr>
          <w:rFonts w:ascii="Times New Roman" w:hAnsi="Times New Roman"/>
          <w:sz w:val="24"/>
        </w:rPr>
        <w:t xml:space="preserve">Kuhn, M. and Johnson, K. (2019) </w:t>
      </w:r>
      <w:r>
        <w:rPr>
          <w:rFonts w:ascii="Times New Roman" w:hAnsi="Times New Roman"/>
          <w:i/>
          <w:sz w:val="24"/>
        </w:rPr>
        <w:t>Feature Engineering and Selection: A Practical Approach for Predictive Models</w:t>
      </w:r>
      <w:r>
        <w:rPr>
          <w:rFonts w:ascii="Times New Roman" w:hAnsi="Times New Roman"/>
          <w:sz w:val="24"/>
        </w:rPr>
        <w:t>. Boca Raton, FL: CRC Press.</w:t>
      </w:r>
    </w:p>
    <w:p>
      <w:r>
        <w:rPr>
          <w:rFonts w:ascii="Times New Roman" w:hAnsi="Times New Roman"/>
          <w:sz w:val="24"/>
        </w:rPr>
        <w:t>Kun.uz (2026) 'Workplace accidents kill 248 people in Uzbekistan in 2025', 13 January. Available at: https://kun.uz/en/news/2026/01/13/workplace-accidents-kill-248-people-in-uzbekistan-in-2025over-240-people (Accessed: 14 October 2026).</w:t>
      </w:r>
    </w:p>
    <w:p>
      <w:r>
        <w:rPr>
          <w:rFonts w:ascii="Times New Roman" w:hAnsi="Times New Roman"/>
          <w:sz w:val="24"/>
        </w:rPr>
        <w:t xml:space="preserve">Legal Information Institute (no date a) </w:t>
      </w:r>
      <w:r>
        <w:rPr>
          <w:rFonts w:ascii="Times New Roman" w:hAnsi="Times New Roman"/>
          <w:i/>
          <w:sz w:val="24"/>
        </w:rPr>
        <w:t>30 CFR 50.20 - Preparation and submission of MSHA Report Form 7000-1</w:t>
      </w:r>
      <w:r>
        <w:rPr>
          <w:rFonts w:ascii="Times New Roman" w:hAnsi="Times New Roman"/>
          <w:sz w:val="24"/>
        </w:rPr>
        <w:t>. Available at: https://www.law.cornell.edu/cfr/text/30/50.20 (Accessed: 14 October 2026).</w:t>
      </w:r>
    </w:p>
    <w:p>
      <w:r>
        <w:rPr>
          <w:rFonts w:ascii="Times New Roman" w:hAnsi="Times New Roman"/>
          <w:sz w:val="24"/>
        </w:rPr>
        <w:t xml:space="preserve">Legal Information Institute (no date b) </w:t>
      </w:r>
      <w:r>
        <w:rPr>
          <w:rFonts w:ascii="Times New Roman" w:hAnsi="Times New Roman"/>
          <w:i/>
          <w:sz w:val="24"/>
        </w:rPr>
        <w:t>30 CFR 50.30 - Preparation and submission of MSHA Form 7000-2</w:t>
      </w:r>
      <w:r>
        <w:rPr>
          <w:rFonts w:ascii="Times New Roman" w:hAnsi="Times New Roman"/>
          <w:sz w:val="24"/>
        </w:rPr>
        <w:t>. Available at: https://www.law.cornell.edu/cfr/text/30/50.30 (Accessed: 14 October 2026).</w:t>
      </w:r>
    </w:p>
    <w:p>
      <w:r>
        <w:rPr>
          <w:rFonts w:ascii="Times New Roman" w:hAnsi="Times New Roman"/>
          <w:sz w:val="24"/>
        </w:rPr>
        <w:t xml:space="preserve">Lemaitre, G., Nogueira, F. and Aridas, C.K. (2017) 'Imbalanced-learn: A Python toolbox to tackle the curse of imbalanced datasets in machine learning', </w:t>
      </w:r>
      <w:r>
        <w:rPr>
          <w:rFonts w:ascii="Times New Roman" w:hAnsi="Times New Roman"/>
          <w:i/>
          <w:sz w:val="24"/>
        </w:rPr>
        <w:t>Journal of Machine Learning Research</w:t>
      </w:r>
      <w:r>
        <w:rPr>
          <w:rFonts w:ascii="Times New Roman" w:hAnsi="Times New Roman"/>
          <w:sz w:val="24"/>
        </w:rPr>
        <w:t>, 18(17), pp. 1-5.</w:t>
      </w:r>
    </w:p>
    <w:p>
      <w:r>
        <w:rPr>
          <w:rFonts w:ascii="Times New Roman" w:hAnsi="Times New Roman"/>
          <w:sz w:val="24"/>
        </w:rPr>
        <w:t xml:space="preserve">Lundberg, S.M. and Lee, S.-I. (2017)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pp. 4765-4774.</w:t>
      </w:r>
    </w:p>
    <w:p>
      <w:r>
        <w:rPr>
          <w:rFonts w:ascii="Times New Roman" w:hAnsi="Times New Roman"/>
          <w:sz w:val="24"/>
        </w:rPr>
        <w:t xml:space="preserve">Mehrabi, N., Morstatter, F., Saxena, N., Lerman, K. and Galstyan, A. (2021) 'A survey on bias and fairness in machine learning', </w:t>
      </w:r>
      <w:r>
        <w:rPr>
          <w:rFonts w:ascii="Times New Roman" w:hAnsi="Times New Roman"/>
          <w:i/>
          <w:sz w:val="24"/>
        </w:rPr>
        <w:t>ACM Computing Surveys</w:t>
      </w:r>
      <w:r>
        <w:rPr>
          <w:rFonts w:ascii="Times New Roman" w:hAnsi="Times New Roman"/>
          <w:sz w:val="24"/>
        </w:rPr>
        <w:t>, 54(6), Article 115. doi:10.1145/3457607.</w:t>
      </w:r>
    </w:p>
    <w:p>
      <w:r>
        <w:rPr>
          <w:rFonts w:ascii="Times New Roman" w:hAnsi="Times New Roman"/>
          <w:sz w:val="24"/>
        </w:rPr>
        <w:t xml:space="preserve">Mine Safety and Health Administration (2026) </w:t>
      </w:r>
      <w:r>
        <w:rPr>
          <w:rFonts w:ascii="Times New Roman" w:hAnsi="Times New Roman"/>
          <w:i/>
          <w:sz w:val="24"/>
        </w:rPr>
        <w:t>Mine Injury and Worktime, Quarterly: January-December 2025, preliminary</w:t>
      </w:r>
      <w:r>
        <w:rPr>
          <w:rFonts w:ascii="Times New Roman" w:hAnsi="Times New Roman"/>
          <w:sz w:val="24"/>
        </w:rPr>
        <w:t>. Available at: https://arlweb.msha.gov/Stats/Part50/WQ/2025/MIWQ%20-%20CY2025Q4.pdf (Accessed: 14 October 2026).</w:t>
      </w:r>
    </w:p>
    <w:p>
      <w:r>
        <w:rPr>
          <w:rFonts w:ascii="Times New Roman" w:hAnsi="Times New Roman"/>
          <w:sz w:val="24"/>
        </w:rPr>
        <w:t xml:space="preserve">Mine Safety and Health Administration (no date) </w:t>
      </w:r>
      <w:r>
        <w:rPr>
          <w:rFonts w:ascii="Times New Roman" w:hAnsi="Times New Roman"/>
          <w:i/>
          <w:sz w:val="24"/>
        </w:rPr>
        <w:t>Mine Accident, Injury and Illness Report, MSHA Form 7000-1 (OMB No. 1219-0007), with instructions</w:t>
      </w:r>
      <w:r>
        <w:rPr>
          <w:rFonts w:ascii="Times New Roman" w:hAnsi="Times New Roman"/>
          <w:sz w:val="24"/>
        </w:rPr>
        <w:t>. Available at: https://www.msha.gov/sites/default/files/Support_Resources/Forms/7000-1.pdf (Accessed: 14 October 2026).</w:t>
      </w:r>
    </w:p>
    <w:p>
      <w:r>
        <w:rPr>
          <w:rFonts w:ascii="Times New Roman" w:hAnsi="Times New Roman"/>
          <w:sz w:val="24"/>
        </w:rPr>
        <w:t xml:space="preserve">Mitchell, M., Wu, S., Zaldivar, A., Barnes, P., Vasserman, L., Hutchinson, B., Spitzer, E., Raji, I.D. and Gebru, T. (2019) 'Model cards for model reporting', in </w:t>
      </w:r>
      <w:r>
        <w:rPr>
          <w:rFonts w:ascii="Times New Roman" w:hAnsi="Times New Roman"/>
          <w:i/>
          <w:sz w:val="24"/>
        </w:rPr>
        <w:t>Proceedings of the Conference on Fairness, Accountability, and Transparency</w:t>
      </w:r>
      <w:r>
        <w:rPr>
          <w:rFonts w:ascii="Times New Roman" w:hAnsi="Times New Roman"/>
          <w:sz w:val="24"/>
        </w:rPr>
        <w:t>. Atlanta, GA, 29-31 January. New York: ACM, pp. 220-229. doi:10.1145/3287560.3287596.</w:t>
      </w:r>
    </w:p>
    <w:p>
      <w:r>
        <w:rPr>
          <w:rFonts w:ascii="Times New Roman" w:hAnsi="Times New Roman"/>
          <w:sz w:val="24"/>
        </w:rPr>
        <w:t xml:space="preserve">Mitchell, T.M. (1997) </w:t>
      </w:r>
      <w:r>
        <w:rPr>
          <w:rFonts w:ascii="Times New Roman" w:hAnsi="Times New Roman"/>
          <w:i/>
          <w:sz w:val="24"/>
        </w:rPr>
        <w:t>Machine Learning</w:t>
      </w:r>
      <w:r>
        <w:rPr>
          <w:rFonts w:ascii="Times New Roman" w:hAnsi="Times New Roman"/>
          <w:sz w:val="24"/>
        </w:rPr>
        <w:t>. New York: McGraw-Hill.</w:t>
      </w:r>
    </w:p>
    <w:p>
      <w:r>
        <w:rPr>
          <w:rFonts w:ascii="Times New Roman" w:hAnsi="Times New Roman"/>
          <w:sz w:val="24"/>
        </w:rPr>
        <w:t xml:space="preserve">Nadeau, C. and Bengio, Y. (2003) 'Inference for the generalization error', </w:t>
      </w:r>
      <w:r>
        <w:rPr>
          <w:rFonts w:ascii="Times New Roman" w:hAnsi="Times New Roman"/>
          <w:i/>
          <w:sz w:val="24"/>
        </w:rPr>
        <w:t>Machine Learning</w:t>
      </w:r>
      <w:r>
        <w:rPr>
          <w:rFonts w:ascii="Times New Roman" w:hAnsi="Times New Roman"/>
          <w:sz w:val="24"/>
        </w:rPr>
        <w:t>, 52(3), pp. 239-281. doi:10.1023/A:1024068626366.</w:t>
      </w:r>
    </w:p>
    <w:p>
      <w:r>
        <w:rPr>
          <w:rFonts w:ascii="Times New Roman" w:hAnsi="Times New Roman"/>
          <w:sz w:val="24"/>
        </w:rPr>
        <w:t xml:space="preserve">National Institute for Occupational Safety and Health (no date) </w:t>
      </w:r>
      <w:r>
        <w:rPr>
          <w:rFonts w:ascii="Times New Roman" w:hAnsi="Times New Roman"/>
          <w:i/>
          <w:sz w:val="24"/>
        </w:rPr>
        <w:t>NIOSH Mine and Mine Worker Charts: number and rate of nonfatal lost-time injuries, 2021-2024</w:t>
      </w:r>
      <w:r>
        <w:rPr>
          <w:rFonts w:ascii="Times New Roman" w:hAnsi="Times New Roman"/>
          <w:sz w:val="24"/>
        </w:rPr>
        <w:t>. Available at: https://wwwn.cdc.gov/niosh-mining/MMWC/Injuries/NumberAndRate (Accessed: 14 October 2026).</w:t>
      </w:r>
    </w:p>
    <w:p>
      <w:r>
        <w:rPr>
          <w:rFonts w:ascii="Times New Roman" w:hAnsi="Times New Roman"/>
          <w:sz w:val="24"/>
        </w:rPr>
        <w:t xml:space="preserve">Office of the Law Revision Counsel (2020) </w:t>
      </w:r>
      <w:r>
        <w:rPr>
          <w:rFonts w:ascii="Times New Roman" w:hAnsi="Times New Roman"/>
          <w:i/>
          <w:sz w:val="24"/>
        </w:rPr>
        <w:t>17 U.S.C. 105 - Subject matter of copyright: United States Government works</w:t>
      </w:r>
      <w:r>
        <w:rPr>
          <w:rFonts w:ascii="Times New Roman" w:hAnsi="Times New Roman"/>
          <w:sz w:val="24"/>
        </w:rPr>
        <w:t>. United States Code, 2020 edition. Available at: https://www.govinfo.gov/content/pkg/USCODE-2020-title17/html/USCODE-2020-title17-chap1-sec105.htm (Accessed: 14 October 2026).</w:t>
      </w:r>
    </w:p>
    <w:p>
      <w:r>
        <w:rPr>
          <w:rFonts w:ascii="Times New Roman" w:hAnsi="Times New Roman"/>
          <w:sz w:val="24"/>
        </w:rPr>
        <w:t xml:space="preserve">Pedregosa, F., Varoquaux, G., Gramfort, A., Michel, V., Thirion, B., Grisel, O., Blondel, M., Prettenhofer, P., Weiss, R., Dubourg, V., Vanderplas, J., Passos, A., Cournapeau, D., Brucher, M., Perrot, M. and Duchesnay, E. (2011) 'Scikit-learn: Machine learning in Python', </w:t>
      </w:r>
      <w:r>
        <w:rPr>
          <w:rFonts w:ascii="Times New Roman" w:hAnsi="Times New Roman"/>
          <w:i/>
          <w:sz w:val="24"/>
        </w:rPr>
        <w:t>Journal of Machine Learning Research</w:t>
      </w:r>
      <w:r>
        <w:rPr>
          <w:rFonts w:ascii="Times New Roman" w:hAnsi="Times New Roman"/>
          <w:sz w:val="24"/>
        </w:rPr>
        <w:t>, 12, pp. 2825-2830.</w:t>
      </w:r>
    </w:p>
    <w:p>
      <w:r>
        <w:rPr>
          <w:rFonts w:ascii="Times New Roman" w:hAnsi="Times New Roman"/>
          <w:sz w:val="24"/>
        </w:rPr>
        <w:t xml:space="preserve">Provost, F. and Fawcett, T. (2013) </w:t>
      </w:r>
      <w:r>
        <w:rPr>
          <w:rFonts w:ascii="Times New Roman" w:hAnsi="Times New Roman"/>
          <w:i/>
          <w:sz w:val="24"/>
        </w:rPr>
        <w:t>Data Science for Business: What You Need to Know about Data Mining and Data-Analytic Thinking</w:t>
      </w:r>
      <w:r>
        <w:rPr>
          <w:rFonts w:ascii="Times New Roman" w:hAnsi="Times New Roman"/>
          <w:sz w:val="24"/>
        </w:rPr>
        <w:t>. Sebastopol, CA: O'Reilly Media.</w:t>
      </w:r>
    </w:p>
    <w:p>
      <w:r>
        <w:rPr>
          <w:rFonts w:ascii="Times New Roman" w:hAnsi="Times New Roman"/>
          <w:sz w:val="24"/>
        </w:rPr>
        <w:t xml:space="preserve">Rubin, D.B. (1976) 'Inference and missing data', </w:t>
      </w:r>
      <w:r>
        <w:rPr>
          <w:rFonts w:ascii="Times New Roman" w:hAnsi="Times New Roman"/>
          <w:i/>
          <w:sz w:val="24"/>
        </w:rPr>
        <w:t>Biometrika</w:t>
      </w:r>
      <w:r>
        <w:rPr>
          <w:rFonts w:ascii="Times New Roman" w:hAnsi="Times New Roman"/>
          <w:sz w:val="24"/>
        </w:rPr>
        <w:t>, 63(3), pp. 581-592. doi:10.1093/biomet/63.3.581.</w:t>
      </w:r>
    </w:p>
    <w:p>
      <w:r>
        <w:rPr>
          <w:rFonts w:ascii="Times New Roman" w:hAnsi="Times New Roman"/>
          <w:sz w:val="24"/>
        </w:rPr>
        <w:t xml:space="preserve">Saito, T. and Rehmsmeier, M. (2015) 'The precision-recall plot is more informative than the ROC plot when evaluating binary classifiers on imbalanced datasets', </w:t>
      </w:r>
      <w:r>
        <w:rPr>
          <w:rFonts w:ascii="Times New Roman" w:hAnsi="Times New Roman"/>
          <w:i/>
          <w:sz w:val="24"/>
        </w:rPr>
        <w:t>PLoS ONE</w:t>
      </w:r>
      <w:r>
        <w:rPr>
          <w:rFonts w:ascii="Times New Roman" w:hAnsi="Times New Roman"/>
          <w:sz w:val="24"/>
        </w:rPr>
        <w:t>, 10(3), e0118432. doi:10.1371/journal.pone.0118432.</w:t>
      </w:r>
    </w:p>
    <w:p>
      <w:r>
        <w:rPr>
          <w:rFonts w:ascii="Times New Roman" w:hAnsi="Times New Roman"/>
          <w:sz w:val="24"/>
        </w:rPr>
        <w:t xml:space="preserve">Sculley, D., Holt, G., Golovin, D., Davydov, E., Phillips, T., Ebner, D., Chaudhary, V., Young, M., Crespo, J.-F. and Dennison, D. (2015) 'Hidden technical debt in machine learning systems', in </w:t>
      </w:r>
      <w:r>
        <w:rPr>
          <w:rFonts w:ascii="Times New Roman" w:hAnsi="Times New Roman"/>
          <w:i/>
          <w:sz w:val="24"/>
        </w:rPr>
        <w:t>Advances in Neural Information Processing Systems 28</w:t>
      </w:r>
      <w:r>
        <w:rPr>
          <w:rFonts w:ascii="Times New Roman" w:hAnsi="Times New Roman"/>
          <w:sz w:val="24"/>
        </w:rPr>
        <w:t>, pp. 2503-2511.</w:t>
      </w:r>
    </w:p>
    <w:p>
      <w:r>
        <w:rPr>
          <w:rFonts w:ascii="Times New Roman" w:hAnsi="Times New Roman"/>
          <w:sz w:val="24"/>
        </w:rPr>
        <w:t xml:space="preserve">Tan, P.-N., Steinbach, M., Karpatne, A. and Kumar, V. (2019) </w:t>
      </w:r>
      <w:r>
        <w:rPr>
          <w:rFonts w:ascii="Times New Roman" w:hAnsi="Times New Roman"/>
          <w:i/>
          <w:sz w:val="24"/>
        </w:rPr>
        <w:t>Introduction to Data Mining</w:t>
      </w:r>
      <w:r>
        <w:rPr>
          <w:rFonts w:ascii="Times New Roman" w:hAnsi="Times New Roman"/>
          <w:sz w:val="24"/>
        </w:rPr>
        <w:t>. 2nd edn. New York: Pearson.</w:t>
      </w:r>
    </w:p>
    <w:p>
      <w:r>
        <w:rPr>
          <w:rFonts w:ascii="Times New Roman" w:hAnsi="Times New Roman"/>
          <w:sz w:val="24"/>
        </w:rPr>
        <w:t xml:space="preserve">Tukey, J.W. (1977) </w:t>
      </w:r>
      <w:r>
        <w:rPr>
          <w:rFonts w:ascii="Times New Roman" w:hAnsi="Times New Roman"/>
          <w:i/>
          <w:sz w:val="24"/>
        </w:rPr>
        <w:t>Exploratory Data Analysis</w:t>
      </w:r>
      <w:r>
        <w:rPr>
          <w:rFonts w:ascii="Times New Roman" w:hAnsi="Times New Roman"/>
          <w:sz w:val="24"/>
        </w:rPr>
        <w:t>. Reading, MA: Addison-Wesley.</w:t>
      </w:r>
    </w:p>
    <w:p>
      <w:r>
        <w:rPr>
          <w:rFonts w:ascii="Times New Roman" w:hAnsi="Times New Roman"/>
          <w:sz w:val="24"/>
        </w:rPr>
        <w:t xml:space="preserve">US Department of Labor (no date) </w:t>
      </w:r>
      <w:r>
        <w:rPr>
          <w:rFonts w:ascii="Times New Roman" w:hAnsi="Times New Roman"/>
          <w:i/>
          <w:sz w:val="24"/>
        </w:rPr>
        <w:t>Copyright information</w:t>
      </w:r>
      <w:r>
        <w:rPr>
          <w:rFonts w:ascii="Times New Roman" w:hAnsi="Times New Roman"/>
          <w:sz w:val="24"/>
        </w:rPr>
        <w:t>. Available at: https://www.dol.gov/general/aboutdol/copyright (Accessed: 14 October 2026).</w:t>
      </w:r>
    </w:p>
    <w:p>
      <w:r>
        <w:rPr>
          <w:rFonts w:ascii="Times New Roman" w:hAnsi="Times New Roman"/>
          <w:sz w:val="24"/>
        </w:rPr>
        <w:t xml:space="preserve">US Department of Labor, Mine Safety and Health Administration (2026a) </w:t>
      </w:r>
      <w:r>
        <w:rPr>
          <w:rFonts w:ascii="Times New Roman" w:hAnsi="Times New Roman"/>
          <w:i/>
          <w:sz w:val="24"/>
        </w:rPr>
        <w:t>Accident Injuries Data Set</w:t>
      </w:r>
      <w:r>
        <w:rPr>
          <w:rFonts w:ascii="Times New Roman" w:hAnsi="Times New Roman"/>
          <w:sz w:val="24"/>
        </w:rPr>
        <w:t xml:space="preserve"> [Dataset]. Available at: https://arlweb.msha.gov/OpenGovernmentData/OGIMSHA.asp (Accessed: 14 October 2026). Public domain (US Government work).</w:t>
      </w:r>
    </w:p>
    <w:p>
      <w:r>
        <w:rPr>
          <w:rFonts w:ascii="Times New Roman" w:hAnsi="Times New Roman"/>
          <w:sz w:val="24"/>
        </w:rPr>
        <w:t xml:space="preserve">US Department of Labor, Mine Safety and Health Administration (2026b) </w:t>
      </w:r>
      <w:r>
        <w:rPr>
          <w:rFonts w:ascii="Times New Roman" w:hAnsi="Times New Roman"/>
          <w:i/>
          <w:sz w:val="24"/>
        </w:rPr>
        <w:t>Mines Data Set and Mines Production Yearly Data Set</w:t>
      </w:r>
      <w:r>
        <w:rPr>
          <w:rFonts w:ascii="Times New Roman" w:hAnsi="Times New Roman"/>
          <w:sz w:val="24"/>
        </w:rPr>
        <w:t xml:space="preserve"> [Datasets]. Available at: https://arlweb.msha.gov/OpenGovernmentData/OGIMSHA.asp (Accessed: 14 October 2026). Public domain (US Government work).</w:t>
      </w:r>
    </w:p>
    <w:p>
      <w:r>
        <w:rPr>
          <w:rFonts w:ascii="Times New Roman" w:hAnsi="Times New Roman"/>
          <w:sz w:val="24"/>
        </w:rPr>
        <w:t xml:space="preserve">van Buuren, S. (2018) </w:t>
      </w:r>
      <w:r>
        <w:rPr>
          <w:rFonts w:ascii="Times New Roman" w:hAnsi="Times New Roman"/>
          <w:i/>
          <w:sz w:val="24"/>
        </w:rPr>
        <w:t>Flexible Imputation of Missing Data</w:t>
      </w:r>
      <w:r>
        <w:rPr>
          <w:rFonts w:ascii="Times New Roman" w:hAnsi="Times New Roman"/>
          <w:sz w:val="24"/>
        </w:rPr>
        <w:t>. 2nd edn. Boca Raton, FL: CRC Press.</w:t>
      </w:r>
    </w:p>
    <w:p>
      <w:r>
        <w:rPr>
          <w:rFonts w:ascii="Times New Roman" w:hAnsi="Times New Roman"/>
          <w:sz w:val="24"/>
        </w:rPr>
        <w:t xml:space="preserve">Waskom, M.L. (2021) 'seaborn: statistical data visualization', </w:t>
      </w:r>
      <w:r>
        <w:rPr>
          <w:rFonts w:ascii="Times New Roman" w:hAnsi="Times New Roman"/>
          <w:i/>
          <w:sz w:val="24"/>
        </w:rPr>
        <w:t>Journal of Open Source Software</w:t>
      </w:r>
      <w:r>
        <w:rPr>
          <w:rFonts w:ascii="Times New Roman" w:hAnsi="Times New Roman"/>
          <w:sz w:val="24"/>
        </w:rPr>
        <w:t>, 6(60), 3021. doi:10.21105/joss.03021.</w:t>
      </w:r>
    </w:p>
    <w:p>
      <w:r>
        <w:rPr>
          <w:rFonts w:ascii="Times New Roman" w:hAnsi="Times New Roman"/>
          <w:sz w:val="24"/>
        </w:rPr>
        <w:t xml:space="preserve">Wolpert, D.H. (1996) 'The lack of a priori distinctions between learning algorithms', </w:t>
      </w:r>
      <w:r>
        <w:rPr>
          <w:rFonts w:ascii="Times New Roman" w:hAnsi="Times New Roman"/>
          <w:i/>
          <w:sz w:val="24"/>
        </w:rPr>
        <w:t>Neural Computation</w:t>
      </w:r>
      <w:r>
        <w:rPr>
          <w:rFonts w:ascii="Times New Roman" w:hAnsi="Times New Roman"/>
          <w:sz w:val="24"/>
        </w:rPr>
        <w:t>, 8(7), pp. 1341-1390. doi:10.1162/neco.1996.8.7.1341.</w:t>
      </w:r>
    </w:p>
    <w:p>
      <w:r>
        <w:rPr>
          <w:rFonts w:ascii="Times New Roman" w:hAnsi="Times New Roman"/>
          <w:sz w:val="24"/>
        </w:rPr>
        <w:t xml:space="preserve">Yedla, A., Kakhki, F.D. and Jannesari, A. (2020) 'Predictive modeling for occupational safety outcomes and days away from work analysis in mining operations', </w:t>
      </w:r>
      <w:r>
        <w:rPr>
          <w:rFonts w:ascii="Times New Roman" w:hAnsi="Times New Roman"/>
          <w:i/>
          <w:sz w:val="24"/>
        </w:rPr>
        <w:t>International Journal of Environmental Research and Public Health</w:t>
      </w:r>
      <w:r>
        <w:rPr>
          <w:rFonts w:ascii="Times New Roman" w:hAnsi="Times New Roman"/>
          <w:sz w:val="24"/>
        </w:rPr>
        <w:t>, 17(19), 7054. doi:10.3390/ijerph17197054.</w:t>
      </w:r>
    </w:p>
    <w:p>
      <w:r>
        <w:br w:type="page"/>
      </w:r>
    </w:p>
    <w:p>
      <w:pPr>
        <w:pStyle w:val="Heading1"/>
      </w:pPr>
      <w:r>
        <w:rPr>
          <w:rFonts w:ascii="Times New Roman" w:hAnsi="Times New Roman"/>
          <w:b/>
          <w:color w:val="000000"/>
          <w:sz w:val="32"/>
        </w:rPr>
        <w:t>Appendix A Additional descriptive statistics</w:t>
      </w:r>
    </w:p>
    <w:p>
      <w:r>
        <w:rPr>
          <w:rFonts w:ascii="Times New Roman" w:hAnsi="Times New Roman"/>
          <w:sz w:val="24"/>
        </w:rPr>
        <w:t>Table 22 gives the statistics of Table 6 for the eight numeric features that Section 2.3 leaves out of the main table, so that all 20 numeric features are described.</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2"/>
              </w:rPr>
              <w:t>Feature (unit)</w:t>
            </w:r>
          </w:p>
        </w:tc>
        <w:tc>
          <w:tcPr>
            <w:tcW w:type="dxa" w:w="694"/>
            <w:shd w:val="clear" w:color="auto" w:fill="E7E6E6"/>
          </w:tcPr>
          <w:p>
            <w:pPr>
              <w:jc w:val="left"/>
            </w:pPr>
            <w:r>
              <w:rPr>
                <w:b/>
              </w:rPr>
            </w:r>
            <w:r>
              <w:rPr>
                <w:rFonts w:ascii="Times New Roman" w:hAnsi="Times New Roman"/>
                <w:b/>
                <w:sz w:val="22"/>
              </w:rPr>
              <w:t>Missing %</w:t>
            </w:r>
          </w:p>
        </w:tc>
        <w:tc>
          <w:tcPr>
            <w:tcW w:type="dxa" w:w="694"/>
            <w:shd w:val="clear" w:color="auto" w:fill="E7E6E6"/>
          </w:tcPr>
          <w:p>
            <w:pPr>
              <w:jc w:val="left"/>
            </w:pPr>
            <w:r>
              <w:rPr>
                <w:b/>
              </w:rPr>
            </w:r>
            <w:r>
              <w:rPr>
                <w:rFonts w:ascii="Times New Roman" w:hAnsi="Times New Roman"/>
                <w:b/>
                <w:sz w:val="22"/>
              </w:rPr>
              <w:t>Mean</w:t>
            </w:r>
          </w:p>
        </w:tc>
        <w:tc>
          <w:tcPr>
            <w:tcW w:type="dxa" w:w="694"/>
            <w:shd w:val="clear" w:color="auto" w:fill="E7E6E6"/>
          </w:tcPr>
          <w:p>
            <w:pPr>
              <w:jc w:val="left"/>
            </w:pPr>
            <w:r>
              <w:rPr>
                <w:b/>
              </w:rPr>
            </w:r>
            <w:r>
              <w:rPr>
                <w:rFonts w:ascii="Times New Roman" w:hAnsi="Times New Roman"/>
                <w:b/>
                <w:sz w:val="22"/>
              </w:rPr>
              <w:t>Median</w:t>
            </w:r>
          </w:p>
        </w:tc>
        <w:tc>
          <w:tcPr>
            <w:tcW w:type="dxa" w:w="694"/>
            <w:shd w:val="clear" w:color="auto" w:fill="E7E6E6"/>
          </w:tcPr>
          <w:p>
            <w:pPr>
              <w:jc w:val="left"/>
            </w:pPr>
            <w:r>
              <w:rPr>
                <w:b/>
              </w:rPr>
            </w:r>
            <w:r>
              <w:rPr>
                <w:rFonts w:ascii="Times New Roman" w:hAnsi="Times New Roman"/>
                <w:b/>
                <w:sz w:val="22"/>
              </w:rPr>
              <w:t>Trimmed mean</w:t>
            </w:r>
          </w:p>
        </w:tc>
        <w:tc>
          <w:tcPr>
            <w:tcW w:type="dxa" w:w="694"/>
            <w:shd w:val="clear" w:color="auto" w:fill="E7E6E6"/>
          </w:tcPr>
          <w:p>
            <w:pPr>
              <w:jc w:val="left"/>
            </w:pPr>
            <w:r>
              <w:rPr>
                <w:b/>
              </w:rPr>
            </w:r>
            <w:r>
              <w:rPr>
                <w:rFonts w:ascii="Times New Roman" w:hAnsi="Times New Roman"/>
                <w:b/>
                <w:sz w:val="22"/>
              </w:rPr>
              <w:t>Variance</w:t>
            </w:r>
          </w:p>
        </w:tc>
        <w:tc>
          <w:tcPr>
            <w:tcW w:type="dxa" w:w="694"/>
            <w:shd w:val="clear" w:color="auto" w:fill="E7E6E6"/>
          </w:tcPr>
          <w:p>
            <w:pPr>
              <w:jc w:val="left"/>
            </w:pPr>
            <w:r>
              <w:rPr>
                <w:b/>
              </w:rPr>
            </w:r>
            <w:r>
              <w:rPr>
                <w:rFonts w:ascii="Times New Roman" w:hAnsi="Times New Roman"/>
                <w:b/>
                <w:sz w:val="22"/>
              </w:rPr>
              <w:t>SD</w:t>
            </w:r>
          </w:p>
        </w:tc>
        <w:tc>
          <w:tcPr>
            <w:tcW w:type="dxa" w:w="694"/>
            <w:shd w:val="clear" w:color="auto" w:fill="E7E6E6"/>
          </w:tcPr>
          <w:p>
            <w:pPr>
              <w:jc w:val="left"/>
            </w:pPr>
            <w:r>
              <w:rPr>
                <w:b/>
              </w:rPr>
            </w:r>
            <w:r>
              <w:rPr>
                <w:rFonts w:ascii="Times New Roman" w:hAnsi="Times New Roman"/>
                <w:b/>
                <w:sz w:val="22"/>
              </w:rPr>
              <w:t>Min</w:t>
            </w:r>
          </w:p>
        </w:tc>
        <w:tc>
          <w:tcPr>
            <w:tcW w:type="dxa" w:w="694"/>
            <w:shd w:val="clear" w:color="auto" w:fill="E7E6E6"/>
          </w:tcPr>
          <w:p>
            <w:pPr>
              <w:jc w:val="left"/>
            </w:pPr>
            <w:r>
              <w:rPr>
                <w:b/>
              </w:rPr>
            </w:r>
            <w:r>
              <w:rPr>
                <w:rFonts w:ascii="Times New Roman" w:hAnsi="Times New Roman"/>
                <w:b/>
                <w:sz w:val="22"/>
              </w:rPr>
              <w:t>Q1</w:t>
            </w:r>
          </w:p>
        </w:tc>
        <w:tc>
          <w:tcPr>
            <w:tcW w:type="dxa" w:w="694"/>
            <w:shd w:val="clear" w:color="auto" w:fill="E7E6E6"/>
          </w:tcPr>
          <w:p>
            <w:pPr>
              <w:jc w:val="left"/>
            </w:pPr>
            <w:r>
              <w:rPr>
                <w:b/>
              </w:rPr>
            </w:r>
            <w:r>
              <w:rPr>
                <w:rFonts w:ascii="Times New Roman" w:hAnsi="Times New Roman"/>
                <w:b/>
                <w:sz w:val="22"/>
              </w:rPr>
              <w:t>Q3</w:t>
            </w:r>
          </w:p>
        </w:tc>
        <w:tc>
          <w:tcPr>
            <w:tcW w:type="dxa" w:w="694"/>
            <w:shd w:val="clear" w:color="auto" w:fill="E7E6E6"/>
          </w:tcPr>
          <w:p>
            <w:pPr>
              <w:jc w:val="left"/>
            </w:pPr>
            <w:r>
              <w:rPr>
                <w:b/>
              </w:rPr>
            </w:r>
            <w:r>
              <w:rPr>
                <w:rFonts w:ascii="Times New Roman" w:hAnsi="Times New Roman"/>
                <w:b/>
                <w:sz w:val="22"/>
              </w:rPr>
              <w:t>Max</w:t>
            </w:r>
          </w:p>
        </w:tc>
        <w:tc>
          <w:tcPr>
            <w:tcW w:type="dxa" w:w="694"/>
            <w:shd w:val="clear" w:color="auto" w:fill="E7E6E6"/>
          </w:tcPr>
          <w:p>
            <w:pPr>
              <w:jc w:val="left"/>
            </w:pPr>
            <w:r>
              <w:rPr>
                <w:b/>
              </w:rPr>
            </w:r>
            <w:r>
              <w:rPr>
                <w:rFonts w:ascii="Times New Roman" w:hAnsi="Times New Roman"/>
                <w:b/>
                <w:sz w:val="22"/>
              </w:rPr>
              <w:t>IQR</w:t>
            </w:r>
          </w:p>
        </w:tc>
        <w:tc>
          <w:tcPr>
            <w:tcW w:type="dxa" w:w="694"/>
            <w:shd w:val="clear" w:color="auto" w:fill="E7E6E6"/>
          </w:tcPr>
          <w:p>
            <w:pPr>
              <w:jc w:val="left"/>
            </w:pPr>
            <w:r>
              <w:rPr>
                <w:b/>
              </w:rPr>
            </w:r>
            <w:r>
              <w:rPr>
                <w:rFonts w:ascii="Times New Roman" w:hAnsi="Times New Roman"/>
                <w:b/>
                <w:sz w:val="22"/>
              </w:rPr>
              <w:t>Skewness</w:t>
            </w:r>
          </w:p>
        </w:tc>
      </w:tr>
      <w:tr>
        <w:tc>
          <w:tcPr>
            <w:tcW w:type="dxa" w:w="694"/>
          </w:tcPr>
          <w:p>
            <w:pPr>
              <w:spacing w:after="0"/>
              <w:jc w:val="left"/>
            </w:pPr>
            <w:r/>
            <w:r>
              <w:rPr>
                <w:rFonts w:ascii="Times New Roman" w:hAnsi="Times New Roman"/>
                <w:sz w:val="22"/>
              </w:rPr>
              <w:t>exper_ratio_job (ratio)</w:t>
            </w:r>
          </w:p>
        </w:tc>
        <w:tc>
          <w:tcPr>
            <w:tcW w:type="dxa" w:w="694"/>
          </w:tcPr>
          <w:p>
            <w:pPr>
              <w:spacing w:after="0"/>
              <w:jc w:val="left"/>
            </w:pPr>
            <w:r/>
            <w:r>
              <w:rPr>
                <w:rFonts w:ascii="Times New Roman" w:hAnsi="Times New Roman"/>
                <w:sz w:val="22"/>
              </w:rPr>
              <w:t>5.2</w:t>
            </w:r>
          </w:p>
        </w:tc>
        <w:tc>
          <w:tcPr>
            <w:tcW w:type="dxa" w:w="694"/>
          </w:tcPr>
          <w:p>
            <w:pPr>
              <w:spacing w:after="0"/>
              <w:jc w:val="left"/>
            </w:pPr>
            <w:r/>
            <w:r>
              <w:rPr>
                <w:rFonts w:ascii="Times New Roman" w:hAnsi="Times New Roman"/>
                <w:sz w:val="22"/>
              </w:rPr>
              <w:t>0.71</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0.75</w:t>
            </w:r>
          </w:p>
        </w:tc>
        <w:tc>
          <w:tcPr>
            <w:tcW w:type="dxa" w:w="694"/>
          </w:tcPr>
          <w:p>
            <w:pPr>
              <w:spacing w:after="0"/>
              <w:jc w:val="left"/>
            </w:pPr>
            <w:r/>
            <w:r>
              <w:rPr>
                <w:rFonts w:ascii="Times New Roman" w:hAnsi="Times New Roman"/>
                <w:sz w:val="22"/>
              </w:rPr>
              <w:t>0.13</w:t>
            </w:r>
          </w:p>
        </w:tc>
        <w:tc>
          <w:tcPr>
            <w:tcW w:type="dxa" w:w="694"/>
          </w:tcPr>
          <w:p>
            <w:pPr>
              <w:spacing w:after="0"/>
              <w:jc w:val="left"/>
            </w:pPr>
            <w:r/>
            <w:r>
              <w:rPr>
                <w:rFonts w:ascii="Times New Roman" w:hAnsi="Times New Roman"/>
                <w:sz w:val="22"/>
              </w:rPr>
              <w:t>0.36</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0.38</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0.62</w:t>
            </w:r>
          </w:p>
        </w:tc>
        <w:tc>
          <w:tcPr>
            <w:tcW w:type="dxa" w:w="694"/>
          </w:tcPr>
          <w:p>
            <w:pPr>
              <w:spacing w:after="0"/>
              <w:jc w:val="left"/>
            </w:pPr>
            <w:r/>
            <w:r>
              <w:rPr>
                <w:rFonts w:ascii="Times New Roman" w:hAnsi="Times New Roman"/>
                <w:sz w:val="22"/>
              </w:rPr>
              <w:t>-0.72</w:t>
            </w:r>
          </w:p>
        </w:tc>
      </w:tr>
      <w:tr>
        <w:tc>
          <w:tcPr>
            <w:tcW w:type="dxa" w:w="694"/>
          </w:tcPr>
          <w:p>
            <w:pPr>
              <w:spacing w:after="0"/>
              <w:jc w:val="left"/>
            </w:pPr>
            <w:r/>
            <w:r>
              <w:rPr>
                <w:rFonts w:ascii="Times New Roman" w:hAnsi="Times New Roman"/>
                <w:sz w:val="22"/>
              </w:rPr>
              <w:t>no_injuries_capped (persons)</w:t>
            </w:r>
          </w:p>
        </w:tc>
        <w:tc>
          <w:tcPr>
            <w:tcW w:type="dxa" w:w="694"/>
          </w:tcPr>
          <w:p>
            <w:pPr>
              <w:spacing w:after="0"/>
              <w:jc w:val="left"/>
            </w:pPr>
            <w:r/>
            <w:r>
              <w:rPr>
                <w:rFonts w:ascii="Times New Roman" w:hAnsi="Times New Roman"/>
                <w:sz w:val="22"/>
              </w:rPr>
              <w:t>0.0</w:t>
            </w:r>
          </w:p>
        </w:tc>
        <w:tc>
          <w:tcPr>
            <w:tcW w:type="dxa" w:w="694"/>
          </w:tcPr>
          <w:p>
            <w:pPr>
              <w:spacing w:after="0"/>
              <w:jc w:val="left"/>
            </w:pPr>
            <w:r/>
            <w:r>
              <w:rPr>
                <w:rFonts w:ascii="Times New Roman" w:hAnsi="Times New Roman"/>
                <w:sz w:val="22"/>
              </w:rPr>
              <w:t>1.02</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1.00</w:t>
            </w:r>
          </w:p>
        </w:tc>
        <w:tc>
          <w:tcPr>
            <w:tcW w:type="dxa" w:w="694"/>
          </w:tcPr>
          <w:p>
            <w:pPr>
              <w:spacing w:after="0"/>
              <w:jc w:val="left"/>
            </w:pPr>
            <w:r/>
            <w:r>
              <w:rPr>
                <w:rFonts w:ascii="Times New Roman" w:hAnsi="Times New Roman"/>
                <w:sz w:val="22"/>
              </w:rPr>
              <w:t>0.05</w:t>
            </w:r>
          </w:p>
        </w:tc>
        <w:tc>
          <w:tcPr>
            <w:tcW w:type="dxa" w:w="694"/>
          </w:tcPr>
          <w:p>
            <w:pPr>
              <w:spacing w:after="0"/>
              <w:jc w:val="left"/>
            </w:pPr>
            <w:r/>
            <w:r>
              <w:rPr>
                <w:rFonts w:ascii="Times New Roman" w:hAnsi="Times New Roman"/>
                <w:sz w:val="22"/>
              </w:rPr>
              <w:t>0.23</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1</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21.94</w:t>
            </w:r>
          </w:p>
        </w:tc>
      </w:tr>
      <w:tr>
        <w:tc>
          <w:tcPr>
            <w:tcW w:type="dxa" w:w="694"/>
          </w:tcPr>
          <w:p>
            <w:pPr>
              <w:spacing w:after="0"/>
              <w:jc w:val="left"/>
            </w:pPr>
            <w:r/>
            <w:r>
              <w:rPr>
                <w:rFonts w:ascii="Times New Roman" w:hAnsi="Times New Roman"/>
                <w:sz w:val="22"/>
              </w:rPr>
              <w:t>accident_hour (hour, 0-23)</w:t>
            </w:r>
          </w:p>
        </w:tc>
        <w:tc>
          <w:tcPr>
            <w:tcW w:type="dxa" w:w="694"/>
          </w:tcPr>
          <w:p>
            <w:pPr>
              <w:spacing w:after="0"/>
              <w:jc w:val="left"/>
            </w:pPr>
            <w:r/>
            <w:r>
              <w:rPr>
                <w:rFonts w:ascii="Times New Roman" w:hAnsi="Times New Roman"/>
                <w:sz w:val="22"/>
              </w:rPr>
              <w:t>3.0</w:t>
            </w:r>
          </w:p>
        </w:tc>
        <w:tc>
          <w:tcPr>
            <w:tcW w:type="dxa" w:w="694"/>
          </w:tcPr>
          <w:p>
            <w:pPr>
              <w:spacing w:after="0"/>
              <w:jc w:val="left"/>
            </w:pPr>
            <w:r/>
            <w:r>
              <w:rPr>
                <w:rFonts w:ascii="Times New Roman" w:hAnsi="Times New Roman"/>
                <w:sz w:val="22"/>
              </w:rPr>
              <w:t>11.7</w:t>
            </w:r>
          </w:p>
        </w:tc>
        <w:tc>
          <w:tcPr>
            <w:tcW w:type="dxa" w:w="694"/>
          </w:tcPr>
          <w:p>
            <w:pPr>
              <w:spacing w:after="0"/>
              <w:jc w:val="left"/>
            </w:pPr>
            <w:r/>
            <w:r>
              <w:rPr>
                <w:rFonts w:ascii="Times New Roman" w:hAnsi="Times New Roman"/>
                <w:sz w:val="22"/>
              </w:rPr>
              <w:t>11.0</w:t>
            </w:r>
          </w:p>
        </w:tc>
        <w:tc>
          <w:tcPr>
            <w:tcW w:type="dxa" w:w="694"/>
          </w:tcPr>
          <w:p>
            <w:pPr>
              <w:spacing w:after="0"/>
              <w:jc w:val="left"/>
            </w:pPr>
            <w:r/>
            <w:r>
              <w:rPr>
                <w:rFonts w:ascii="Times New Roman" w:hAnsi="Times New Roman"/>
                <w:sz w:val="22"/>
              </w:rPr>
              <w:t>11.6</w:t>
            </w:r>
          </w:p>
        </w:tc>
        <w:tc>
          <w:tcPr>
            <w:tcW w:type="dxa" w:w="694"/>
          </w:tcPr>
          <w:p>
            <w:pPr>
              <w:spacing w:after="0"/>
              <w:jc w:val="left"/>
            </w:pPr>
            <w:r/>
            <w:r>
              <w:rPr>
                <w:rFonts w:ascii="Times New Roman" w:hAnsi="Times New Roman"/>
                <w:sz w:val="22"/>
              </w:rPr>
              <w:t>30.7</w:t>
            </w:r>
          </w:p>
        </w:tc>
        <w:tc>
          <w:tcPr>
            <w:tcW w:type="dxa" w:w="694"/>
          </w:tcPr>
          <w:p>
            <w:pPr>
              <w:spacing w:after="0"/>
              <w:jc w:val="left"/>
            </w:pPr>
            <w:r/>
            <w:r>
              <w:rPr>
                <w:rFonts w:ascii="Times New Roman" w:hAnsi="Times New Roman"/>
                <w:sz w:val="22"/>
              </w:rPr>
              <w:t>5.5</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8</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7</w:t>
            </w:r>
          </w:p>
        </w:tc>
        <w:tc>
          <w:tcPr>
            <w:tcW w:type="dxa" w:w="694"/>
          </w:tcPr>
          <w:p>
            <w:pPr>
              <w:spacing w:after="0"/>
              <w:jc w:val="left"/>
            </w:pPr>
            <w:r/>
            <w:r>
              <w:rPr>
                <w:rFonts w:ascii="Times New Roman" w:hAnsi="Times New Roman"/>
                <w:sz w:val="22"/>
              </w:rPr>
              <w:t>0.06</w:t>
            </w:r>
          </w:p>
        </w:tc>
      </w:tr>
      <w:tr>
        <w:tc>
          <w:tcPr>
            <w:tcW w:type="dxa" w:w="694"/>
          </w:tcPr>
          <w:p>
            <w:pPr>
              <w:spacing w:after="0"/>
              <w:jc w:val="left"/>
            </w:pPr>
            <w:r/>
            <w:r>
              <w:rPr>
                <w:rFonts w:ascii="Times New Roman" w:hAnsi="Times New Roman"/>
                <w:sz w:val="22"/>
              </w:rPr>
              <w:t>shift_begin_hour (hour, 0-23)</w:t>
            </w:r>
          </w:p>
        </w:tc>
        <w:tc>
          <w:tcPr>
            <w:tcW w:type="dxa" w:w="694"/>
          </w:tcPr>
          <w:p>
            <w:pPr>
              <w:spacing w:after="0"/>
              <w:jc w:val="left"/>
            </w:pPr>
            <w:r/>
            <w:r>
              <w:rPr>
                <w:rFonts w:ascii="Times New Roman" w:hAnsi="Times New Roman"/>
                <w:sz w:val="22"/>
              </w:rPr>
              <w:t>0.5</w:t>
            </w:r>
          </w:p>
        </w:tc>
        <w:tc>
          <w:tcPr>
            <w:tcW w:type="dxa" w:w="694"/>
          </w:tcPr>
          <w:p>
            <w:pPr>
              <w:spacing w:after="0"/>
              <w:jc w:val="left"/>
            </w:pPr>
            <w:r/>
            <w:r>
              <w:rPr>
                <w:rFonts w:ascii="Times New Roman" w:hAnsi="Times New Roman"/>
                <w:sz w:val="22"/>
              </w:rPr>
              <w:t>9.7</w:t>
            </w:r>
          </w:p>
        </w:tc>
        <w:tc>
          <w:tcPr>
            <w:tcW w:type="dxa" w:w="694"/>
          </w:tcPr>
          <w:p>
            <w:pPr>
              <w:spacing w:after="0"/>
              <w:jc w:val="left"/>
            </w:pPr>
            <w:r/>
            <w:r>
              <w:rPr>
                <w:rFonts w:ascii="Times New Roman" w:hAnsi="Times New Roman"/>
                <w:sz w:val="22"/>
              </w:rPr>
              <w:t>7.0</w:t>
            </w:r>
          </w:p>
        </w:tc>
        <w:tc>
          <w:tcPr>
            <w:tcW w:type="dxa" w:w="694"/>
          </w:tcPr>
          <w:p>
            <w:pPr>
              <w:spacing w:after="0"/>
              <w:jc w:val="left"/>
            </w:pPr>
            <w:r/>
            <w:r>
              <w:rPr>
                <w:rFonts w:ascii="Times New Roman" w:hAnsi="Times New Roman"/>
                <w:sz w:val="22"/>
              </w:rPr>
              <w:t>9.0</w:t>
            </w:r>
          </w:p>
        </w:tc>
        <w:tc>
          <w:tcPr>
            <w:tcW w:type="dxa" w:w="694"/>
          </w:tcPr>
          <w:p>
            <w:pPr>
              <w:spacing w:after="0"/>
              <w:jc w:val="left"/>
            </w:pPr>
            <w:r/>
            <w:r>
              <w:rPr>
                <w:rFonts w:ascii="Times New Roman" w:hAnsi="Times New Roman"/>
                <w:sz w:val="22"/>
              </w:rPr>
              <w:t>32.5</w:t>
            </w:r>
          </w:p>
        </w:tc>
        <w:tc>
          <w:tcPr>
            <w:tcW w:type="dxa" w:w="694"/>
          </w:tcPr>
          <w:p>
            <w:pPr>
              <w:spacing w:after="0"/>
              <w:jc w:val="left"/>
            </w:pPr>
            <w:r/>
            <w:r>
              <w:rPr>
                <w:rFonts w:ascii="Times New Roman" w:hAnsi="Times New Roman"/>
                <w:sz w:val="22"/>
              </w:rPr>
              <w:t>5.7</w:t>
            </w:r>
          </w:p>
        </w:tc>
        <w:tc>
          <w:tcPr>
            <w:tcW w:type="dxa" w:w="694"/>
          </w:tcPr>
          <w:p>
            <w:pPr>
              <w:spacing w:after="0"/>
              <w:jc w:val="left"/>
            </w:pPr>
            <w:r/>
            <w:r>
              <w:rPr>
                <w:rFonts w:ascii="Times New Roman" w:hAnsi="Times New Roman"/>
                <w:sz w:val="22"/>
              </w:rPr>
              <w:t>0</w:t>
            </w:r>
          </w:p>
        </w:tc>
        <w:tc>
          <w:tcPr>
            <w:tcW w:type="dxa" w:w="694"/>
          </w:tcPr>
          <w:p>
            <w:pPr>
              <w:spacing w:after="0"/>
              <w:jc w:val="left"/>
            </w:pPr>
            <w:r/>
            <w:r>
              <w:rPr>
                <w:rFonts w:ascii="Times New Roman" w:hAnsi="Times New Roman"/>
                <w:sz w:val="22"/>
              </w:rPr>
              <w:t>6</w:t>
            </w:r>
          </w:p>
        </w:tc>
        <w:tc>
          <w:tcPr>
            <w:tcW w:type="dxa" w:w="694"/>
          </w:tcPr>
          <w:p>
            <w:pPr>
              <w:spacing w:after="0"/>
              <w:jc w:val="left"/>
            </w:pPr>
            <w:r/>
            <w:r>
              <w:rPr>
                <w:rFonts w:ascii="Times New Roman" w:hAnsi="Times New Roman"/>
                <w:sz w:val="22"/>
              </w:rPr>
              <w:t>15</w:t>
            </w:r>
          </w:p>
        </w:tc>
        <w:tc>
          <w:tcPr>
            <w:tcW w:type="dxa" w:w="694"/>
          </w:tcPr>
          <w:p>
            <w:pPr>
              <w:spacing w:after="0"/>
              <w:jc w:val="left"/>
            </w:pPr>
            <w:r/>
            <w:r>
              <w:rPr>
                <w:rFonts w:ascii="Times New Roman" w:hAnsi="Times New Roman"/>
                <w:sz w:val="22"/>
              </w:rPr>
              <w:t>23</w:t>
            </w:r>
          </w:p>
        </w:tc>
        <w:tc>
          <w:tcPr>
            <w:tcW w:type="dxa" w:w="694"/>
          </w:tcPr>
          <w:p>
            <w:pPr>
              <w:spacing w:after="0"/>
              <w:jc w:val="left"/>
            </w:pPr>
            <w:r/>
            <w:r>
              <w:rPr>
                <w:rFonts w:ascii="Times New Roman" w:hAnsi="Times New Roman"/>
                <w:sz w:val="22"/>
              </w:rPr>
              <w:t>9</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latitude (degrees)</w:t>
            </w:r>
          </w:p>
        </w:tc>
        <w:tc>
          <w:tcPr>
            <w:tcW w:type="dxa" w:w="694"/>
          </w:tcPr>
          <w:p>
            <w:pPr>
              <w:spacing w:after="0"/>
              <w:jc w:val="left"/>
            </w:pPr>
            <w:r/>
            <w:r>
              <w:rPr>
                <w:rFonts w:ascii="Times New Roman" w:hAnsi="Times New Roman"/>
                <w:sz w:val="22"/>
              </w:rPr>
              <w:t>0.2</w:t>
            </w:r>
          </w:p>
        </w:tc>
        <w:tc>
          <w:tcPr>
            <w:tcW w:type="dxa" w:w="694"/>
          </w:tcPr>
          <w:p>
            <w:pPr>
              <w:spacing w:after="0"/>
              <w:jc w:val="left"/>
            </w:pPr>
            <w:r/>
            <w:r>
              <w:rPr>
                <w:rFonts w:ascii="Times New Roman" w:hAnsi="Times New Roman"/>
                <w:sz w:val="22"/>
              </w:rPr>
              <w:t>38.4</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38.2</w:t>
            </w:r>
          </w:p>
        </w:tc>
        <w:tc>
          <w:tcPr>
            <w:tcW w:type="dxa" w:w="694"/>
          </w:tcPr>
          <w:p>
            <w:pPr>
              <w:spacing w:after="0"/>
              <w:jc w:val="left"/>
            </w:pPr>
            <w:r/>
            <w:r>
              <w:rPr>
                <w:rFonts w:ascii="Times New Roman" w:hAnsi="Times New Roman"/>
                <w:sz w:val="22"/>
              </w:rPr>
              <w:t>26.2</w:t>
            </w:r>
          </w:p>
        </w:tc>
        <w:tc>
          <w:tcPr>
            <w:tcW w:type="dxa" w:w="694"/>
          </w:tcPr>
          <w:p>
            <w:pPr>
              <w:spacing w:after="0"/>
              <w:jc w:val="left"/>
            </w:pPr>
            <w:r/>
            <w:r>
              <w:rPr>
                <w:rFonts w:ascii="Times New Roman" w:hAnsi="Times New Roman"/>
                <w:sz w:val="22"/>
              </w:rPr>
              <w:t>5.1</w:t>
            </w:r>
          </w:p>
        </w:tc>
        <w:tc>
          <w:tcPr>
            <w:tcW w:type="dxa" w:w="694"/>
          </w:tcPr>
          <w:p>
            <w:pPr>
              <w:spacing w:after="0"/>
              <w:jc w:val="left"/>
            </w:pPr>
            <w:r/>
            <w:r>
              <w:rPr>
                <w:rFonts w:ascii="Times New Roman" w:hAnsi="Times New Roman"/>
                <w:sz w:val="22"/>
              </w:rPr>
              <w:t>18.0</w:t>
            </w:r>
          </w:p>
        </w:tc>
        <w:tc>
          <w:tcPr>
            <w:tcW w:type="dxa" w:w="694"/>
          </w:tcPr>
          <w:p>
            <w:pPr>
              <w:spacing w:after="0"/>
              <w:jc w:val="left"/>
            </w:pPr>
            <w:r/>
            <w:r>
              <w:rPr>
                <w:rFonts w:ascii="Times New Roman" w:hAnsi="Times New Roman"/>
                <w:sz w:val="22"/>
              </w:rPr>
              <w:t>35.9</w:t>
            </w:r>
          </w:p>
        </w:tc>
        <w:tc>
          <w:tcPr>
            <w:tcW w:type="dxa" w:w="694"/>
          </w:tcPr>
          <w:p>
            <w:pPr>
              <w:spacing w:after="0"/>
              <w:jc w:val="left"/>
            </w:pPr>
            <w:r/>
            <w:r>
              <w:rPr>
                <w:rFonts w:ascii="Times New Roman" w:hAnsi="Times New Roman"/>
                <w:sz w:val="22"/>
              </w:rPr>
              <w:t>40.5</w:t>
            </w:r>
          </w:p>
        </w:tc>
        <w:tc>
          <w:tcPr>
            <w:tcW w:type="dxa" w:w="694"/>
          </w:tcPr>
          <w:p>
            <w:pPr>
              <w:spacing w:after="0"/>
              <w:jc w:val="left"/>
            </w:pPr>
            <w:r/>
            <w:r>
              <w:rPr>
                <w:rFonts w:ascii="Times New Roman" w:hAnsi="Times New Roman"/>
                <w:sz w:val="22"/>
              </w:rPr>
              <w:t>68.0</w:t>
            </w:r>
          </w:p>
        </w:tc>
        <w:tc>
          <w:tcPr>
            <w:tcW w:type="dxa" w:w="694"/>
          </w:tcPr>
          <w:p>
            <w:pPr>
              <w:spacing w:after="0"/>
              <w:jc w:val="left"/>
            </w:pPr>
            <w:r/>
            <w:r>
              <w:rPr>
                <w:rFonts w:ascii="Times New Roman" w:hAnsi="Times New Roman"/>
                <w:sz w:val="22"/>
              </w:rPr>
              <w:t>4.6</w:t>
            </w:r>
          </w:p>
        </w:tc>
        <w:tc>
          <w:tcPr>
            <w:tcW w:type="dxa" w:w="694"/>
          </w:tcPr>
          <w:p>
            <w:pPr>
              <w:spacing w:after="0"/>
              <w:jc w:val="left"/>
            </w:pPr>
            <w:r/>
            <w:r>
              <w:rPr>
                <w:rFonts w:ascii="Times New Roman" w:hAnsi="Times New Roman"/>
                <w:sz w:val="22"/>
              </w:rPr>
              <w:t>0.96</w:t>
            </w:r>
          </w:p>
        </w:tc>
      </w:tr>
      <w:tr>
        <w:tc>
          <w:tcPr>
            <w:tcW w:type="dxa" w:w="694"/>
          </w:tcPr>
          <w:p>
            <w:pPr>
              <w:spacing w:after="0"/>
              <w:jc w:val="left"/>
            </w:pPr>
            <w:r/>
            <w:r>
              <w:rPr>
                <w:rFonts w:ascii="Times New Roman" w:hAnsi="Times New Roman"/>
                <w:sz w:val="22"/>
              </w:rPr>
              <w:t>log1p_prev_hours (log1p of hours)</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12.27</w:t>
            </w:r>
          </w:p>
        </w:tc>
        <w:tc>
          <w:tcPr>
            <w:tcW w:type="dxa" w:w="694"/>
          </w:tcPr>
          <w:p>
            <w:pPr>
              <w:spacing w:after="0"/>
              <w:jc w:val="left"/>
            </w:pPr>
            <w:r/>
            <w:r>
              <w:rPr>
                <w:rFonts w:ascii="Times New Roman" w:hAnsi="Times New Roman"/>
                <w:sz w:val="22"/>
              </w:rPr>
              <w:t>12.42</w:t>
            </w:r>
          </w:p>
        </w:tc>
        <w:tc>
          <w:tcPr>
            <w:tcW w:type="dxa" w:w="694"/>
          </w:tcPr>
          <w:p>
            <w:pPr>
              <w:spacing w:after="0"/>
              <w:jc w:val="left"/>
            </w:pPr>
            <w:r/>
            <w:r>
              <w:rPr>
                <w:rFonts w:ascii="Times New Roman" w:hAnsi="Times New Roman"/>
                <w:sz w:val="22"/>
              </w:rPr>
              <w:t>12.36</w:t>
            </w:r>
          </w:p>
        </w:tc>
        <w:tc>
          <w:tcPr>
            <w:tcW w:type="dxa" w:w="694"/>
          </w:tcPr>
          <w:p>
            <w:pPr>
              <w:spacing w:after="0"/>
              <w:jc w:val="left"/>
            </w:pPr>
            <w:r/>
            <w:r>
              <w:rPr>
                <w:rFonts w:ascii="Times New Roman" w:hAnsi="Times New Roman"/>
                <w:sz w:val="22"/>
              </w:rPr>
              <w:t>2.79</w:t>
            </w:r>
          </w:p>
        </w:tc>
        <w:tc>
          <w:tcPr>
            <w:tcW w:type="dxa" w:w="694"/>
          </w:tcPr>
          <w:p>
            <w:pPr>
              <w:spacing w:after="0"/>
              <w:jc w:val="left"/>
            </w:pPr>
            <w:r/>
            <w:r>
              <w:rPr>
                <w:rFonts w:ascii="Times New Roman" w:hAnsi="Times New Roman"/>
                <w:sz w:val="22"/>
              </w:rPr>
              <w:t>1.67</w:t>
            </w:r>
          </w:p>
        </w:tc>
        <w:tc>
          <w:tcPr>
            <w:tcW w:type="dxa" w:w="694"/>
          </w:tcPr>
          <w:p>
            <w:pPr>
              <w:spacing w:after="0"/>
              <w:jc w:val="left"/>
            </w:pPr>
            <w:r/>
            <w:r>
              <w:rPr>
                <w:rFonts w:ascii="Times New Roman" w:hAnsi="Times New Roman"/>
                <w:sz w:val="22"/>
              </w:rPr>
              <w:t>0.69</w:t>
            </w:r>
          </w:p>
        </w:tc>
        <w:tc>
          <w:tcPr>
            <w:tcW w:type="dxa" w:w="694"/>
          </w:tcPr>
          <w:p>
            <w:pPr>
              <w:spacing w:after="0"/>
              <w:jc w:val="left"/>
            </w:pPr>
            <w:r/>
            <w:r>
              <w:rPr>
                <w:rFonts w:ascii="Times New Roman" w:hAnsi="Times New Roman"/>
                <w:sz w:val="22"/>
              </w:rPr>
              <w:t>11.15</w:t>
            </w:r>
          </w:p>
        </w:tc>
        <w:tc>
          <w:tcPr>
            <w:tcW w:type="dxa" w:w="694"/>
          </w:tcPr>
          <w:p>
            <w:pPr>
              <w:spacing w:after="0"/>
              <w:jc w:val="left"/>
            </w:pPr>
            <w:r/>
            <w:r>
              <w:rPr>
                <w:rFonts w:ascii="Times New Roman" w:hAnsi="Times New Roman"/>
                <w:sz w:val="22"/>
              </w:rPr>
              <w:t>13.63</w:t>
            </w:r>
          </w:p>
        </w:tc>
        <w:tc>
          <w:tcPr>
            <w:tcW w:type="dxa" w:w="694"/>
          </w:tcPr>
          <w:p>
            <w:pPr>
              <w:spacing w:after="0"/>
              <w:jc w:val="left"/>
            </w:pPr>
            <w:r/>
            <w:r>
              <w:rPr>
                <w:rFonts w:ascii="Times New Roman" w:hAnsi="Times New Roman"/>
                <w:sz w:val="22"/>
              </w:rPr>
              <w:t>15.86</w:t>
            </w:r>
          </w:p>
        </w:tc>
        <w:tc>
          <w:tcPr>
            <w:tcW w:type="dxa" w:w="694"/>
          </w:tcPr>
          <w:p>
            <w:pPr>
              <w:spacing w:after="0"/>
              <w:jc w:val="left"/>
            </w:pPr>
            <w:r/>
            <w:r>
              <w:rPr>
                <w:rFonts w:ascii="Times New Roman" w:hAnsi="Times New Roman"/>
                <w:sz w:val="22"/>
              </w:rPr>
              <w:t>2.48</w:t>
            </w:r>
          </w:p>
        </w:tc>
        <w:tc>
          <w:tcPr>
            <w:tcW w:type="dxa" w:w="694"/>
          </w:tcPr>
          <w:p>
            <w:pPr>
              <w:spacing w:after="0"/>
              <w:jc w:val="left"/>
            </w:pPr>
            <w:r/>
            <w:r>
              <w:rPr>
                <w:rFonts w:ascii="Times New Roman" w:hAnsi="Times New Roman"/>
                <w:sz w:val="22"/>
              </w:rPr>
              <w:t>-0.55</w:t>
            </w:r>
          </w:p>
        </w:tc>
      </w:tr>
      <w:tr>
        <w:tc>
          <w:tcPr>
            <w:tcW w:type="dxa" w:w="694"/>
          </w:tcPr>
          <w:p>
            <w:pPr>
              <w:spacing w:after="0"/>
              <w:jc w:val="left"/>
            </w:pPr>
            <w:r/>
            <w:r>
              <w:rPr>
                <w:rFonts w:ascii="Times New Roman" w:hAnsi="Times New Roman"/>
                <w:sz w:val="22"/>
              </w:rPr>
              <w:t>prev_hours_per_employee (hours per person)</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2,140.9</w:t>
            </w:r>
          </w:p>
        </w:tc>
        <w:tc>
          <w:tcPr>
            <w:tcW w:type="dxa" w:w="694"/>
          </w:tcPr>
          <w:p>
            <w:pPr>
              <w:spacing w:after="0"/>
              <w:jc w:val="left"/>
            </w:pPr>
            <w:r/>
            <w:r>
              <w:rPr>
                <w:rFonts w:ascii="Times New Roman" w:hAnsi="Times New Roman"/>
                <w:sz w:val="22"/>
              </w:rPr>
              <w:t>2,171.3</w:t>
            </w:r>
          </w:p>
        </w:tc>
        <w:tc>
          <w:tcPr>
            <w:tcW w:type="dxa" w:w="694"/>
          </w:tcPr>
          <w:p>
            <w:pPr>
              <w:spacing w:after="0"/>
              <w:jc w:val="left"/>
            </w:pPr>
            <w:r/>
            <w:r>
              <w:rPr>
                <w:rFonts w:ascii="Times New Roman" w:hAnsi="Times New Roman"/>
                <w:sz w:val="22"/>
              </w:rPr>
              <w:t>2,171.4</w:t>
            </w:r>
          </w:p>
        </w:tc>
        <w:tc>
          <w:tcPr>
            <w:tcW w:type="dxa" w:w="694"/>
          </w:tcPr>
          <w:p>
            <w:pPr>
              <w:spacing w:after="0"/>
              <w:jc w:val="left"/>
            </w:pPr>
            <w:r/>
            <w:r>
              <w:rPr>
                <w:rFonts w:ascii="Times New Roman" w:hAnsi="Times New Roman"/>
                <w:sz w:val="22"/>
              </w:rPr>
              <w:t>171,488</w:t>
            </w:r>
          </w:p>
        </w:tc>
        <w:tc>
          <w:tcPr>
            <w:tcW w:type="dxa" w:w="694"/>
          </w:tcPr>
          <w:p>
            <w:pPr>
              <w:spacing w:after="0"/>
              <w:jc w:val="left"/>
            </w:pPr>
            <w:r/>
            <w:r>
              <w:rPr>
                <w:rFonts w:ascii="Times New Roman" w:hAnsi="Times New Roman"/>
                <w:sz w:val="22"/>
              </w:rPr>
              <w:t>414.1</w:t>
            </w:r>
          </w:p>
        </w:tc>
        <w:tc>
          <w:tcPr>
            <w:tcW w:type="dxa" w:w="694"/>
          </w:tcPr>
          <w:p>
            <w:pPr>
              <w:spacing w:after="0"/>
              <w:jc w:val="left"/>
            </w:pPr>
            <w:r/>
            <w:r>
              <w:rPr>
                <w:rFonts w:ascii="Times New Roman" w:hAnsi="Times New Roman"/>
                <w:sz w:val="22"/>
              </w:rPr>
              <w:t>1.0</w:t>
            </w:r>
          </w:p>
        </w:tc>
        <w:tc>
          <w:tcPr>
            <w:tcW w:type="dxa" w:w="694"/>
          </w:tcPr>
          <w:p>
            <w:pPr>
              <w:spacing w:after="0"/>
              <w:jc w:val="left"/>
            </w:pPr>
            <w:r/>
            <w:r>
              <w:rPr>
                <w:rFonts w:ascii="Times New Roman" w:hAnsi="Times New Roman"/>
                <w:sz w:val="22"/>
              </w:rPr>
              <w:t>1,986.9</w:t>
            </w:r>
          </w:p>
        </w:tc>
        <w:tc>
          <w:tcPr>
            <w:tcW w:type="dxa" w:w="694"/>
          </w:tcPr>
          <w:p>
            <w:pPr>
              <w:spacing w:after="0"/>
              <w:jc w:val="left"/>
            </w:pPr>
            <w:r/>
            <w:r>
              <w:rPr>
                <w:rFonts w:ascii="Times New Roman" w:hAnsi="Times New Roman"/>
                <w:sz w:val="22"/>
              </w:rPr>
              <w:t>2,364.2</w:t>
            </w:r>
          </w:p>
        </w:tc>
        <w:tc>
          <w:tcPr>
            <w:tcW w:type="dxa" w:w="694"/>
          </w:tcPr>
          <w:p>
            <w:pPr>
              <w:spacing w:after="0"/>
              <w:jc w:val="left"/>
            </w:pPr>
            <w:r/>
            <w:r>
              <w:rPr>
                <w:rFonts w:ascii="Times New Roman" w:hAnsi="Times New Roman"/>
                <w:sz w:val="22"/>
              </w:rPr>
              <w:t>4,786.7</w:t>
            </w:r>
          </w:p>
        </w:tc>
        <w:tc>
          <w:tcPr>
            <w:tcW w:type="dxa" w:w="694"/>
          </w:tcPr>
          <w:p>
            <w:pPr>
              <w:spacing w:after="0"/>
              <w:jc w:val="left"/>
            </w:pPr>
            <w:r/>
            <w:r>
              <w:rPr>
                <w:rFonts w:ascii="Times New Roman" w:hAnsi="Times New Roman"/>
                <w:sz w:val="22"/>
              </w:rPr>
              <w:t>377.2</w:t>
            </w:r>
          </w:p>
        </w:tc>
        <w:tc>
          <w:tcPr>
            <w:tcW w:type="dxa" w:w="694"/>
          </w:tcPr>
          <w:p>
            <w:pPr>
              <w:spacing w:after="0"/>
              <w:jc w:val="left"/>
            </w:pPr>
            <w:r/>
            <w:r>
              <w:rPr>
                <w:rFonts w:ascii="Times New Roman" w:hAnsi="Times New Roman"/>
                <w:sz w:val="22"/>
              </w:rPr>
              <w:t>-1.19</w:t>
            </w:r>
          </w:p>
        </w:tc>
      </w:tr>
      <w:tr>
        <w:tc>
          <w:tcPr>
            <w:tcW w:type="dxa" w:w="694"/>
          </w:tcPr>
          <w:p>
            <w:pPr>
              <w:spacing w:after="0"/>
              <w:jc w:val="left"/>
            </w:pPr>
            <w:r/>
            <w:r>
              <w:rPr>
                <w:rFonts w:ascii="Times New Roman" w:hAnsi="Times New Roman"/>
                <w:sz w:val="22"/>
              </w:rPr>
              <w:t>prev_incident_rate_200k (log1p)</w:t>
            </w:r>
          </w:p>
        </w:tc>
        <w:tc>
          <w:tcPr>
            <w:tcW w:type="dxa" w:w="694"/>
          </w:tcPr>
          <w:p>
            <w:pPr>
              <w:spacing w:after="0"/>
              <w:jc w:val="left"/>
            </w:pPr>
            <w:r/>
            <w:r>
              <w:rPr>
                <w:rFonts w:ascii="Times New Roman" w:hAnsi="Times New Roman"/>
                <w:sz w:val="22"/>
              </w:rPr>
              <w:t>1.2</w:t>
            </w:r>
          </w:p>
        </w:tc>
        <w:tc>
          <w:tcPr>
            <w:tcW w:type="dxa" w:w="694"/>
          </w:tcPr>
          <w:p>
            <w:pPr>
              <w:spacing w:after="0"/>
              <w:jc w:val="left"/>
            </w:pPr>
            <w:r/>
            <w:r>
              <w:rPr>
                <w:rFonts w:ascii="Times New Roman" w:hAnsi="Times New Roman"/>
                <w:sz w:val="22"/>
              </w:rPr>
              <w:t>1.51</w:t>
            </w:r>
          </w:p>
        </w:tc>
        <w:tc>
          <w:tcPr>
            <w:tcW w:type="dxa" w:w="694"/>
          </w:tcPr>
          <w:p>
            <w:pPr>
              <w:spacing w:after="0"/>
              <w:jc w:val="left"/>
            </w:pPr>
            <w:r/>
            <w:r>
              <w:rPr>
                <w:rFonts w:ascii="Times New Roman" w:hAnsi="Times New Roman"/>
                <w:sz w:val="22"/>
              </w:rPr>
              <w:t>1.66</w:t>
            </w:r>
          </w:p>
        </w:tc>
        <w:tc>
          <w:tcPr>
            <w:tcW w:type="dxa" w:w="694"/>
          </w:tcPr>
          <w:p>
            <w:pPr>
              <w:spacing w:after="0"/>
              <w:jc w:val="left"/>
            </w:pPr>
            <w:r/>
            <w:r>
              <w:rPr>
                <w:rFonts w:ascii="Times New Roman" w:hAnsi="Times New Roman"/>
                <w:sz w:val="22"/>
              </w:rPr>
              <w:t>1.53</w:t>
            </w:r>
          </w:p>
        </w:tc>
        <w:tc>
          <w:tcPr>
            <w:tcW w:type="dxa" w:w="694"/>
          </w:tcPr>
          <w:p>
            <w:pPr>
              <w:spacing w:after="0"/>
              <w:jc w:val="left"/>
            </w:pPr>
            <w:r/>
            <w:r>
              <w:rPr>
                <w:rFonts w:ascii="Times New Roman" w:hAnsi="Times New Roman"/>
                <w:sz w:val="22"/>
              </w:rPr>
              <w:t>0.83</w:t>
            </w:r>
          </w:p>
        </w:tc>
        <w:tc>
          <w:tcPr>
            <w:tcW w:type="dxa" w:w="694"/>
          </w:tcPr>
          <w:p>
            <w:pPr>
              <w:spacing w:after="0"/>
              <w:jc w:val="left"/>
            </w:pPr>
            <w:r/>
            <w:r>
              <w:rPr>
                <w:rFonts w:ascii="Times New Roman" w:hAnsi="Times New Roman"/>
                <w:sz w:val="22"/>
              </w:rPr>
              <w:t>0.91</w:t>
            </w:r>
          </w:p>
        </w:tc>
        <w:tc>
          <w:tcPr>
            <w:tcW w:type="dxa" w:w="694"/>
          </w:tcPr>
          <w:p>
            <w:pPr>
              <w:spacing w:after="0"/>
              <w:jc w:val="left"/>
            </w:pPr>
            <w:r/>
            <w:r>
              <w:rPr>
                <w:rFonts w:ascii="Times New Roman" w:hAnsi="Times New Roman"/>
                <w:sz w:val="22"/>
              </w:rPr>
              <w:t>0.00</w:t>
            </w:r>
          </w:p>
        </w:tc>
        <w:tc>
          <w:tcPr>
            <w:tcW w:type="dxa" w:w="694"/>
          </w:tcPr>
          <w:p>
            <w:pPr>
              <w:spacing w:after="0"/>
              <w:jc w:val="left"/>
            </w:pPr>
            <w:r/>
            <w:r>
              <w:rPr>
                <w:rFonts w:ascii="Times New Roman" w:hAnsi="Times New Roman"/>
                <w:sz w:val="22"/>
              </w:rPr>
              <w:t>0.97</w:t>
            </w:r>
          </w:p>
        </w:tc>
        <w:tc>
          <w:tcPr>
            <w:tcW w:type="dxa" w:w="694"/>
          </w:tcPr>
          <w:p>
            <w:pPr>
              <w:spacing w:after="0"/>
              <w:jc w:val="left"/>
            </w:pPr>
            <w:r/>
            <w:r>
              <w:rPr>
                <w:rFonts w:ascii="Times New Roman" w:hAnsi="Times New Roman"/>
                <w:sz w:val="22"/>
              </w:rPr>
              <w:t>2.18</w:t>
            </w:r>
          </w:p>
        </w:tc>
        <w:tc>
          <w:tcPr>
            <w:tcW w:type="dxa" w:w="694"/>
          </w:tcPr>
          <w:p>
            <w:pPr>
              <w:spacing w:after="0"/>
              <w:jc w:val="left"/>
            </w:pPr>
            <w:r/>
            <w:r>
              <w:rPr>
                <w:rFonts w:ascii="Times New Roman" w:hAnsi="Times New Roman"/>
                <w:sz w:val="22"/>
              </w:rPr>
              <w:t>3.93</w:t>
            </w:r>
          </w:p>
        </w:tc>
        <w:tc>
          <w:tcPr>
            <w:tcW w:type="dxa" w:w="694"/>
          </w:tcPr>
          <w:p>
            <w:pPr>
              <w:spacing w:after="0"/>
              <w:jc w:val="left"/>
            </w:pPr>
            <w:r/>
            <w:r>
              <w:rPr>
                <w:rFonts w:ascii="Times New Roman" w:hAnsi="Times New Roman"/>
                <w:sz w:val="22"/>
              </w:rPr>
              <w:t>1.20</w:t>
            </w:r>
          </w:p>
        </w:tc>
        <w:tc>
          <w:tcPr>
            <w:tcW w:type="dxa" w:w="694"/>
          </w:tcPr>
          <w:p>
            <w:pPr>
              <w:spacing w:after="0"/>
              <w:jc w:val="left"/>
            </w:pPr>
            <w:r/>
            <w:r>
              <w:rPr>
                <w:rFonts w:ascii="Times New Roman" w:hAnsi="Times New Roman"/>
                <w:sz w:val="22"/>
              </w:rPr>
              <w:t>-0.27</w:t>
            </w:r>
          </w:p>
        </w:tc>
      </w:tr>
    </w:tbl>
    <w:p>
      <w:pPr>
        <w:spacing w:after="80"/>
      </w:pPr>
    </w:p>
    <w:p>
      <w:r>
        <w:br w:type="page"/>
      </w:r>
    </w:p>
    <w:p>
      <w:pPr>
        <w:pStyle w:val="Heading1"/>
      </w:pPr>
      <w:r>
        <w:rPr>
          <w:rFonts w:ascii="Times New Roman" w:hAnsi="Times New Roman"/>
          <w:b/>
          <w:color w:val="000000"/>
          <w:sz w:val="32"/>
        </w:rPr>
        <w:t>Appendix B Model explanations</w:t>
      </w:r>
    </w:p>
    <w:p>
      <w:r>
        <w:rPr>
          <w:rFonts w:ascii="Times New Roman" w:hAnsi="Times New Roman"/>
          <w:sz w:val="24"/>
        </w:rPr>
        <w:t>Table 23 lists the encoded columns with the largest mean absolute SHAP values for HGB, the values that Section 4.5 compares with the logistic coefficients of Figure 19. Cuts and finger or thumb injuries rank first and fourth, and both carry negative logistic coefficients.</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E7E6E6"/>
          </w:tcPr>
          <w:p>
            <w:pPr>
              <w:jc w:val="left"/>
            </w:pPr>
            <w:r>
              <w:rPr>
                <w:b/>
              </w:rPr>
            </w:r>
            <w:r>
              <w:rPr>
                <w:rFonts w:ascii="Times New Roman" w:hAnsi="Times New Roman"/>
                <w:b/>
                <w:sz w:val="22"/>
              </w:rPr>
              <w:t>Rank</w:t>
            </w:r>
          </w:p>
        </w:tc>
        <w:tc>
          <w:tcPr>
            <w:tcW w:type="dxa" w:w="1805"/>
            <w:shd w:val="clear" w:color="auto" w:fill="E7E6E6"/>
          </w:tcPr>
          <w:p>
            <w:pPr>
              <w:jc w:val="left"/>
            </w:pPr>
            <w:r>
              <w:rPr>
                <w:b/>
              </w:rPr>
            </w:r>
            <w:r>
              <w:rPr>
                <w:rFonts w:ascii="Times New Roman" w:hAnsi="Times New Roman"/>
                <w:b/>
                <w:sz w:val="22"/>
              </w:rPr>
              <w:t>Encoded column</w:t>
            </w:r>
          </w:p>
        </w:tc>
        <w:tc>
          <w:tcPr>
            <w:tcW w:type="dxa" w:w="1805"/>
            <w:shd w:val="clear" w:color="auto" w:fill="E7E6E6"/>
          </w:tcPr>
          <w:p>
            <w:pPr>
              <w:jc w:val="left"/>
            </w:pPr>
            <w:r>
              <w:rPr>
                <w:b/>
              </w:rPr>
            </w:r>
            <w:r>
              <w:rPr>
                <w:rFonts w:ascii="Times New Roman" w:hAnsi="Times New Roman"/>
                <w:b/>
                <w:sz w:val="22"/>
              </w:rPr>
              <w:t>Meaning</w:t>
            </w:r>
          </w:p>
        </w:tc>
        <w:tc>
          <w:tcPr>
            <w:tcW w:type="dxa" w:w="1805"/>
            <w:shd w:val="clear" w:color="auto" w:fill="E7E6E6"/>
          </w:tcPr>
          <w:p>
            <w:pPr>
              <w:jc w:val="left"/>
            </w:pPr>
            <w:r>
              <w:rPr>
                <w:b/>
              </w:rPr>
            </w:r>
            <w:r>
              <w:rPr>
                <w:rFonts w:ascii="Times New Roman" w:hAnsi="Times New Roman"/>
                <w:b/>
                <w:sz w:val="22"/>
              </w:rPr>
              <w:t>Mean absolute SHAP value (log-odds)</w:t>
            </w:r>
          </w:p>
        </w:tc>
        <w:tc>
          <w:tcPr>
            <w:tcW w:type="dxa" w:w="1805"/>
            <w:shd w:val="clear" w:color="auto" w:fill="E7E6E6"/>
          </w:tcPr>
          <w:p>
            <w:pPr>
              <w:jc w:val="left"/>
            </w:pPr>
            <w:r>
              <w:rPr>
                <w:b/>
              </w:rPr>
            </w:r>
            <w:r>
              <w:rPr>
                <w:rFonts w:ascii="Times New Roman" w:hAnsi="Times New Roman"/>
                <w:b/>
                <w:sz w:val="22"/>
              </w:rPr>
              <w:t>Logistic regression coefficient</w:t>
            </w:r>
          </w:p>
        </w:tc>
      </w:tr>
      <w:tr>
        <w:tc>
          <w:tcPr>
            <w:tcW w:type="dxa" w:w="1805"/>
          </w:tcPr>
          <w:p>
            <w:pPr>
              <w:spacing w:after="0"/>
              <w:jc w:val="left"/>
            </w:pPr>
            <w:r/>
            <w:r>
              <w:rPr>
                <w:rFonts w:ascii="Times New Roman" w:hAnsi="Times New Roman"/>
                <w:sz w:val="22"/>
              </w:rPr>
              <w:t>1</w:t>
            </w:r>
          </w:p>
        </w:tc>
        <w:tc>
          <w:tcPr>
            <w:tcW w:type="dxa" w:w="1805"/>
          </w:tcPr>
          <w:p>
            <w:pPr>
              <w:spacing w:after="0"/>
              <w:jc w:val="left"/>
            </w:pPr>
            <w:r/>
            <w:r>
              <w:rPr>
                <w:rFonts w:ascii="Times New Roman" w:hAnsi="Times New Roman"/>
                <w:sz w:val="22"/>
              </w:rPr>
              <w:t>NATURE_INJURY_CD_180</w:t>
            </w:r>
          </w:p>
        </w:tc>
        <w:tc>
          <w:tcPr>
            <w:tcW w:type="dxa" w:w="1805"/>
          </w:tcPr>
          <w:p>
            <w:pPr>
              <w:spacing w:after="0"/>
              <w:jc w:val="left"/>
            </w:pPr>
            <w:r/>
            <w:r>
              <w:rPr>
                <w:rFonts w:ascii="Times New Roman" w:hAnsi="Times New Roman"/>
                <w:sz w:val="22"/>
              </w:rPr>
              <w:t>Nature of the injury: cut, lacer, punct-opn wound</w:t>
            </w:r>
          </w:p>
        </w:tc>
        <w:tc>
          <w:tcPr>
            <w:tcW w:type="dxa" w:w="1805"/>
          </w:tcPr>
          <w:p>
            <w:pPr>
              <w:spacing w:after="0"/>
              <w:jc w:val="left"/>
            </w:pPr>
            <w:r/>
            <w:r>
              <w:rPr>
                <w:rFonts w:ascii="Times New Roman" w:hAnsi="Times New Roman"/>
                <w:sz w:val="22"/>
              </w:rPr>
              <w:t>0.575</w:t>
            </w:r>
          </w:p>
        </w:tc>
        <w:tc>
          <w:tcPr>
            <w:tcW w:type="dxa" w:w="1805"/>
          </w:tcPr>
          <w:p>
            <w:pPr>
              <w:spacing w:after="0"/>
              <w:jc w:val="left"/>
            </w:pPr>
            <w:r/>
            <w:r>
              <w:rPr>
                <w:rFonts w:ascii="Times New Roman" w:hAnsi="Times New Roman"/>
                <w:sz w:val="22"/>
              </w:rPr>
              <w:t>-1.555</w:t>
            </w:r>
          </w:p>
        </w:tc>
      </w:tr>
      <w:tr>
        <w:tc>
          <w:tcPr>
            <w:tcW w:type="dxa" w:w="1805"/>
          </w:tcPr>
          <w:p>
            <w:pPr>
              <w:spacing w:after="0"/>
              <w:jc w:val="left"/>
            </w:pPr>
            <w:r/>
            <w:r>
              <w:rPr>
                <w:rFonts w:ascii="Times New Roman" w:hAnsi="Times New Roman"/>
                <w:sz w:val="22"/>
              </w:rPr>
              <w:t>2</w:t>
            </w:r>
          </w:p>
        </w:tc>
        <w:tc>
          <w:tcPr>
            <w:tcW w:type="dxa" w:w="1805"/>
          </w:tcPr>
          <w:p>
            <w:pPr>
              <w:spacing w:after="0"/>
              <w:jc w:val="left"/>
            </w:pPr>
            <w:r/>
            <w:r>
              <w:rPr>
                <w:rFonts w:ascii="Times New Roman" w:hAnsi="Times New Roman"/>
                <w:sz w:val="22"/>
              </w:rPr>
              <w:t>prev_lost_time_share</w:t>
            </w:r>
          </w:p>
        </w:tc>
        <w:tc>
          <w:tcPr>
            <w:tcW w:type="dxa" w:w="1805"/>
          </w:tcPr>
          <w:p>
            <w:pPr>
              <w:spacing w:after="0"/>
              <w:jc w:val="left"/>
            </w:pPr>
            <w:r/>
            <w:r>
              <w:rPr>
                <w:rFonts w:ascii="Times New Roman" w:hAnsi="Times New Roman"/>
                <w:sz w:val="22"/>
              </w:rPr>
              <w:t>Lost-time share of the mine's previous-year cases (ratio)</w:t>
            </w:r>
          </w:p>
        </w:tc>
        <w:tc>
          <w:tcPr>
            <w:tcW w:type="dxa" w:w="1805"/>
          </w:tcPr>
          <w:p>
            <w:pPr>
              <w:spacing w:after="0"/>
              <w:jc w:val="left"/>
            </w:pPr>
            <w:r/>
            <w:r>
              <w:rPr>
                <w:rFonts w:ascii="Times New Roman" w:hAnsi="Times New Roman"/>
                <w:sz w:val="22"/>
              </w:rPr>
              <w:t>0.365</w:t>
            </w:r>
          </w:p>
        </w:tc>
        <w:tc>
          <w:tcPr>
            <w:tcW w:type="dxa" w:w="1805"/>
          </w:tcPr>
          <w:p>
            <w:pPr>
              <w:spacing w:after="0"/>
              <w:jc w:val="left"/>
            </w:pPr>
            <w:r/>
            <w:r>
              <w:rPr>
                <w:rFonts w:ascii="Times New Roman" w:hAnsi="Times New Roman"/>
                <w:sz w:val="22"/>
              </w:rPr>
              <w:t>0.356</w:t>
            </w:r>
          </w:p>
        </w:tc>
      </w:tr>
      <w:tr>
        <w:tc>
          <w:tcPr>
            <w:tcW w:type="dxa" w:w="1805"/>
          </w:tcPr>
          <w:p>
            <w:pPr>
              <w:spacing w:after="0"/>
              <w:jc w:val="left"/>
            </w:pPr>
            <w:r/>
            <w:r>
              <w:rPr>
                <w:rFonts w:ascii="Times New Roman" w:hAnsi="Times New Roman"/>
                <w:sz w:val="22"/>
              </w:rPr>
              <w:t>3</w:t>
            </w:r>
          </w:p>
        </w:tc>
        <w:tc>
          <w:tcPr>
            <w:tcW w:type="dxa" w:w="1805"/>
          </w:tcPr>
          <w:p>
            <w:pPr>
              <w:spacing w:after="0"/>
              <w:jc w:val="left"/>
            </w:pPr>
            <w:r/>
            <w:r>
              <w:rPr>
                <w:rFonts w:ascii="Times New Roman" w:hAnsi="Times New Roman"/>
                <w:sz w:val="22"/>
              </w:rPr>
              <w:t>COAL_METAL_IND_C</w:t>
            </w:r>
          </w:p>
        </w:tc>
        <w:tc>
          <w:tcPr>
            <w:tcW w:type="dxa" w:w="1805"/>
          </w:tcPr>
          <w:p>
            <w:pPr>
              <w:spacing w:after="0"/>
              <w:jc w:val="left"/>
            </w:pPr>
            <w:r/>
            <w:r>
              <w:rPr>
                <w:rFonts w:ascii="Times New Roman" w:hAnsi="Times New Roman"/>
                <w:sz w:val="22"/>
              </w:rPr>
              <w:t>Sector (coal or metal/non-metal): coal</w:t>
            </w:r>
          </w:p>
        </w:tc>
        <w:tc>
          <w:tcPr>
            <w:tcW w:type="dxa" w:w="1805"/>
          </w:tcPr>
          <w:p>
            <w:pPr>
              <w:spacing w:after="0"/>
              <w:jc w:val="left"/>
            </w:pPr>
            <w:r/>
            <w:r>
              <w:rPr>
                <w:rFonts w:ascii="Times New Roman" w:hAnsi="Times New Roman"/>
                <w:sz w:val="22"/>
              </w:rPr>
              <w:t>0.350</w:t>
            </w:r>
          </w:p>
        </w:tc>
        <w:tc>
          <w:tcPr>
            <w:tcW w:type="dxa" w:w="1805"/>
          </w:tcPr>
          <w:p>
            <w:pPr>
              <w:spacing w:after="0"/>
              <w:jc w:val="left"/>
            </w:pPr>
            <w:r/>
            <w:r>
              <w:rPr>
                <w:rFonts w:ascii="Times New Roman" w:hAnsi="Times New Roman"/>
                <w:sz w:val="22"/>
              </w:rPr>
              <w:t>0.258</w:t>
            </w:r>
          </w:p>
        </w:tc>
      </w:tr>
      <w:tr>
        <w:tc>
          <w:tcPr>
            <w:tcW w:type="dxa" w:w="1805"/>
          </w:tcPr>
          <w:p>
            <w:pPr>
              <w:spacing w:after="0"/>
              <w:jc w:val="left"/>
            </w:pPr>
            <w:r/>
            <w:r>
              <w:rPr>
                <w:rFonts w:ascii="Times New Roman" w:hAnsi="Times New Roman"/>
                <w:sz w:val="22"/>
              </w:rPr>
              <w:t>4</w:t>
            </w:r>
          </w:p>
        </w:tc>
        <w:tc>
          <w:tcPr>
            <w:tcW w:type="dxa" w:w="1805"/>
          </w:tcPr>
          <w:p>
            <w:pPr>
              <w:spacing w:after="0"/>
              <w:jc w:val="left"/>
            </w:pPr>
            <w:r/>
            <w:r>
              <w:rPr>
                <w:rFonts w:ascii="Times New Roman" w:hAnsi="Times New Roman"/>
                <w:sz w:val="22"/>
              </w:rPr>
              <w:t>INJ_BODY_PART_CD_340</w:t>
            </w:r>
          </w:p>
        </w:tc>
        <w:tc>
          <w:tcPr>
            <w:tcW w:type="dxa" w:w="1805"/>
          </w:tcPr>
          <w:p>
            <w:pPr>
              <w:spacing w:after="0"/>
              <w:jc w:val="left"/>
            </w:pPr>
            <w:r/>
            <w:r>
              <w:rPr>
                <w:rFonts w:ascii="Times New Roman" w:hAnsi="Times New Roman"/>
                <w:sz w:val="22"/>
              </w:rPr>
              <w:t>Body part injured: finger(s)/thumb</w:t>
            </w:r>
          </w:p>
        </w:tc>
        <w:tc>
          <w:tcPr>
            <w:tcW w:type="dxa" w:w="1805"/>
          </w:tcPr>
          <w:p>
            <w:pPr>
              <w:spacing w:after="0"/>
              <w:jc w:val="left"/>
            </w:pPr>
            <w:r/>
            <w:r>
              <w:rPr>
                <w:rFonts w:ascii="Times New Roman" w:hAnsi="Times New Roman"/>
                <w:sz w:val="22"/>
              </w:rPr>
              <w:t>0.206</w:t>
            </w:r>
          </w:p>
        </w:tc>
        <w:tc>
          <w:tcPr>
            <w:tcW w:type="dxa" w:w="1805"/>
          </w:tcPr>
          <w:p>
            <w:pPr>
              <w:spacing w:after="0"/>
              <w:jc w:val="left"/>
            </w:pPr>
            <w:r/>
            <w:r>
              <w:rPr>
                <w:rFonts w:ascii="Times New Roman" w:hAnsi="Times New Roman"/>
                <w:sz w:val="22"/>
              </w:rPr>
              <w:t>-0.882</w:t>
            </w:r>
          </w:p>
        </w:tc>
      </w:tr>
      <w:tr>
        <w:tc>
          <w:tcPr>
            <w:tcW w:type="dxa" w:w="1805"/>
          </w:tcPr>
          <w:p>
            <w:pPr>
              <w:spacing w:after="0"/>
              <w:jc w:val="left"/>
            </w:pPr>
            <w:r/>
            <w:r>
              <w:rPr>
                <w:rFonts w:ascii="Times New Roman" w:hAnsi="Times New Roman"/>
                <w:sz w:val="22"/>
              </w:rPr>
              <w:t>5</w:t>
            </w:r>
          </w:p>
        </w:tc>
        <w:tc>
          <w:tcPr>
            <w:tcW w:type="dxa" w:w="1805"/>
          </w:tcPr>
          <w:p>
            <w:pPr>
              <w:spacing w:after="0"/>
              <w:jc w:val="left"/>
            </w:pPr>
            <w:r/>
            <w:r>
              <w:rPr>
                <w:rFonts w:ascii="Times New Roman" w:hAnsi="Times New Roman"/>
                <w:sz w:val="22"/>
              </w:rPr>
              <w:t>longitude</w:t>
            </w:r>
          </w:p>
        </w:tc>
        <w:tc>
          <w:tcPr>
            <w:tcW w:type="dxa" w:w="1805"/>
          </w:tcPr>
          <w:p>
            <w:pPr>
              <w:spacing w:after="0"/>
              <w:jc w:val="left"/>
            </w:pPr>
            <w:r/>
            <w:r>
              <w:rPr>
                <w:rFonts w:ascii="Times New Roman" w:hAnsi="Times New Roman"/>
                <w:sz w:val="22"/>
              </w:rPr>
              <w:t>Longitude (degrees east)</w:t>
            </w:r>
          </w:p>
        </w:tc>
        <w:tc>
          <w:tcPr>
            <w:tcW w:type="dxa" w:w="1805"/>
          </w:tcPr>
          <w:p>
            <w:pPr>
              <w:spacing w:after="0"/>
              <w:jc w:val="left"/>
            </w:pPr>
            <w:r/>
            <w:r>
              <w:rPr>
                <w:rFonts w:ascii="Times New Roman" w:hAnsi="Times New Roman"/>
                <w:sz w:val="22"/>
              </w:rPr>
              <w:t>0.082</w:t>
            </w:r>
          </w:p>
        </w:tc>
        <w:tc>
          <w:tcPr>
            <w:tcW w:type="dxa" w:w="1805"/>
          </w:tcPr>
          <w:p>
            <w:pPr>
              <w:spacing w:after="0"/>
              <w:jc w:val="left"/>
            </w:pPr>
            <w:r/>
            <w:r>
              <w:rPr>
                <w:rFonts w:ascii="Times New Roman" w:hAnsi="Times New Roman"/>
                <w:sz w:val="22"/>
              </w:rPr>
              <w:t>0.103</w:t>
            </w:r>
          </w:p>
        </w:tc>
      </w:tr>
      <w:tr>
        <w:tc>
          <w:tcPr>
            <w:tcW w:type="dxa" w:w="1805"/>
          </w:tcPr>
          <w:p>
            <w:pPr>
              <w:spacing w:after="0"/>
              <w:jc w:val="left"/>
            </w:pPr>
            <w:r/>
            <w:r>
              <w:rPr>
                <w:rFonts w:ascii="Times New Roman" w:hAnsi="Times New Roman"/>
                <w:sz w:val="22"/>
              </w:rPr>
              <w:t>6</w:t>
            </w:r>
          </w:p>
        </w:tc>
        <w:tc>
          <w:tcPr>
            <w:tcW w:type="dxa" w:w="1805"/>
          </w:tcPr>
          <w:p>
            <w:pPr>
              <w:spacing w:after="0"/>
              <w:jc w:val="left"/>
            </w:pPr>
            <w:r/>
            <w:r>
              <w:rPr>
                <w:rFonts w:ascii="Times New Roman" w:hAnsi="Times New Roman"/>
                <w:sz w:val="22"/>
              </w:rPr>
              <w:t>NATURE_INJURY_CD_100</w:t>
            </w:r>
          </w:p>
        </w:tc>
        <w:tc>
          <w:tcPr>
            <w:tcW w:type="dxa" w:w="1805"/>
          </w:tcPr>
          <w:p>
            <w:pPr>
              <w:spacing w:after="0"/>
              <w:jc w:val="left"/>
            </w:pPr>
            <w:r/>
            <w:r>
              <w:rPr>
                <w:rFonts w:ascii="Times New Roman" w:hAnsi="Times New Roman"/>
                <w:sz w:val="22"/>
              </w:rPr>
              <w:t>Nature of the injury: amputation or enucleation</w:t>
            </w:r>
          </w:p>
        </w:tc>
        <w:tc>
          <w:tcPr>
            <w:tcW w:type="dxa" w:w="1805"/>
          </w:tcPr>
          <w:p>
            <w:pPr>
              <w:spacing w:after="0"/>
              <w:jc w:val="left"/>
            </w:pPr>
            <w:r/>
            <w:r>
              <w:rPr>
                <w:rFonts w:ascii="Times New Roman" w:hAnsi="Times New Roman"/>
                <w:sz w:val="22"/>
              </w:rPr>
              <w:t>0.073</w:t>
            </w:r>
          </w:p>
        </w:tc>
        <w:tc>
          <w:tcPr>
            <w:tcW w:type="dxa" w:w="1805"/>
          </w:tcPr>
          <w:p>
            <w:pPr>
              <w:spacing w:after="0"/>
              <w:jc w:val="left"/>
            </w:pPr>
            <w:r/>
            <w:r>
              <w:rPr>
                <w:rFonts w:ascii="Times New Roman" w:hAnsi="Times New Roman"/>
                <w:sz w:val="22"/>
              </w:rPr>
              <w:t>5.605</w:t>
            </w:r>
          </w:p>
        </w:tc>
      </w:tr>
      <w:tr>
        <w:tc>
          <w:tcPr>
            <w:tcW w:type="dxa" w:w="1805"/>
          </w:tcPr>
          <w:p>
            <w:pPr>
              <w:spacing w:after="0"/>
              <w:jc w:val="left"/>
            </w:pPr>
            <w:r/>
            <w:r>
              <w:rPr>
                <w:rFonts w:ascii="Times New Roman" w:hAnsi="Times New Roman"/>
                <w:sz w:val="22"/>
              </w:rPr>
              <w:t>7</w:t>
            </w:r>
          </w:p>
        </w:tc>
        <w:tc>
          <w:tcPr>
            <w:tcW w:type="dxa" w:w="1805"/>
          </w:tcPr>
          <w:p>
            <w:pPr>
              <w:spacing w:after="0"/>
              <w:jc w:val="left"/>
            </w:pPr>
            <w:r/>
            <w:r>
              <w:rPr>
                <w:rFonts w:ascii="Times New Roman" w:hAnsi="Times New Roman"/>
                <w:sz w:val="22"/>
              </w:rPr>
              <w:t>NATURE_INJURY_CD_220</w:t>
            </w:r>
          </w:p>
        </w:tc>
        <w:tc>
          <w:tcPr>
            <w:tcW w:type="dxa" w:w="1805"/>
          </w:tcPr>
          <w:p>
            <w:pPr>
              <w:spacing w:after="0"/>
              <w:jc w:val="left"/>
            </w:pPr>
            <w:r/>
            <w:r>
              <w:rPr>
                <w:rFonts w:ascii="Times New Roman" w:hAnsi="Times New Roman"/>
                <w:sz w:val="22"/>
              </w:rPr>
              <w:t>Nature of the injury: fracture, chip</w:t>
            </w:r>
          </w:p>
        </w:tc>
        <w:tc>
          <w:tcPr>
            <w:tcW w:type="dxa" w:w="1805"/>
          </w:tcPr>
          <w:p>
            <w:pPr>
              <w:spacing w:after="0"/>
              <w:jc w:val="left"/>
            </w:pPr>
            <w:r/>
            <w:r>
              <w:rPr>
                <w:rFonts w:ascii="Times New Roman" w:hAnsi="Times New Roman"/>
                <w:sz w:val="22"/>
              </w:rPr>
              <w:t>0.068</w:t>
            </w:r>
          </w:p>
        </w:tc>
        <w:tc>
          <w:tcPr>
            <w:tcW w:type="dxa" w:w="1805"/>
          </w:tcPr>
          <w:p>
            <w:pPr>
              <w:spacing w:after="0"/>
              <w:jc w:val="left"/>
            </w:pPr>
            <w:r/>
            <w:r>
              <w:rPr>
                <w:rFonts w:ascii="Times New Roman" w:hAnsi="Times New Roman"/>
                <w:sz w:val="22"/>
              </w:rPr>
              <w:t>0.061</w:t>
            </w:r>
          </w:p>
        </w:tc>
      </w:tr>
      <w:tr>
        <w:tc>
          <w:tcPr>
            <w:tcW w:type="dxa" w:w="1805"/>
          </w:tcPr>
          <w:p>
            <w:pPr>
              <w:spacing w:after="0"/>
              <w:jc w:val="left"/>
            </w:pPr>
            <w:r/>
            <w:r>
              <w:rPr>
                <w:rFonts w:ascii="Times New Roman" w:hAnsi="Times New Roman"/>
                <w:sz w:val="22"/>
              </w:rPr>
              <w:t>8</w:t>
            </w:r>
          </w:p>
        </w:tc>
        <w:tc>
          <w:tcPr>
            <w:tcW w:type="dxa" w:w="1805"/>
          </w:tcPr>
          <w:p>
            <w:pPr>
              <w:spacing w:after="0"/>
              <w:jc w:val="left"/>
            </w:pPr>
            <w:r/>
            <w:r>
              <w:rPr>
                <w:rFonts w:ascii="Times New Roman" w:hAnsi="Times New Roman"/>
                <w:sz w:val="22"/>
              </w:rPr>
              <w:t>INJ_BODY_PART_CD_130</w:t>
            </w:r>
          </w:p>
        </w:tc>
        <w:tc>
          <w:tcPr>
            <w:tcW w:type="dxa" w:w="1805"/>
          </w:tcPr>
          <w:p>
            <w:pPr>
              <w:spacing w:after="0"/>
              <w:jc w:val="left"/>
            </w:pPr>
            <w:r/>
            <w:r>
              <w:rPr>
                <w:rFonts w:ascii="Times New Roman" w:hAnsi="Times New Roman"/>
                <w:sz w:val="22"/>
              </w:rPr>
              <w:t>Body part injured: eye(s) optic nerve/vison</w:t>
            </w:r>
          </w:p>
        </w:tc>
        <w:tc>
          <w:tcPr>
            <w:tcW w:type="dxa" w:w="1805"/>
          </w:tcPr>
          <w:p>
            <w:pPr>
              <w:spacing w:after="0"/>
              <w:jc w:val="left"/>
            </w:pPr>
            <w:r/>
            <w:r>
              <w:rPr>
                <w:rFonts w:ascii="Times New Roman" w:hAnsi="Times New Roman"/>
                <w:sz w:val="22"/>
              </w:rPr>
              <w:t>0.067</w:t>
            </w:r>
          </w:p>
        </w:tc>
        <w:tc>
          <w:tcPr>
            <w:tcW w:type="dxa" w:w="1805"/>
          </w:tcPr>
          <w:p>
            <w:pPr>
              <w:spacing w:after="0"/>
              <w:jc w:val="left"/>
            </w:pPr>
            <w:r/>
            <w:r>
              <w:rPr>
                <w:rFonts w:ascii="Times New Roman" w:hAnsi="Times New Roman"/>
                <w:sz w:val="22"/>
              </w:rPr>
              <w:t>-0.452</w:t>
            </w:r>
          </w:p>
        </w:tc>
      </w:tr>
      <w:tr>
        <w:tc>
          <w:tcPr>
            <w:tcW w:type="dxa" w:w="1805"/>
          </w:tcPr>
          <w:p>
            <w:pPr>
              <w:spacing w:after="0"/>
              <w:jc w:val="left"/>
            </w:pPr>
            <w:r/>
            <w:r>
              <w:rPr>
                <w:rFonts w:ascii="Times New Roman" w:hAnsi="Times New Roman"/>
                <w:sz w:val="22"/>
              </w:rPr>
              <w:t>9</w:t>
            </w:r>
          </w:p>
        </w:tc>
        <w:tc>
          <w:tcPr>
            <w:tcW w:type="dxa" w:w="1805"/>
          </w:tcPr>
          <w:p>
            <w:pPr>
              <w:spacing w:after="0"/>
              <w:jc w:val="left"/>
            </w:pPr>
            <w:r/>
            <w:r>
              <w:rPr>
                <w:rFonts w:ascii="Times New Roman" w:hAnsi="Times New Roman"/>
                <w:sz w:val="22"/>
              </w:rPr>
              <w:t>INJ_BODY_PART_CD_142</w:t>
            </w:r>
          </w:p>
        </w:tc>
        <w:tc>
          <w:tcPr>
            <w:tcW w:type="dxa" w:w="1805"/>
          </w:tcPr>
          <w:p>
            <w:pPr>
              <w:spacing w:after="0"/>
              <w:jc w:val="left"/>
            </w:pPr>
            <w:r/>
            <w:r>
              <w:rPr>
                <w:rFonts w:ascii="Times New Roman" w:hAnsi="Times New Roman"/>
                <w:sz w:val="22"/>
              </w:rPr>
              <w:t>Body part injured: mouth/lip/teeth/tongue/throat/taste</w:t>
            </w:r>
          </w:p>
        </w:tc>
        <w:tc>
          <w:tcPr>
            <w:tcW w:type="dxa" w:w="1805"/>
          </w:tcPr>
          <w:p>
            <w:pPr>
              <w:spacing w:after="0"/>
              <w:jc w:val="left"/>
            </w:pPr>
            <w:r/>
            <w:r>
              <w:rPr>
                <w:rFonts w:ascii="Times New Roman" w:hAnsi="Times New Roman"/>
                <w:sz w:val="22"/>
              </w:rPr>
              <w:t>0.059</w:t>
            </w:r>
          </w:p>
        </w:tc>
        <w:tc>
          <w:tcPr>
            <w:tcW w:type="dxa" w:w="1805"/>
          </w:tcPr>
          <w:p>
            <w:pPr>
              <w:spacing w:after="0"/>
              <w:jc w:val="left"/>
            </w:pPr>
            <w:r/>
            <w:r>
              <w:rPr>
                <w:rFonts w:ascii="Times New Roman" w:hAnsi="Times New Roman"/>
                <w:sz w:val="22"/>
              </w:rPr>
              <w:t>-2.421</w:t>
            </w:r>
          </w:p>
        </w:tc>
      </w:tr>
      <w:tr>
        <w:tc>
          <w:tcPr>
            <w:tcW w:type="dxa" w:w="1805"/>
          </w:tcPr>
          <w:p>
            <w:pPr>
              <w:spacing w:after="0"/>
              <w:jc w:val="left"/>
            </w:pPr>
            <w:r/>
            <w:r>
              <w:rPr>
                <w:rFonts w:ascii="Times New Roman" w:hAnsi="Times New Roman"/>
                <w:sz w:val="22"/>
              </w:rPr>
              <w:t>10</w:t>
            </w:r>
          </w:p>
        </w:tc>
        <w:tc>
          <w:tcPr>
            <w:tcW w:type="dxa" w:w="1805"/>
          </w:tcPr>
          <w:p>
            <w:pPr>
              <w:spacing w:after="0"/>
              <w:jc w:val="left"/>
            </w:pPr>
            <w:r/>
            <w:r>
              <w:rPr>
                <w:rFonts w:ascii="Times New Roman" w:hAnsi="Times New Roman"/>
                <w:sz w:val="22"/>
              </w:rPr>
              <w:t>prev_incidents</w:t>
            </w:r>
          </w:p>
        </w:tc>
        <w:tc>
          <w:tcPr>
            <w:tcW w:type="dxa" w:w="1805"/>
          </w:tcPr>
          <w:p>
            <w:pPr>
              <w:spacing w:after="0"/>
              <w:jc w:val="left"/>
            </w:pPr>
            <w:r/>
            <w:r>
              <w:rPr>
                <w:rFonts w:ascii="Times New Roman" w:hAnsi="Times New Roman"/>
                <w:sz w:val="22"/>
              </w:rPr>
              <w:t>Incidents reported at the mine in the previous year (count)</w:t>
            </w:r>
          </w:p>
        </w:tc>
        <w:tc>
          <w:tcPr>
            <w:tcW w:type="dxa" w:w="1805"/>
          </w:tcPr>
          <w:p>
            <w:pPr>
              <w:spacing w:after="0"/>
              <w:jc w:val="left"/>
            </w:pPr>
            <w:r/>
            <w:r>
              <w:rPr>
                <w:rFonts w:ascii="Times New Roman" w:hAnsi="Times New Roman"/>
                <w:sz w:val="22"/>
              </w:rPr>
              <w:t>0.050</w:t>
            </w:r>
          </w:p>
        </w:tc>
        <w:tc>
          <w:tcPr>
            <w:tcW w:type="dxa" w:w="1805"/>
          </w:tcPr>
          <w:p>
            <w:pPr>
              <w:spacing w:after="0"/>
              <w:jc w:val="left"/>
            </w:pPr>
            <w:r/>
            <w:r>
              <w:rPr>
                <w:rFonts w:ascii="Times New Roman" w:hAnsi="Times New Roman"/>
                <w:sz w:val="22"/>
              </w:rPr>
              <w:t>0.179</w:t>
            </w:r>
          </w:p>
        </w:tc>
      </w:tr>
      <w:tr>
        <w:tc>
          <w:tcPr>
            <w:tcW w:type="dxa" w:w="1805"/>
          </w:tcPr>
          <w:p>
            <w:pPr>
              <w:spacing w:after="0"/>
              <w:jc w:val="left"/>
            </w:pPr>
            <w:r/>
            <w:r>
              <w:rPr>
                <w:rFonts w:ascii="Times New Roman" w:hAnsi="Times New Roman"/>
                <w:sz w:val="22"/>
              </w:rPr>
              <w:t>11</w:t>
            </w:r>
          </w:p>
        </w:tc>
        <w:tc>
          <w:tcPr>
            <w:tcW w:type="dxa" w:w="1805"/>
          </w:tcPr>
          <w:p>
            <w:pPr>
              <w:spacing w:after="0"/>
              <w:jc w:val="left"/>
            </w:pPr>
            <w:r/>
            <w:r>
              <w:rPr>
                <w:rFonts w:ascii="Times New Roman" w:hAnsi="Times New Roman"/>
                <w:sz w:val="22"/>
              </w:rPr>
              <w:t>prev_employees</w:t>
            </w:r>
          </w:p>
        </w:tc>
        <w:tc>
          <w:tcPr>
            <w:tcW w:type="dxa" w:w="1805"/>
          </w:tcPr>
          <w:p>
            <w:pPr>
              <w:spacing w:after="0"/>
              <w:jc w:val="left"/>
            </w:pPr>
            <w:r/>
            <w:r>
              <w:rPr>
                <w:rFonts w:ascii="Times New Roman" w:hAnsi="Times New Roman"/>
                <w:sz w:val="22"/>
              </w:rPr>
              <w:t>Average employees at the mine in the previous year (persons)</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-0.166</w:t>
            </w:r>
          </w:p>
        </w:tc>
      </w:tr>
      <w:tr>
        <w:tc>
          <w:tcPr>
            <w:tcW w:type="dxa" w:w="1805"/>
          </w:tcPr>
          <w:p>
            <w:pPr>
              <w:spacing w:after="0"/>
              <w:jc w:val="left"/>
            </w:pPr>
            <w:r/>
            <w:r>
              <w:rPr>
                <w:rFonts w:ascii="Times New Roman" w:hAnsi="Times New Roman"/>
                <w:sz w:val="22"/>
              </w:rPr>
              <w:t>12</w:t>
            </w:r>
          </w:p>
        </w:tc>
        <w:tc>
          <w:tcPr>
            <w:tcW w:type="dxa" w:w="1805"/>
          </w:tcPr>
          <w:p>
            <w:pPr>
              <w:spacing w:after="0"/>
              <w:jc w:val="left"/>
            </w:pPr>
            <w:r/>
            <w:r>
              <w:rPr>
                <w:rFonts w:ascii="Times New Roman" w:hAnsi="Times New Roman"/>
                <w:sz w:val="22"/>
              </w:rPr>
              <w:t>immed_reportable</w:t>
            </w:r>
          </w:p>
        </w:tc>
        <w:tc>
          <w:tcPr>
            <w:tcW w:type="dxa" w:w="1805"/>
          </w:tcPr>
          <w:p>
            <w:pPr>
              <w:spacing w:after="0"/>
              <w:jc w:val="left"/>
            </w:pPr>
            <w:r/>
            <w:r>
              <w:rPr>
                <w:rFonts w:ascii="Times New Roman" w:hAnsi="Times New Roman"/>
                <w:sz w:val="22"/>
              </w:rPr>
              <w:t>Immediately reportable accident type (flag)</w:t>
            </w:r>
          </w:p>
        </w:tc>
        <w:tc>
          <w:tcPr>
            <w:tcW w:type="dxa" w:w="1805"/>
          </w:tcPr>
          <w:p>
            <w:pPr>
              <w:spacing w:after="0"/>
              <w:jc w:val="left"/>
            </w:pPr>
            <w:r/>
            <w:r>
              <w:rPr>
                <w:rFonts w:ascii="Times New Roman" w:hAnsi="Times New Roman"/>
                <w:sz w:val="22"/>
              </w:rPr>
              <w:t>0.048</w:t>
            </w:r>
          </w:p>
        </w:tc>
        <w:tc>
          <w:tcPr>
            <w:tcW w:type="dxa" w:w="1805"/>
          </w:tcPr>
          <w:p>
            <w:pPr>
              <w:spacing w:after="0"/>
              <w:jc w:val="left"/>
            </w:pPr>
            <w:r/>
            <w:r>
              <w:rPr>
                <w:rFonts w:ascii="Times New Roman" w:hAnsi="Times New Roman"/>
                <w:sz w:val="22"/>
              </w:rPr>
              <w:t>0.873</w:t>
            </w:r>
          </w:p>
        </w:tc>
      </w:tr>
      <w:tr>
        <w:tc>
          <w:tcPr>
            <w:tcW w:type="dxa" w:w="1805"/>
          </w:tcPr>
          <w:p>
            <w:pPr>
              <w:spacing w:after="0"/>
              <w:jc w:val="left"/>
            </w:pPr>
            <w:r/>
            <w:r>
              <w:rPr>
                <w:rFonts w:ascii="Times New Roman" w:hAnsi="Times New Roman"/>
                <w:sz w:val="22"/>
              </w:rPr>
              <w:t>13</w:t>
            </w:r>
          </w:p>
        </w:tc>
        <w:tc>
          <w:tcPr>
            <w:tcW w:type="dxa" w:w="1805"/>
          </w:tcPr>
          <w:p>
            <w:pPr>
              <w:spacing w:after="0"/>
              <w:jc w:val="left"/>
            </w:pPr>
            <w:r/>
            <w:r>
              <w:rPr>
                <w:rFonts w:ascii="Times New Roman" w:hAnsi="Times New Roman"/>
                <w:sz w:val="22"/>
              </w:rPr>
              <w:t>prev_lost_time_rate_200k</w:t>
            </w:r>
          </w:p>
        </w:tc>
        <w:tc>
          <w:tcPr>
            <w:tcW w:type="dxa" w:w="1805"/>
          </w:tcPr>
          <w:p>
            <w:pPr>
              <w:spacing w:after="0"/>
              <w:jc w:val="left"/>
            </w:pPr>
            <w:r/>
            <w:r>
              <w:rPr>
                <w:rFonts w:ascii="Times New Roman" w:hAnsi="Times New Roman"/>
                <w:sz w:val="22"/>
              </w:rPr>
              <w:t>log(1 + lost-time cases per 200,000 employee-hours, previous year)</w:t>
            </w:r>
          </w:p>
        </w:tc>
        <w:tc>
          <w:tcPr>
            <w:tcW w:type="dxa" w:w="1805"/>
          </w:tcPr>
          <w:p>
            <w:pPr>
              <w:spacing w:after="0"/>
              <w:jc w:val="left"/>
            </w:pPr>
            <w:r/>
            <w:r>
              <w:rPr>
                <w:rFonts w:ascii="Times New Roman" w:hAnsi="Times New Roman"/>
                <w:sz w:val="22"/>
              </w:rPr>
              <w:t>0.043</w:t>
            </w:r>
          </w:p>
        </w:tc>
        <w:tc>
          <w:tcPr>
            <w:tcW w:type="dxa" w:w="1805"/>
          </w:tcPr>
          <w:p>
            <w:pPr>
              <w:spacing w:after="0"/>
              <w:jc w:val="left"/>
            </w:pPr>
            <w:r/>
            <w:r>
              <w:rPr>
                <w:rFonts w:ascii="Times New Roman" w:hAnsi="Times New Roman"/>
                <w:sz w:val="22"/>
              </w:rPr>
              <w:t>0.081</w:t>
            </w:r>
          </w:p>
        </w:tc>
      </w:tr>
      <w:tr>
        <w:tc>
          <w:tcPr>
            <w:tcW w:type="dxa" w:w="1805"/>
          </w:tcPr>
          <w:p>
            <w:pPr>
              <w:spacing w:after="0"/>
              <w:jc w:val="left"/>
            </w:pPr>
            <w:r/>
            <w:r>
              <w:rPr>
                <w:rFonts w:ascii="Times New Roman" w:hAnsi="Times New Roman"/>
                <w:sz w:val="22"/>
              </w:rPr>
              <w:t>14</w:t>
            </w:r>
          </w:p>
        </w:tc>
        <w:tc>
          <w:tcPr>
            <w:tcW w:type="dxa" w:w="1805"/>
          </w:tcPr>
          <w:p>
            <w:pPr>
              <w:spacing w:after="0"/>
              <w:jc w:val="left"/>
            </w:pPr>
            <w:r/>
            <w:r>
              <w:rPr>
                <w:rFonts w:ascii="Times New Roman" w:hAnsi="Times New Roman"/>
                <w:sz w:val="22"/>
              </w:rPr>
              <w:t>INJ_BODY_PART_CD_330</w:t>
            </w:r>
          </w:p>
        </w:tc>
        <w:tc>
          <w:tcPr>
            <w:tcW w:type="dxa" w:w="1805"/>
          </w:tcPr>
          <w:p>
            <w:pPr>
              <w:spacing w:after="0"/>
              <w:jc w:val="left"/>
            </w:pPr>
            <w:r/>
            <w:r>
              <w:rPr>
                <w:rFonts w:ascii="Times New Roman" w:hAnsi="Times New Roman"/>
                <w:sz w:val="22"/>
              </w:rPr>
              <w:t>Body part injured: hand (not wrist or fingers)</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-0.502</w:t>
            </w:r>
          </w:p>
        </w:tc>
      </w:tr>
      <w:tr>
        <w:tc>
          <w:tcPr>
            <w:tcW w:type="dxa" w:w="1805"/>
          </w:tcPr>
          <w:p>
            <w:pPr>
              <w:spacing w:after="0"/>
              <w:jc w:val="left"/>
            </w:pPr>
            <w:r/>
            <w:r>
              <w:rPr>
                <w:rFonts w:ascii="Times New Roman" w:hAnsi="Times New Roman"/>
                <w:sz w:val="22"/>
              </w:rPr>
              <w:t>15</w:t>
            </w:r>
          </w:p>
        </w:tc>
        <w:tc>
          <w:tcPr>
            <w:tcW w:type="dxa" w:w="1805"/>
          </w:tcPr>
          <w:p>
            <w:pPr>
              <w:spacing w:after="0"/>
              <w:jc w:val="left"/>
            </w:pPr>
            <w:r/>
            <w:r>
              <w:rPr>
                <w:rFonts w:ascii="Times New Roman" w:hAnsi="Times New Roman"/>
                <w:sz w:val="22"/>
              </w:rPr>
              <w:t>NATURE_INJURY_CD_330</w:t>
            </w:r>
          </w:p>
        </w:tc>
        <w:tc>
          <w:tcPr>
            <w:tcW w:type="dxa" w:w="1805"/>
          </w:tcPr>
          <w:p>
            <w:pPr>
              <w:spacing w:after="0"/>
              <w:jc w:val="left"/>
            </w:pPr>
            <w:r/>
            <w:r>
              <w:rPr>
                <w:rFonts w:ascii="Times New Roman" w:hAnsi="Times New Roman"/>
                <w:sz w:val="22"/>
              </w:rPr>
              <w:t>Nature of the injury: sprain, strain rupt disc</w:t>
            </w:r>
          </w:p>
        </w:tc>
        <w:tc>
          <w:tcPr>
            <w:tcW w:type="dxa" w:w="1805"/>
          </w:tcPr>
          <w:p>
            <w:pPr>
              <w:spacing w:after="0"/>
              <w:jc w:val="left"/>
            </w:pPr>
            <w:r/>
            <w:r>
              <w:rPr>
                <w:rFonts w:ascii="Times New Roman" w:hAnsi="Times New Roman"/>
                <w:sz w:val="22"/>
              </w:rPr>
              <w:t>0.038</w:t>
            </w:r>
          </w:p>
        </w:tc>
        <w:tc>
          <w:tcPr>
            <w:tcW w:type="dxa" w:w="1805"/>
          </w:tcPr>
          <w:p>
            <w:pPr>
              <w:spacing w:after="0"/>
              <w:jc w:val="left"/>
            </w:pPr>
            <w:r/>
            <w:r>
              <w:rPr>
                <w:rFonts w:ascii="Times New Roman" w:hAnsi="Times New Roman"/>
                <w:sz w:val="22"/>
              </w:rPr>
              <w:t>-0.319</w:t>
            </w:r>
          </w:p>
        </w:tc>
      </w:tr>
    </w:tbl>
    <w:p>
      <w:pPr>
        <w:spacing w:after="80"/>
      </w:pPr>
    </w:p>
    <w:p>
      <w:r>
        <w:br w:type="page"/>
      </w:r>
    </w:p>
    <w:p>
      <w:pPr>
        <w:pStyle w:val="Heading1"/>
      </w:pPr>
      <w:r>
        <w:rPr>
          <w:rFonts w:ascii="Times New Roman" w:hAnsi="Times New Roman"/>
          <w:b/>
          <w:color w:val="000000"/>
          <w:sz w:val="32"/>
        </w:rPr>
        <w:t>Appendix C The deployed application</w:t>
      </w:r>
    </w:p>
    <w:p>
      <w:r>
        <w:rPr>
          <w:rFonts w:ascii="Times New Roman" w:hAnsi="Times New Roman"/>
          <w:sz w:val="24"/>
        </w:rPr>
        <w:t xml:space="preserve">The application at https://mlda-cw1-8han4medy3o7d8izzcywbm.streamlit.app serves the committed artefacts of the study through seven pages. Figure 21 to Figure 27 were captured from the live deployment on 15 October 2026 at a 1,400-pixel viewport. Every page imports the same </w:t>
      </w:r>
      <w:r>
        <w:rPr>
          <w:rFonts w:ascii="Consolas" w:hAnsi="Consolas"/>
          <w:sz w:val="24"/>
        </w:rPr>
        <w:t>mlda</w:t>
      </w:r>
      <w:r>
        <w:rPr>
          <w:rFonts w:ascii="Times New Roman" w:hAnsi="Times New Roman"/>
          <w:sz w:val="24"/>
        </w:rPr>
        <w:t xml:space="preserve"> package as the notebook, so the numbers shown are the ones in Sections 2 to 5; the Preprocessing and Model training pages refit on samples of the training rows only, and the Inference page scores a new report through the saved pipeline.</w:t>
      </w:r>
    </w:p>
    <w:p>
      <w:pPr>
        <w:keepNext/>
        <w:jc w:val="center"/>
      </w:pPr>
      <w:r>
        <w:drawing>
          <wp:inline xmlns:a="http://schemas.openxmlformats.org/drawingml/2006/main" xmlns:pic="http://schemas.openxmlformats.org/drawingml/2006/picture">
            <wp:extent cx="5733288" cy="3685685"/>
            <wp:docPr id="21" name="Picture 21" descr="Figure 21. Data explorer page of the deployed application, with the three source tables, their keys and licence, the joined base table size and tabs for the joins, the target, a filterable sample and the data dictionary. Source: screenshot of the deployed application." title="Figure 21"/>
            <wp:cNvGraphicFramePr>
              <a:graphicFrameLocks noChangeAspect="1"/>
            </wp:cNvGraphicFramePr>
            <a:graphic>
              <a:graphicData uri="http://schemas.openxmlformats.org/drawingml/2006/picture">
                <pic:pic>
                  <pic:nvPicPr>
                    <pic:cNvPr id="0" name="app_1_data_explorer.png"/>
                    <pic:cNvPicPr/>
                  </pic:nvPicPr>
                  <pic:blipFill>
                    <a:blip r:embed="rId31"/>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Data explorer page of the deployed application, with the three source tables, their keys and licence, the joined base table size and tabs for the joins, the target, a filterable sample and the data dictionary. Source: screenshot of the deployed application.</w:t>
      </w:r>
    </w:p>
    <w:p>
      <w:pPr>
        <w:keepNext/>
        <w:jc w:val="center"/>
      </w:pPr>
      <w:r>
        <w:drawing>
          <wp:inline xmlns:a="http://schemas.openxmlformats.org/drawingml/2006/main" xmlns:pic="http://schemas.openxmlformats.org/drawingml/2006/picture">
            <wp:extent cx="5733288" cy="3685685"/>
            <wp:docPr id="22" name="Picture 22" descr="Figure 22. Exploratory analysis page, with tabs for the summary statistics, distributions by class, correlation heatmaps, associations with the target and missingness, drawn from the training rows only. Source: screenshot of the deployed application." title="Figure 22"/>
            <wp:cNvGraphicFramePr>
              <a:graphicFrameLocks noChangeAspect="1"/>
            </wp:cNvGraphicFramePr>
            <a:graphic>
              <a:graphicData uri="http://schemas.openxmlformats.org/drawingml/2006/picture">
                <pic:pic>
                  <pic:nvPicPr>
                    <pic:cNvPr id="0" name="app_2_eda.png"/>
                    <pic:cNvPicPr/>
                  </pic:nvPicPr>
                  <pic:blipFill>
                    <a:blip r:embed="rId32"/>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Exploratory analysis page, with tabs for the summary statistics, distributions by class, correlation heatmaps, associations with the target and missingness, drawn from the training rows only. Source: screenshot of the deployed application.</w:t>
      </w:r>
    </w:p>
    <w:p>
      <w:pPr>
        <w:keepNext/>
        <w:jc w:val="center"/>
      </w:pPr>
      <w:r>
        <w:drawing>
          <wp:inline xmlns:a="http://schemas.openxmlformats.org/drawingml/2006/main" xmlns:pic="http://schemas.openxmlformats.org/drawingml/2006/picture">
            <wp:extent cx="5733288" cy="3685685"/>
            <wp:docPr id="23" name="Picture 23" descr="Figure 23. Preprocessing page, where the imputer, scaler, encoder and outlier rule can be changed and the ColumnTransformer is refitted on a sample of training rows, showing the transformed shape, column count and timing. Source: screenshot of the deployed application." title="Figure 23"/>
            <wp:cNvGraphicFramePr>
              <a:graphicFrameLocks noChangeAspect="1"/>
            </wp:cNvGraphicFramePr>
            <a:graphic>
              <a:graphicData uri="http://schemas.openxmlformats.org/drawingml/2006/picture">
                <pic:pic>
                  <pic:nvPicPr>
                    <pic:cNvPr id="0" name="app_3_preprocessing.png"/>
                    <pic:cNvPicPr/>
                  </pic:nvPicPr>
                  <pic:blipFill>
                    <a:blip r:embed="rId33"/>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Preprocessing page, where the imputer, scaler, encoder and outlier rule can be changed and the ColumnTransformer is refitted on a sample of training rows, showing the transformed shape, column count and timing. Source: screenshot of the deployed application.</w:t>
      </w:r>
    </w:p>
    <w:p>
      <w:pPr>
        <w:keepNext/>
        <w:jc w:val="center"/>
      </w:pPr>
      <w:r>
        <w:drawing>
          <wp:inline xmlns:a="http://schemas.openxmlformats.org/drawingml/2006/main" xmlns:pic="http://schemas.openxmlformats.org/drawingml/2006/picture">
            <wp:extent cx="5733288" cy="3685685"/>
            <wp:docPr id="24" name="Picture 24" descr="Figure 24. Model training page, which tunes a chosen algorithm live on a sample of training rows with grouped cross-validation and compares the result with the full-run search tables. Source: screenshot of the deployed application." title="Figure 24"/>
            <wp:cNvGraphicFramePr>
              <a:graphicFrameLocks noChangeAspect="1"/>
            </wp:cNvGraphicFramePr>
            <a:graphic>
              <a:graphicData uri="http://schemas.openxmlformats.org/drawingml/2006/picture">
                <pic:pic>
                  <pic:nvPicPr>
                    <pic:cNvPr id="0" name="app_4_model_training.png"/>
                    <pic:cNvPicPr/>
                  </pic:nvPicPr>
                  <pic:blipFill>
                    <a:blip r:embed="rId34"/>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Model training page, which tunes a chosen algorithm live on a sample of training rows with grouped cross-validation and compares the result with the full-run search tables. Source: screenshot of the deployed application.</w:t>
      </w:r>
    </w:p>
    <w:p>
      <w:pPr>
        <w:keepNext/>
        <w:jc w:val="center"/>
      </w:pPr>
      <w:r>
        <w:drawing>
          <wp:inline xmlns:a="http://schemas.openxmlformats.org/drawingml/2006/main" xmlns:pic="http://schemas.openxmlformats.org/drawingml/2006/picture">
            <wp:extent cx="5733288" cy="3685685"/>
            <wp:docPr id="25" name="Picture 25" descr="Figure 25. 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 title="Figure 25"/>
            <wp:cNvGraphicFramePr>
              <a:graphicFrameLocks noChangeAspect="1"/>
            </wp:cNvGraphicFramePr>
            <a:graphic>
              <a:graphicData uri="http://schemas.openxmlformats.org/drawingml/2006/picture">
                <pic:pic>
                  <pic:nvPicPr>
                    <pic:cNvPr id="0" name="app_5_inference.png"/>
                    <pic:cNvPicPr/>
                  </pic:nvPicPr>
                  <pic:blipFill>
                    <a:blip r:embed="rId35"/>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25</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Inference page, where a new Form 7000-1 report is entered field by field, the mine's previous-year exposure is looked up, and the saved pipeline returns a probability, the class at the capacity threshold and an explanation; a batch CSV can be scored in the same way. Source: screenshot of the deployed application.</w:t>
      </w:r>
    </w:p>
    <w:p>
      <w:pPr>
        <w:keepNext/>
        <w:jc w:val="center"/>
      </w:pPr>
      <w:r>
        <w:drawing>
          <wp:inline xmlns:a="http://schemas.openxmlformats.org/drawingml/2006/main" xmlns:pic="http://schemas.openxmlformats.org/drawingml/2006/picture">
            <wp:extent cx="5733288" cy="3685685"/>
            <wp:docPr id="26" name="Picture 26" descr="Figure 26. Evaluation page, the dashboard of held-out results: metric cards against the success criteria, the comparison tables, curves, a threshold explorer with expected cost, the statistical tests, the sensitivity checks and feature importance. Source: screenshot of the deployed application." title="Figure 26"/>
            <wp:cNvGraphicFramePr>
              <a:graphicFrameLocks noChangeAspect="1"/>
            </wp:cNvGraphicFramePr>
            <a:graphic>
              <a:graphicData uri="http://schemas.openxmlformats.org/drawingml/2006/picture">
                <pic:pic>
                  <pic:nvPicPr>
                    <pic:cNvPr id="0" name="app_6_evaluation.png"/>
                    <pic:cNvPicPr/>
                  </pic:nvPicPr>
                  <pic:blipFill>
                    <a:blip r:embed="rId36"/>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26</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Evaluation page, the dashboard of held-out results: metric cards against the success criteria, the comparison tables, curves, a threshold explorer with expected cost, the statistical tests, the sensitivity checks and feature importance. Source: screenshot of the deployed application.</w:t>
      </w:r>
    </w:p>
    <w:p>
      <w:pPr>
        <w:keepNext/>
        <w:jc w:val="center"/>
      </w:pPr>
      <w:r>
        <w:drawing>
          <wp:inline xmlns:a="http://schemas.openxmlformats.org/drawingml/2006/main" xmlns:pic="http://schemas.openxmlformats.org/drawingml/2006/picture">
            <wp:extent cx="5733288" cy="3685685"/>
            <wp:docPr id="27" name="Picture 27" descr="Figure 27. About page, with the business question, data provenance and licence, the reproduction commands, the run manifest and the limits and ethics notes. Source: screenshot of the deployed application." title="Figure 27"/>
            <wp:cNvGraphicFramePr>
              <a:graphicFrameLocks noChangeAspect="1"/>
            </wp:cNvGraphicFramePr>
            <a:graphic>
              <a:graphicData uri="http://schemas.openxmlformats.org/drawingml/2006/picture">
                <pic:pic>
                  <pic:nvPicPr>
                    <pic:cNvPr id="0" name="app_7_about.png"/>
                    <pic:cNvPicPr/>
                  </pic:nvPicPr>
                  <pic:blipFill>
                    <a:blip r:embed="rId37"/>
                    <a:stretch>
                      <a:fillRect/>
                    </a:stretch>
                  </pic:blipFill>
                  <pic:spPr>
                    <a:xfrm>
                      <a:off x="0" y="0"/>
                      <a:ext cx="5733288" cy="3685685"/>
                    </a:xfrm>
                    <a:prstGeom prst="rect"/>
                  </pic:spPr>
                </pic:pic>
              </a:graphicData>
            </a:graphic>
          </wp:inline>
        </w:drawing>
      </w:r>
    </w:p>
    <w:p>
      <w:pPr>
        <w:pStyle w:val="Caption"/>
      </w:pPr>
      <w:r>
        <w:rPr>
          <w:rFonts w:ascii="Times New Roman" w:hAnsi="Times New Roman"/>
          <w:sz w:val="24"/>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27</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About page, with the business question, data provenance and licence, the reproduction commands, the run manifest and the limits and ethics notes. Source: screenshot of the deployed application.</w:t>
      </w:r>
    </w:p>
    <w:p>
      <w:r>
        <w:br w:type="page"/>
      </w:r>
    </w:p>
    <w:p>
      <w:pPr>
        <w:pStyle w:val="Heading1"/>
      </w:pPr>
      <w:r>
        <w:rPr>
          <w:rFonts w:ascii="Times New Roman" w:hAnsi="Times New Roman"/>
          <w:b/>
          <w:color w:val="000000"/>
          <w:sz w:val="32"/>
        </w:rPr>
        <w:t>Appendix D Commit history of the repository</w:t>
      </w:r>
    </w:p>
    <w:p>
      <w:r>
        <w:rPr>
          <w:rFonts w:ascii="Times New Roman" w:hAnsi="Times New Roman"/>
          <w:sz w:val="24"/>
        </w:rPr>
        <w:t>The repository https://github.com/wiut13130/mlda-cw1 holds the code, data archives, artefacts and this report. Table 24 lists every commit on the main branch at the time of writing, oldest first, with the teaching-week milestone named in each message; the weekly plan in the repository schedules the remaining commits until the deadline.</w:t>
      </w:r>
    </w:p>
    <w:p>
      <w:pPr>
        <w:pStyle w:val="Caption"/>
        <w:keepNext/>
      </w:pPr>
      <w:r>
        <w:rPr>
          <w:rFonts w:ascii="Times New Roman" w:hAnsi="Times New Roman"/>
          <w:sz w:val="24"/>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t xml:space="preserve">. </w:t>
      </w:r>
      <w:r>
        <w:rPr>
          <w:rFonts w:ascii="Times New Roman" w:hAnsi="Times New Roman"/>
          <w:sz w:val="24"/>
        </w:rPr>
        <w:t>Commits on the main branch, oldest first, with their dates and the teaching-week milestone each message names; later weekly commits follow the plan in the repository. Source: git log of the repository.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2"/>
              </w:rPr>
              <w:t>#</w:t>
            </w:r>
          </w:p>
        </w:tc>
        <w:tc>
          <w:tcPr>
            <w:tcW w:type="dxa" w:w="2256"/>
            <w:shd w:val="clear" w:color="auto" w:fill="E7E6E6"/>
          </w:tcPr>
          <w:p>
            <w:pPr>
              <w:jc w:val="left"/>
            </w:pPr>
            <w:r>
              <w:rPr>
                <w:b/>
              </w:rPr>
            </w:r>
            <w:r>
              <w:rPr>
                <w:rFonts w:ascii="Times New Roman" w:hAnsi="Times New Roman"/>
                <w:b/>
                <w:sz w:val="22"/>
              </w:rPr>
              <w:t>Date</w:t>
            </w:r>
          </w:p>
        </w:tc>
        <w:tc>
          <w:tcPr>
            <w:tcW w:type="dxa" w:w="2256"/>
            <w:shd w:val="clear" w:color="auto" w:fill="E7E6E6"/>
          </w:tcPr>
          <w:p>
            <w:pPr>
              <w:jc w:val="left"/>
            </w:pPr>
            <w:r>
              <w:rPr>
                <w:b/>
              </w:rPr>
            </w:r>
            <w:r>
              <w:rPr>
                <w:rFonts w:ascii="Times New Roman" w:hAnsi="Times New Roman"/>
                <w:b/>
                <w:sz w:val="22"/>
              </w:rPr>
              <w:t>Commit</w:t>
            </w:r>
          </w:p>
        </w:tc>
        <w:tc>
          <w:tcPr>
            <w:tcW w:type="dxa" w:w="2256"/>
            <w:shd w:val="clear" w:color="auto" w:fill="E7E6E6"/>
          </w:tcPr>
          <w:p>
            <w:pPr>
              <w:jc w:val="left"/>
            </w:pPr>
            <w:r>
              <w:rPr>
                <w:b/>
              </w:rPr>
            </w:r>
            <w:r>
              <w:rPr>
                <w:rFonts w:ascii="Times New Roman" w:hAnsi="Times New Roman"/>
                <w:b/>
                <w:sz w:val="22"/>
              </w:rPr>
              <w:t>Message</w:t>
            </w:r>
          </w:p>
        </w:tc>
      </w:tr>
      <w:tr>
        <w:tc>
          <w:tcPr>
            <w:tcW w:type="dxa" w:w="2256"/>
          </w:tcPr>
          <w:p>
            <w:pPr>
              <w:spacing w:after="0"/>
              <w:jc w:val="left"/>
            </w:pPr>
            <w:r/>
            <w:r>
              <w:rPr>
                <w:rFonts w:ascii="Times New Roman" w:hAnsi="Times New Roman"/>
                <w:sz w:val="22"/>
              </w:rPr>
              <w:t>1</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10fdc53</w:t>
            </w:r>
          </w:p>
        </w:tc>
        <w:tc>
          <w:tcPr>
            <w:tcW w:type="dxa" w:w="2256"/>
          </w:tcPr>
          <w:p>
            <w:pPr>
              <w:spacing w:after="0"/>
              <w:jc w:val="left"/>
            </w:pPr>
            <w:r/>
            <w:r>
              <w:rPr>
                <w:rFonts w:ascii="Times New Roman" w:hAnsi="Times New Roman"/>
                <w:sz w:val="22"/>
              </w:rPr>
              <w:t>TW1: initialise project - uv-managed Python 3.12, pyproject + uv.lock, exported requirements, MIT licence, CI, Dockerfile, project docs</w:t>
            </w:r>
          </w:p>
        </w:tc>
      </w:tr>
      <w:tr>
        <w:tc>
          <w:tcPr>
            <w:tcW w:type="dxa" w:w="2256"/>
          </w:tcPr>
          <w:p>
            <w:pPr>
              <w:spacing w:after="0"/>
              <w:jc w:val="left"/>
            </w:pPr>
            <w:r/>
            <w:r>
              <w:rPr>
                <w:rFonts w:ascii="Times New Roman" w:hAnsi="Times New Roman"/>
                <w:sz w:val="22"/>
              </w:rPr>
              <w:t>2</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8461cbc</w:t>
            </w:r>
          </w:p>
        </w:tc>
        <w:tc>
          <w:tcPr>
            <w:tcW w:type="dxa" w:w="2256"/>
          </w:tcPr>
          <w:p>
            <w:pPr>
              <w:spacing w:after="0"/>
              <w:jc w:val="left"/>
            </w:pPr>
            <w:r/>
            <w:r>
              <w:rPr>
                <w:rFonts w:ascii="Times New Roman" w:hAnsi="Times New Roman"/>
                <w:sz w:val="22"/>
              </w:rPr>
              <w:t>TW1: add src/mlda package skeleton, config (paths, seed, pinned sources with SHA-256), CLI entry points and checksum-verified download tool</w:t>
            </w:r>
          </w:p>
        </w:tc>
      </w:tr>
      <w:tr>
        <w:tc>
          <w:tcPr>
            <w:tcW w:type="dxa" w:w="2256"/>
          </w:tcPr>
          <w:p>
            <w:pPr>
              <w:spacing w:after="0"/>
              <w:jc w:val="left"/>
            </w:pPr>
            <w:r/>
            <w:r>
              <w:rPr>
                <w:rFonts w:ascii="Times New Roman" w:hAnsi="Times New Roman"/>
                <w:sz w:val="22"/>
              </w:rPr>
              <w:t>3</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0da03ea</w:t>
            </w:r>
          </w:p>
        </w:tc>
        <w:tc>
          <w:tcPr>
            <w:tcW w:type="dxa" w:w="2256"/>
          </w:tcPr>
          <w:p>
            <w:pPr>
              <w:spacing w:after="0"/>
              <w:jc w:val="left"/>
            </w:pPr>
            <w:r/>
            <w:r>
              <w:rPr>
                <w:rFonts w:ascii="Times New Roman" w:hAnsi="Times New Roman"/>
                <w:sz w:val="22"/>
              </w:rPr>
              <w:t>fix: store the MSHA codebooks and snapshot manifest byte-exact so their SHA-256 matches on every clone</w:t>
            </w:r>
          </w:p>
        </w:tc>
      </w:tr>
      <w:tr>
        <w:tc>
          <w:tcPr>
            <w:tcW w:type="dxa" w:w="2256"/>
          </w:tcPr>
          <w:p>
            <w:pPr>
              <w:spacing w:after="0"/>
              <w:jc w:val="left"/>
            </w:pPr>
            <w:r/>
            <w:r>
              <w:rPr>
                <w:rFonts w:ascii="Times New Roman" w:hAnsi="Times New Roman"/>
                <w:sz w:val="22"/>
              </w:rPr>
              <w:t>4</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1fb754f</w:t>
            </w:r>
          </w:p>
        </w:tc>
        <w:tc>
          <w:tcPr>
            <w:tcW w:type="dxa" w:w="2256"/>
          </w:tcPr>
          <w:p>
            <w:pPr>
              <w:spacing w:after="0"/>
              <w:jc w:val="left"/>
            </w:pPr>
            <w:r/>
            <w:r>
              <w:rPr>
                <w:rFonts w:ascii="Times New Roman" w:hAnsi="Times New Roman"/>
                <w:sz w:val="22"/>
              </w:rPr>
              <w:t>TW2: typed loaders for the three MSHA extracts (latin-1, placeholder codes to NA, NUMBER/DATE conversion) with 300-row fixtures and tests</w:t>
            </w:r>
          </w:p>
        </w:tc>
      </w:tr>
      <w:tr>
        <w:tc>
          <w:tcPr>
            <w:tcW w:type="dxa" w:w="2256"/>
          </w:tcPr>
          <w:p>
            <w:pPr>
              <w:spacing w:after="0"/>
              <w:jc w:val="left"/>
            </w:pPr>
            <w:r/>
            <w:r>
              <w:rPr>
                <w:rFonts w:ascii="Times New Roman" w:hAnsi="Times New Roman"/>
                <w:sz w:val="22"/>
              </w:rPr>
              <w:t>5</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53afb7b</w:t>
            </w:r>
          </w:p>
        </w:tc>
        <w:tc>
          <w:tcPr>
            <w:tcW w:type="dxa" w:w="2256"/>
          </w:tcPr>
          <w:p>
            <w:pPr>
              <w:spacing w:after="0"/>
              <w:jc w:val="left"/>
            </w:pPr>
            <w:r/>
            <w:r>
              <w:rPr>
                <w:rFonts w:ascii="Times New Roman" w:hAnsi="Times New Roman"/>
                <w:sz w:val="22"/>
              </w:rPr>
              <w:t>TW2: data profiling, join design and modelling decisions</w:t>
            </w:r>
          </w:p>
        </w:tc>
      </w:tr>
      <w:tr>
        <w:tc>
          <w:tcPr>
            <w:tcW w:type="dxa" w:w="2256"/>
          </w:tcPr>
          <w:p>
            <w:pPr>
              <w:spacing w:after="0"/>
              <w:jc w:val="left"/>
            </w:pPr>
            <w:r/>
            <w:r>
              <w:rPr>
                <w:rFonts w:ascii="Times New Roman" w:hAnsi="Times New Roman"/>
                <w:sz w:val="22"/>
              </w:rPr>
              <w:t>6</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35308f1</w:t>
            </w:r>
          </w:p>
        </w:tc>
        <w:tc>
          <w:tcPr>
            <w:tcW w:type="dxa" w:w="2256"/>
          </w:tcPr>
          <w:p>
            <w:pPr>
              <w:spacing w:after="0"/>
              <w:jc w:val="left"/>
            </w:pPr>
            <w:r/>
            <w:r>
              <w:rPr>
                <w:rFonts w:ascii="Times New Roman" w:hAnsi="Times New Roman"/>
                <w:sz w:val="22"/>
              </w:rPr>
              <w:t>TW2: commit the pinned MSHA archives (66 MB) so every clone and CI run analyses the identical 9 Oct 2026 snapshot; extraction via mlda-download</w:t>
            </w:r>
          </w:p>
        </w:tc>
      </w:tr>
      <w:tr>
        <w:tc>
          <w:tcPr>
            <w:tcW w:type="dxa" w:w="2256"/>
          </w:tcPr>
          <w:p>
            <w:pPr>
              <w:spacing w:after="0"/>
              <w:jc w:val="left"/>
            </w:pPr>
            <w:r/>
            <w:r>
              <w:rPr>
                <w:rFonts w:ascii="Times New Roman" w:hAnsi="Times New Roman"/>
                <w:sz w:val="22"/>
              </w:rPr>
              <w:t>7</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be3874b</w:t>
            </w:r>
          </w:p>
        </w:tc>
        <w:tc>
          <w:tcPr>
            <w:tcW w:type="dxa" w:w="2256"/>
          </w:tcPr>
          <w:p>
            <w:pPr>
              <w:spacing w:after="0"/>
              <w:jc w:val="left"/>
            </w:pPr>
            <w:r/>
            <w:r>
              <w:rPr>
                <w:rFonts w:ascii="Times New Roman" w:hAnsi="Times New Roman"/>
                <w:sz w:val="22"/>
              </w:rPr>
              <w:t>TW3: report generator (Markdown sections to docx with cover sheet, ID header, page numbers, TOC and SEQ captions, cross-references)</w:t>
            </w:r>
          </w:p>
        </w:tc>
      </w:tr>
      <w:tr>
        <w:tc>
          <w:tcPr>
            <w:tcW w:type="dxa" w:w="2256"/>
          </w:tcPr>
          <w:p>
            <w:pPr>
              <w:spacing w:after="0"/>
              <w:jc w:val="left"/>
            </w:pPr>
            <w:r/>
            <w:r>
              <w:rPr>
                <w:rFonts w:ascii="Times New Roman" w:hAnsi="Times New Roman"/>
                <w:sz w:val="22"/>
              </w:rPr>
              <w:t>8</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7e270bc</w:t>
            </w:r>
          </w:p>
        </w:tc>
        <w:tc>
          <w:tcPr>
            <w:tcW w:type="dxa" w:w="2256"/>
          </w:tcPr>
          <w:p>
            <w:pPr>
              <w:spacing w:after="0"/>
              <w:jc w:val="left"/>
            </w:pPr>
            <w:r/>
            <w:r>
              <w:rPr>
                <w:rFonts w:ascii="Times New Roman" w:hAnsi="Times New Roman"/>
                <w:sz w:val="22"/>
              </w:rPr>
              <w:t>TW3: join the three MSHA tables, error-correction rules and EDA toolkit</w:t>
            </w:r>
          </w:p>
        </w:tc>
      </w:tr>
      <w:tr>
        <w:tc>
          <w:tcPr>
            <w:tcW w:type="dxa" w:w="2256"/>
          </w:tcPr>
          <w:p>
            <w:pPr>
              <w:spacing w:after="0"/>
              <w:jc w:val="left"/>
            </w:pPr>
            <w:r/>
            <w:r>
              <w:rPr>
                <w:rFonts w:ascii="Times New Roman" w:hAnsi="Times New Roman"/>
                <w:sz w:val="22"/>
              </w:rPr>
              <w:t>9</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5c34f8d</w:t>
            </w:r>
          </w:p>
        </w:tc>
        <w:tc>
          <w:tcPr>
            <w:tcW w:type="dxa" w:w="2256"/>
          </w:tcPr>
          <w:p>
            <w:pPr>
              <w:spacing w:after="0"/>
              <w:jc w:val="left"/>
            </w:pPr>
            <w:r/>
            <w:r>
              <w:rPr>
                <w:rFonts w:ascii="Times New Roman" w:hAnsi="Times New Roman"/>
                <w:sz w:val="22"/>
              </w:rPr>
              <w:t>TW4: feature engineering, preprocessing options, grouped stratified split, evaluation metrics and baselines</w:t>
            </w:r>
          </w:p>
        </w:tc>
      </w:tr>
      <w:tr>
        <w:tc>
          <w:tcPr>
            <w:tcW w:type="dxa" w:w="2256"/>
          </w:tcPr>
          <w:p>
            <w:pPr>
              <w:spacing w:after="0"/>
              <w:jc w:val="left"/>
            </w:pPr>
            <w:r/>
            <w:r>
              <w:rPr>
                <w:rFonts w:ascii="Times New Roman" w:hAnsi="Times New Roman"/>
                <w:sz w:val="22"/>
              </w:rPr>
              <w:t>10</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070e742</w:t>
            </w:r>
          </w:p>
        </w:tc>
        <w:tc>
          <w:tcPr>
            <w:tcW w:type="dxa" w:w="2256"/>
          </w:tcPr>
          <w:p>
            <w:pPr>
              <w:spacing w:after="0"/>
              <w:jc w:val="left"/>
            </w:pPr>
            <w:r/>
            <w:r>
              <w:rPr>
                <w:rFonts w:ascii="Times New Roman" w:hAnsi="Times New Roman"/>
                <w:sz w:val="22"/>
              </w:rPr>
              <w:t>TW5: model zoo (logistic regression, KNN, Gaussian Naive Bayes, SVM, trees, ensembles, MLP) with GridSearchCV and StratifiedGroupKFold tuning</w:t>
            </w:r>
          </w:p>
        </w:tc>
      </w:tr>
      <w:tr>
        <w:tc>
          <w:tcPr>
            <w:tcW w:type="dxa" w:w="2256"/>
          </w:tcPr>
          <w:p>
            <w:pPr>
              <w:spacing w:after="0"/>
              <w:jc w:val="left"/>
            </w:pPr>
            <w:r/>
            <w:r>
              <w:rPr>
                <w:rFonts w:ascii="Times New Roman" w:hAnsi="Times New Roman"/>
                <w:sz w:val="22"/>
              </w:rPr>
              <w:t>11</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031bdd3</w:t>
            </w:r>
          </w:p>
        </w:tc>
        <w:tc>
          <w:tcPr>
            <w:tcW w:type="dxa" w:w="2256"/>
          </w:tcPr>
          <w:p>
            <w:pPr>
              <w:spacing w:after="0"/>
              <w:jc w:val="left"/>
            </w:pPr>
            <w:r/>
            <w:r>
              <w:rPr>
                <w:rFonts w:ascii="Times New Roman" w:hAnsi="Times New Roman"/>
                <w:sz w:val="22"/>
              </w:rPr>
              <w:t>TW6: random forest and histogram gradient boosting in the end-to-end study pipeline with persistence, explanations and sensitivity analyses</w:t>
            </w:r>
          </w:p>
        </w:tc>
      </w:tr>
      <w:tr>
        <w:tc>
          <w:tcPr>
            <w:tcW w:type="dxa" w:w="2256"/>
          </w:tcPr>
          <w:p>
            <w:pPr>
              <w:spacing w:after="0"/>
              <w:jc w:val="left"/>
            </w:pPr>
            <w:r/>
            <w:r>
              <w:rPr>
                <w:rFonts w:ascii="Times New Roman" w:hAnsi="Times New Roman"/>
                <w:sz w:val="22"/>
              </w:rPr>
              <w:t>12</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65bfdf3</w:t>
            </w:r>
          </w:p>
        </w:tc>
        <w:tc>
          <w:tcPr>
            <w:tcW w:type="dxa" w:w="2256"/>
          </w:tcPr>
          <w:p>
            <w:pPr>
              <w:spacing w:after="0"/>
              <w:jc w:val="left"/>
            </w:pPr>
            <w:r/>
            <w:r>
              <w:rPr>
                <w:rFonts w:ascii="Times New Roman" w:hAnsi="Times New Roman"/>
                <w:sz w:val="22"/>
              </w:rPr>
              <w:t>TW3: pipeline diagram for the report (Figure 1)</w:t>
            </w:r>
          </w:p>
        </w:tc>
      </w:tr>
      <w:tr>
        <w:tc>
          <w:tcPr>
            <w:tcW w:type="dxa" w:w="2256"/>
          </w:tcPr>
          <w:p>
            <w:pPr>
              <w:spacing w:after="0"/>
              <w:jc w:val="left"/>
            </w:pPr>
            <w:r/>
            <w:r>
              <w:rPr>
                <w:rFonts w:ascii="Times New Roman" w:hAnsi="Times New Roman"/>
                <w:sz w:val="22"/>
              </w:rPr>
              <w:t>13</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3f031ff</w:t>
            </w:r>
          </w:p>
        </w:tc>
        <w:tc>
          <w:tcPr>
            <w:tcW w:type="dxa" w:w="2256"/>
          </w:tcPr>
          <w:p>
            <w:pPr>
              <w:spacing w:after="0"/>
              <w:jc w:val="left"/>
            </w:pPr>
            <w:r/>
            <w:r>
              <w:rPr>
                <w:rFonts w:ascii="Times New Roman" w:hAnsi="Times New Roman"/>
                <w:sz w:val="22"/>
              </w:rPr>
              <w:t>TW3: report sections 1-3 (introduction, EDA, data preparation) with the data dictionary, descriptive statistics, association and decision-log tables;</w:t>
            </w:r>
          </w:p>
        </w:tc>
      </w:tr>
      <w:tr>
        <w:tc>
          <w:tcPr>
            <w:tcW w:type="dxa" w:w="2256"/>
          </w:tcPr>
          <w:p>
            <w:pPr>
              <w:spacing w:after="0"/>
              <w:jc w:val="left"/>
            </w:pPr>
            <w:r/>
            <w:r>
              <w:rPr>
                <w:rFonts w:ascii="Times New Roman" w:hAnsi="Times New Roman"/>
                <w:sz w:val="22"/>
              </w:rPr>
              <w:t>14</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3d46e94</w:t>
            </w:r>
          </w:p>
        </w:tc>
        <w:tc>
          <w:tcPr>
            <w:tcW w:type="dxa" w:w="2256"/>
          </w:tcPr>
          <w:p>
            <w:pPr>
              <w:spacing w:after="0"/>
              <w:jc w:val="left"/>
            </w:pPr>
            <w:r/>
            <w:r>
              <w:rPr>
                <w:rFonts w:ascii="Times New Roman" w:hAnsi="Times New Roman"/>
                <w:sz w:val="22"/>
              </w:rPr>
              <w:t>TW6: artefacts of the full study run (processed tables, split indices, tuned models with manifest, CV tables, test and out-of-fold predictions, metric</w:t>
            </w:r>
          </w:p>
        </w:tc>
      </w:tr>
      <w:tr>
        <w:tc>
          <w:tcPr>
            <w:tcW w:type="dxa" w:w="2256"/>
          </w:tcPr>
          <w:p>
            <w:pPr>
              <w:spacing w:after="0"/>
              <w:jc w:val="left"/>
            </w:pPr>
            <w:r/>
            <w:r>
              <w:rPr>
                <w:rFonts w:ascii="Times New Roman" w:hAnsi="Times New Roman"/>
                <w:sz w:val="22"/>
              </w:rPr>
              <w:t>15</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00ed308</w:t>
            </w:r>
          </w:p>
        </w:tc>
        <w:tc>
          <w:tcPr>
            <w:tcW w:type="dxa" w:w="2256"/>
          </w:tcPr>
          <w:p>
            <w:pPr>
              <w:spacing w:after="0"/>
              <w:jc w:val="left"/>
            </w:pPr>
            <w:r/>
            <w:r>
              <w:rPr>
                <w:rFonts w:ascii="Times New Roman" w:hAnsi="Times New Roman"/>
                <w:sz w:val="22"/>
              </w:rPr>
              <w:t>ci: compare exported requirement files without the autogenerated header line</w:t>
            </w:r>
          </w:p>
        </w:tc>
      </w:tr>
      <w:tr>
        <w:tc>
          <w:tcPr>
            <w:tcW w:type="dxa" w:w="2256"/>
          </w:tcPr>
          <w:p>
            <w:pPr>
              <w:spacing w:after="0"/>
              <w:jc w:val="left"/>
            </w:pPr>
            <w:r/>
            <w:r>
              <w:rPr>
                <w:rFonts w:ascii="Times New Roman" w:hAnsi="Times New Roman"/>
                <w:sz w:val="22"/>
              </w:rPr>
              <w:t>16</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392da03</w:t>
            </w:r>
          </w:p>
        </w:tc>
        <w:tc>
          <w:tcPr>
            <w:tcW w:type="dxa" w:w="2256"/>
          </w:tcPr>
          <w:p>
            <w:pPr>
              <w:spacing w:after="0"/>
              <w:jc w:val="left"/>
            </w:pPr>
            <w:r/>
            <w:r>
              <w:rPr>
                <w:rFonts w:ascii="Times New Roman" w:hAnsi="Times New Roman"/>
                <w:sz w:val="22"/>
              </w:rPr>
              <w:t>TW11: submission packer (mlda-zip) that bundles the tracked repository, rendered report and notebook export and refuses forbidden strings</w:t>
            </w:r>
          </w:p>
        </w:tc>
      </w:tr>
      <w:tr>
        <w:tc>
          <w:tcPr>
            <w:tcW w:type="dxa" w:w="2256"/>
          </w:tcPr>
          <w:p>
            <w:pPr>
              <w:spacing w:after="0"/>
              <w:jc w:val="left"/>
            </w:pPr>
            <w:r/>
            <w:r>
              <w:rPr>
                <w:rFonts w:ascii="Times New Roman" w:hAnsi="Times New Roman"/>
                <w:sz w:val="22"/>
              </w:rPr>
              <w:t>17</w:t>
            </w:r>
          </w:p>
        </w:tc>
        <w:tc>
          <w:tcPr>
            <w:tcW w:type="dxa" w:w="2256"/>
          </w:tcPr>
          <w:p>
            <w:pPr>
              <w:spacing w:after="0"/>
              <w:jc w:val="left"/>
            </w:pPr>
            <w:r/>
            <w:r>
              <w:rPr>
                <w:rFonts w:ascii="Times New Roman" w:hAnsi="Times New Roman"/>
                <w:sz w:val="22"/>
              </w:rPr>
              <w:t>2026-10-14</w:t>
            </w:r>
          </w:p>
        </w:tc>
        <w:tc>
          <w:tcPr>
            <w:tcW w:type="dxa" w:w="2256"/>
          </w:tcPr>
          <w:p>
            <w:pPr>
              <w:spacing w:after="0"/>
              <w:jc w:val="left"/>
            </w:pPr>
            <w:r/>
            <w:r>
              <w:rPr>
                <w:rFonts w:ascii="Times New Roman" w:hAnsi="Times New Roman"/>
                <w:sz w:val="22"/>
              </w:rPr>
              <w:t>b884487</w:t>
            </w:r>
          </w:p>
        </w:tc>
        <w:tc>
          <w:tcPr>
            <w:tcW w:type="dxa" w:w="2256"/>
          </w:tcPr>
          <w:p>
            <w:pPr>
              <w:spacing w:after="0"/>
              <w:jc w:val="left"/>
            </w:pPr>
            <w:r/>
            <w:r>
              <w:rPr>
                <w:rFonts w:ascii="Times New Roman" w:hAnsi="Times New Roman"/>
                <w:sz w:val="22"/>
              </w:rPr>
              <w:t>TW11: README with setup, reproduction, method, tests, CI and deployment instructions; weekly plan to the deadline; keep the training log; Docker conte</w:t>
            </w:r>
          </w:p>
        </w:tc>
      </w:tr>
      <w:tr>
        <w:tc>
          <w:tcPr>
            <w:tcW w:type="dxa" w:w="2256"/>
          </w:tcPr>
          <w:p>
            <w:pPr>
              <w:spacing w:after="0"/>
              <w:jc w:val="left"/>
            </w:pPr>
            <w:r/>
            <w:r>
              <w:rPr>
                <w:rFonts w:ascii="Times New Roman" w:hAnsi="Times New Roman"/>
                <w:sz w:val="22"/>
              </w:rPr>
              <w:t>18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15ed37c</w:t>
            </w:r>
          </w:p>
        </w:tc>
        <w:tc>
          <w:tcPr>
            <w:tcW w:type="dxa" w:w="2256"/>
          </w:tcPr>
          <w:p>
            <w:pPr>
              <w:spacing w:after="0"/>
              <w:jc w:val="left"/>
            </w:pPr>
            <w:r/>
            <w:r>
              <w:rPr>
                <w:rFonts w:ascii="Times New Roman" w:hAnsi="Times New Roman"/>
                <w:sz w:val="22"/>
              </w:rPr>
              <w:t>TW6: executed end-to-end notebook (load and join, EDA, preparation, training with GridSearchCV, evaluation, deployment notes) with its nbformat genera</w:t>
            </w:r>
          </w:p>
        </w:tc>
      </w:tr>
      <w:tr>
        <w:tc>
          <w:tcPr>
            <w:tcW w:type="dxa" w:w="2256"/>
          </w:tcPr>
          <w:p>
            <w:pPr>
              <w:spacing w:after="0"/>
              <w:jc w:val="left"/>
            </w:pPr>
            <w:r/>
            <w:r>
              <w:rPr>
                <w:rFonts w:ascii="Times New Roman" w:hAnsi="Times New Roman"/>
                <w:sz w:val="22"/>
              </w:rPr>
              <w:t>19</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1b32d5c</w:t>
            </w:r>
          </w:p>
        </w:tc>
        <w:tc>
          <w:tcPr>
            <w:tcW w:type="dxa" w:w="2256"/>
          </w:tcPr>
          <w:p>
            <w:pPr>
              <w:spacing w:after="0"/>
              <w:jc w:val="left"/>
            </w:pPr>
            <w:r/>
            <w:r>
              <w:rPr>
                <w:rFonts w:ascii="Times New Roman" w:hAnsi="Times New Roman"/>
                <w:sz w:val="22"/>
              </w:rPr>
              <w:t>TW7: multi-page Streamlit app (data explorer, exploratory analysis, preprocessing choices, live model training, inference, evaluation dashboard, about</w:t>
            </w:r>
          </w:p>
        </w:tc>
      </w:tr>
      <w:tr>
        <w:tc>
          <w:tcPr>
            <w:tcW w:type="dxa" w:w="2256"/>
          </w:tcPr>
          <w:p>
            <w:pPr>
              <w:spacing w:after="0"/>
              <w:jc w:val="left"/>
            </w:pPr>
            <w:r/>
            <w:r>
              <w:rPr>
                <w:rFonts w:ascii="Times New Roman" w:hAnsi="Times New Roman"/>
                <w:sz w:val="22"/>
              </w:rPr>
              <w:t>20</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305d012</w:t>
            </w:r>
          </w:p>
        </w:tc>
        <w:tc>
          <w:tcPr>
            <w:tcW w:type="dxa" w:w="2256"/>
          </w:tcPr>
          <w:p>
            <w:pPr>
              <w:spacing w:after="0"/>
              <w:jc w:val="left"/>
            </w:pPr>
            <w:r/>
            <w:r>
              <w:rPr>
                <w:rFonts w:ascii="Times New Roman" w:hAnsi="Times New Roman"/>
                <w:sz w:val="22"/>
              </w:rPr>
              <w:t>TW12: report sections 4 and 5, Harvard references, appendix B; rendered report docx; constant-baseline operating rows; figure legends; test fixtures a</w:t>
            </w:r>
          </w:p>
        </w:tc>
      </w:tr>
      <w:tr>
        <w:tc>
          <w:tcPr>
            <w:tcW w:type="dxa" w:w="2256"/>
          </w:tcPr>
          <w:p>
            <w:pPr>
              <w:spacing w:after="0"/>
              <w:jc w:val="left"/>
            </w:pPr>
            <w:r/>
            <w:r>
              <w:rPr>
                <w:rFonts w:ascii="Times New Roman" w:hAnsi="Times New Roman"/>
                <w:sz w:val="22"/>
              </w:rPr>
              <w:t>21</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934a7eb</w:t>
            </w:r>
          </w:p>
        </w:tc>
        <w:tc>
          <w:tcPr>
            <w:tcW w:type="dxa" w:w="2256"/>
          </w:tcPr>
          <w:p>
            <w:pPr>
              <w:spacing w:after="0"/>
              <w:jc w:val="left"/>
            </w:pPr>
            <w:r/>
            <w:r>
              <w:rPr>
                <w:rFonts w:ascii="Times New Roman" w:hAnsi="Times New Roman"/>
                <w:sz w:val="22"/>
              </w:rPr>
              <w:t>TW12: viva preparation sheet (25 questions with spoken answers, where to show each, weak points)</w:t>
            </w:r>
          </w:p>
        </w:tc>
      </w:tr>
      <w:tr>
        <w:tc>
          <w:tcPr>
            <w:tcW w:type="dxa" w:w="2256"/>
          </w:tcPr>
          <w:p>
            <w:pPr>
              <w:spacing w:after="0"/>
              <w:jc w:val="left"/>
            </w:pPr>
            <w:r/>
            <w:r>
              <w:rPr>
                <w:rFonts w:ascii="Times New Roman" w:hAnsi="Times New Roman"/>
                <w:sz w:val="22"/>
              </w:rPr>
              <w:t>22</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ec04687</w:t>
            </w:r>
          </w:p>
        </w:tc>
        <w:tc>
          <w:tcPr>
            <w:tcW w:type="dxa" w:w="2256"/>
          </w:tcPr>
          <w:p>
            <w:pPr>
              <w:spacing w:after="0"/>
              <w:jc w:val="left"/>
            </w:pPr>
            <w:r/>
            <w:r>
              <w:rPr>
                <w:rFonts w:ascii="Times New Roman" w:hAnsi="Times New Roman"/>
                <w:sz w:val="22"/>
              </w:rPr>
              <w:t>TW12: apply marker feedback - final-model rule stated as pre-fixed, capacity labelled an assumption, S5 reported in both forms, follow-up checks (wide</w:t>
            </w:r>
          </w:p>
        </w:tc>
      </w:tr>
      <w:tr>
        <w:tc>
          <w:tcPr>
            <w:tcW w:type="dxa" w:w="2256"/>
          </w:tcPr>
          <w:p>
            <w:pPr>
              <w:spacing w:after="0"/>
              <w:jc w:val="left"/>
            </w:pPr>
            <w:r/>
            <w:r>
              <w:rPr>
                <w:rFonts w:ascii="Times New Roman" w:hAnsi="Times New Roman"/>
                <w:sz w:val="22"/>
              </w:rPr>
              <w:t>23</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2d4bebb</w:t>
            </w:r>
          </w:p>
        </w:tc>
        <w:tc>
          <w:tcPr>
            <w:tcW w:type="dxa" w:w="2256"/>
          </w:tcPr>
          <w:p>
            <w:pPr>
              <w:spacing w:after="0"/>
              <w:jc w:val="left"/>
            </w:pPr>
            <w:r/>
            <w:r>
              <w:rPr>
                <w:rFonts w:ascii="Times New Roman" w:hAnsi="Times New Roman"/>
                <w:sz w:val="22"/>
              </w:rPr>
              <w:t>TW12: repository URL and git identity for the published repository</w:t>
            </w:r>
          </w:p>
        </w:tc>
      </w:tr>
      <w:tr>
        <w:tc>
          <w:tcPr>
            <w:tcW w:type="dxa" w:w="2256"/>
          </w:tcPr>
          <w:p>
            <w:pPr>
              <w:spacing w:after="0"/>
              <w:jc w:val="left"/>
            </w:pPr>
            <w:r/>
            <w:r>
              <w:rPr>
                <w:rFonts w:ascii="Times New Roman" w:hAnsi="Times New Roman"/>
                <w:sz w:val="22"/>
              </w:rPr>
              <w:t>24</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56cfa3f</w:t>
            </w:r>
          </w:p>
        </w:tc>
        <w:tc>
          <w:tcPr>
            <w:tcW w:type="dxa" w:w="2256"/>
          </w:tcPr>
          <w:p>
            <w:pPr>
              <w:spacing w:after="0"/>
              <w:jc w:val="left"/>
            </w:pPr>
            <w:r/>
            <w:r>
              <w:rPr>
                <w:rFonts w:ascii="Times New Roman" w:hAnsi="Times New Roman"/>
                <w:sz w:val="22"/>
              </w:rPr>
              <w:t>TW11: low-memory mode for hosted deployment, render.yaml, Docker port handling, commit-history export and optional repository bundle in the submission</w:t>
            </w:r>
          </w:p>
        </w:tc>
      </w:tr>
      <w:tr>
        <w:tc>
          <w:tcPr>
            <w:tcW w:type="dxa" w:w="2256"/>
          </w:tcPr>
          <w:p>
            <w:pPr>
              <w:spacing w:after="0"/>
              <w:jc w:val="left"/>
            </w:pPr>
            <w:r/>
            <w:r>
              <w:rPr>
                <w:rFonts w:ascii="Times New Roman" w:hAnsi="Times New Roman"/>
                <w:sz w:val="22"/>
              </w:rPr>
              <w:t>25</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f4887a3</w:t>
            </w:r>
          </w:p>
        </w:tc>
        <w:tc>
          <w:tcPr>
            <w:tcW w:type="dxa" w:w="2256"/>
          </w:tcPr>
          <w:p>
            <w:pPr>
              <w:spacing w:after="0"/>
              <w:jc w:val="left"/>
            </w:pPr>
            <w:r/>
            <w:r>
              <w:rPr>
                <w:rFonts w:ascii="Times New Roman" w:hAnsi="Times New Roman"/>
                <w:sz w:val="22"/>
              </w:rPr>
              <w:t>TW12: repository address and git identity for the published repository</w:t>
            </w:r>
          </w:p>
        </w:tc>
      </w:tr>
      <w:tr>
        <w:tc>
          <w:tcPr>
            <w:tcW w:type="dxa" w:w="2256"/>
          </w:tcPr>
          <w:p>
            <w:pPr>
              <w:spacing w:after="0"/>
              <w:jc w:val="left"/>
            </w:pPr>
            <w:r/>
            <w:r>
              <w:rPr>
                <w:rFonts w:ascii="Times New Roman" w:hAnsi="Times New Roman"/>
                <w:sz w:val="22"/>
              </w:rPr>
              <w:t>26</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ea74301</w:t>
            </w:r>
          </w:p>
        </w:tc>
        <w:tc>
          <w:tcPr>
            <w:tcW w:type="dxa" w:w="2256"/>
          </w:tcPr>
          <w:p>
            <w:pPr>
              <w:spacing w:after="0"/>
              <w:jc w:val="left"/>
            </w:pPr>
            <w:r/>
            <w:r>
              <w:rPr>
                <w:rFonts w:ascii="Times New Roman" w:hAnsi="Times New Roman"/>
                <w:sz w:val="22"/>
              </w:rPr>
              <w:t>TW12: live application address in the README, plan and report</w:t>
            </w:r>
          </w:p>
        </w:tc>
      </w:tr>
      <w:tr>
        <w:tc>
          <w:tcPr>
            <w:tcW w:type="dxa" w:w="2256"/>
          </w:tcPr>
          <w:p>
            <w:pPr>
              <w:spacing w:after="0"/>
              <w:jc w:val="left"/>
            </w:pPr>
            <w:r/>
            <w:r>
              <w:rPr>
                <w:rFonts w:ascii="Times New Roman" w:hAnsi="Times New Roman"/>
                <w:sz w:val="22"/>
              </w:rPr>
              <w:t>27</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a81b310</w:t>
            </w:r>
          </w:p>
        </w:tc>
        <w:tc>
          <w:tcPr>
            <w:tcW w:type="dxa" w:w="2256"/>
          </w:tcPr>
          <w:p>
            <w:pPr>
              <w:spacing w:after="0"/>
              <w:jc w:val="left"/>
            </w:pPr>
            <w:r/>
            <w:r>
              <w:rPr>
                <w:rFonts w:ascii="Times New Roman" w:hAnsi="Times New Roman"/>
                <w:sz w:val="22"/>
              </w:rPr>
              <w:t>ci: extract the committed archives in the pip job, let the download test extract, give the notebook job 90 minutes</w:t>
            </w:r>
          </w:p>
        </w:tc>
      </w:tr>
      <w:tr>
        <w:tc>
          <w:tcPr>
            <w:tcW w:type="dxa" w:w="2256"/>
          </w:tcPr>
          <w:p>
            <w:pPr>
              <w:spacing w:after="0"/>
              <w:jc w:val="left"/>
            </w:pPr>
            <w:r/>
            <w:r>
              <w:rPr>
                <w:rFonts w:ascii="Times New Roman" w:hAnsi="Times New Roman"/>
                <w:sz w:val="22"/>
              </w:rPr>
              <w:t>28</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20999fe</w:t>
            </w:r>
          </w:p>
        </w:tc>
        <w:tc>
          <w:tcPr>
            <w:tcW w:type="dxa" w:w="2256"/>
          </w:tcPr>
          <w:p>
            <w:pPr>
              <w:spacing w:after="0"/>
              <w:jc w:val="left"/>
            </w:pPr>
            <w:r/>
            <w:r>
              <w:rPr>
                <w:rFonts w:ascii="Times New Roman" w:hAnsi="Times New Roman"/>
                <w:sz w:val="22"/>
              </w:rPr>
              <w:t>TW12: record the Discussions-forum reservation date in the report</w:t>
            </w:r>
          </w:p>
        </w:tc>
      </w:tr>
      <w:tr>
        <w:tc>
          <w:tcPr>
            <w:tcW w:type="dxa" w:w="2256"/>
          </w:tcPr>
          <w:p>
            <w:pPr>
              <w:spacing w:after="0"/>
              <w:jc w:val="left"/>
            </w:pPr>
            <w:r/>
            <w:r>
              <w:rPr>
                <w:rFonts w:ascii="Times New Roman" w:hAnsi="Times New Roman"/>
                <w:sz w:val="22"/>
              </w:rPr>
              <w:t>29</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f90918e</w:t>
            </w:r>
          </w:p>
        </w:tc>
        <w:tc>
          <w:tcPr>
            <w:tcW w:type="dxa" w:w="2256"/>
          </w:tcPr>
          <w:p>
            <w:pPr>
              <w:spacing w:after="0"/>
              <w:jc w:val="left"/>
            </w:pPr>
            <w:r/>
            <w:r>
              <w:rPr>
                <w:rFonts w:ascii="Times New Roman" w:hAnsi="Times New Roman"/>
                <w:sz w:val="22"/>
              </w:rPr>
              <w:t>ci: publish slow-test failure details in the job summary</w:t>
            </w:r>
          </w:p>
        </w:tc>
      </w:tr>
      <w:tr>
        <w:tc>
          <w:tcPr>
            <w:tcW w:type="dxa" w:w="2256"/>
          </w:tcPr>
          <w:p>
            <w:pPr>
              <w:spacing w:after="0"/>
              <w:jc w:val="left"/>
            </w:pPr>
            <w:r/>
            <w:r>
              <w:rPr>
                <w:rFonts w:ascii="Times New Roman" w:hAnsi="Times New Roman"/>
                <w:sz w:val="22"/>
              </w:rPr>
              <w:t>30</w:t>
            </w:r>
          </w:p>
        </w:tc>
        <w:tc>
          <w:tcPr>
            <w:tcW w:type="dxa" w:w="2256"/>
          </w:tcPr>
          <w:p>
            <w:pPr>
              <w:spacing w:after="0"/>
              <w:jc w:val="left"/>
            </w:pPr>
            <w:r/>
            <w:r>
              <w:rPr>
                <w:rFonts w:ascii="Times New Roman" w:hAnsi="Times New Roman"/>
                <w:sz w:val="22"/>
              </w:rPr>
              <w:t>2026-10-15</w:t>
            </w:r>
          </w:p>
        </w:tc>
        <w:tc>
          <w:tcPr>
            <w:tcW w:type="dxa" w:w="2256"/>
          </w:tcPr>
          <w:p>
            <w:pPr>
              <w:spacing w:after="0"/>
              <w:jc w:val="left"/>
            </w:pPr>
            <w:r/>
            <w:r>
              <w:rPr>
                <w:rFonts w:ascii="Times New Roman" w:hAnsi="Times New Roman"/>
                <w:sz w:val="22"/>
              </w:rPr>
              <w:t>9a95625</w:t>
            </w:r>
          </w:p>
        </w:tc>
        <w:tc>
          <w:tcPr>
            <w:tcW w:type="dxa" w:w="2256"/>
          </w:tcPr>
          <w:p>
            <w:pPr>
              <w:spacing w:after="0"/>
              <w:jc w:val="left"/>
            </w:pPr>
            <w:r/>
            <w:r>
              <w:rPr>
                <w:rFonts w:ascii="Times New Roman" w:hAnsi="Times New Roman"/>
                <w:sz w:val="22"/>
              </w:rPr>
              <w:t>ci: surface slow-test failures as public annotations</w:t>
            </w:r>
          </w:p>
        </w:tc>
      </w:tr>
    </w:tbl>
    <w:p>
      <w:pPr>
        <w:spacing w:after="8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4"/>
      </w:rPr>
      <w:fldChar w:fldCharType="begin" w:dirty="true"/>
      <w:instrText xml:space="preserve"> PAGE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0"/>
      </w:rPr>
      <w:t xml:space="preserve"> of </w:t>
    </w:r>
    <w:r>
      <w:rPr>
        <w:rFonts w:ascii="Times New Roman" w:hAnsi="Times New Roman"/>
        <w:sz w:val="24"/>
      </w:rPr>
      <w:fldChar w:fldCharType="begin" w:dirty="true"/>
      <w:instrText xml:space="preserve"> NUMPAGES </w:instrText>
      <w:fldChar w:fldCharType="separate"/>
    </w:r>
    <w:r>
      <w:rPr>
        <w:rFonts w:ascii="Times New Roman" w:hAnsi="Times New Roman"/>
        <w:sz w:val="24"/>
      </w:rPr>
      <w:t>1</w: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0"/>
      </w:rPr>
      <w:t>Student ID: 13130    6COSC017C Machine Learning and Data Analytics, CW1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left"/>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lost-time mine injuries from MSHA open data</dc:title>
  <dc:subject>6COSC017C Coursework 1 (50% of the module mark)</dc:subject>
  <dc:creator>13130</dc:creator>
  <cp:keywords/>
  <dc:description/>
  <cp:lastModifiedBy>13130</cp:lastModifiedBy>
  <cp:revision>1</cp:revision>
  <dcterms:created xsi:type="dcterms:W3CDTF">2013-12-23T23:15:00Z</dcterms:created>
  <dcterms:modified xsi:type="dcterms:W3CDTF">2013-12-23T23:15:00Z</dcterms:modified>
  <cp:category/>
</cp:coreProperties>
</file>