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rFonts w:ascii="Times New Roman" w:hAnsi="Times New Roman"/>
          <w:b w:val="0"/>
          <w:sz w:val="28"/>
        </w:rPr>
        <w:t>Westminster International University in Tashkent</w:t>
      </w:r>
    </w:p>
    <w:p>
      <w:pPr>
        <w:spacing w:after="720"/>
        <w:jc w:val="center"/>
      </w:pPr>
      <w:r>
        <w:rPr>
          <w:rFonts w:ascii="Times New Roman" w:hAnsi="Times New Roman"/>
          <w:b w:val="0"/>
          <w:sz w:val="24"/>
        </w:rPr>
        <w:t>BSc (Hons) Business Information Systems</w:t>
      </w:r>
    </w:p>
    <w:p>
      <w:pPr>
        <w:spacing w:after="120"/>
        <w:jc w:val="center"/>
      </w:pPr>
      <w:r>
        <w:rPr>
          <w:rFonts w:ascii="Times New Roman" w:hAnsi="Times New Roman"/>
          <w:b/>
          <w:sz w:val="28"/>
        </w:rPr>
        <w:t>6COSC017C Machine Learning and Data Analytics</w:t>
      </w:r>
    </w:p>
    <w:p>
      <w:pPr>
        <w:spacing w:after="720"/>
        <w:jc w:val="center"/>
      </w:pPr>
      <w:r>
        <w:rPr>
          <w:rFonts w:ascii="Times New Roman" w:hAnsi="Times New Roman"/>
          <w:b w:val="0"/>
          <w:sz w:val="26"/>
        </w:rPr>
        <w:t>Coursework 1 (50% of the module mark)</w:t>
      </w:r>
    </w:p>
    <w:p>
      <w:pPr>
        <w:spacing w:after="120"/>
        <w:jc w:val="center"/>
      </w:pPr>
      <w:r>
        <w:rPr>
          <w:rFonts w:ascii="Times New Roman" w:hAnsi="Times New Roman"/>
          <w:b/>
          <w:sz w:val="36"/>
        </w:rPr>
        <w:t>Predicting lost-time mine injuries from MSHA open data</w:t>
      </w:r>
    </w:p>
    <w:p>
      <w:pPr>
        <w:spacing w:after="960"/>
        <w:jc w:val="center"/>
      </w:pPr>
      <w:r>
        <w:rPr>
          <w:rFonts w:ascii="Times New Roman" w:hAnsi="Times New Roman"/>
          <w:b w:val="0"/>
          <w:sz w:val="26"/>
        </w:rPr>
        <w:t>An end-to-end machine learning study with a deployed decision-support application</w:t>
      </w:r>
    </w:p>
    <w:p>
      <w:pPr>
        <w:spacing w:after="80"/>
        <w:jc w:val="center"/>
      </w:pPr>
      <w:r>
        <w:rPr>
          <w:rFonts w:ascii="Times New Roman" w:hAnsi="Times New Roman"/>
          <w:b w:val="0"/>
          <w:sz w:val="24"/>
        </w:rPr>
        <w:t>Student ID: 13130</w:t>
      </w:r>
    </w:p>
    <w:p>
      <w:pPr>
        <w:spacing w:after="80"/>
        <w:jc w:val="center"/>
      </w:pPr>
      <w:r>
        <w:rPr>
          <w:rFonts w:ascii="Times New Roman" w:hAnsi="Times New Roman"/>
          <w:b w:val="0"/>
          <w:sz w:val="24"/>
        </w:rPr>
        <w:t>Marker: Ruslan Isaev</w:t>
      </w:r>
    </w:p>
    <w:p>
      <w:pPr>
        <w:spacing w:after="80"/>
        <w:jc w:val="center"/>
      </w:pPr>
      <w:r>
        <w:rPr>
          <w:rFonts w:ascii="Times New Roman" w:hAnsi="Times New Roman"/>
          <w:b w:val="0"/>
          <w:sz w:val="24"/>
        </w:rPr>
        <w:t>Submission date: December 2026</w:t>
      </w:r>
    </w:p>
    <w:p>
      <w:pPr>
        <w:spacing w:after="80"/>
        <w:jc w:val="center"/>
      </w:pPr>
      <w:r>
        <w:rPr>
          <w:rFonts w:ascii="Times New Roman" w:hAnsi="Times New Roman"/>
          <w:b w:val="0"/>
          <w:sz w:val="24"/>
        </w:rPr>
        <w:t>Word count (executive summary and sections 1 to 5 with headings; tables, captions, references and appendices excluded): 7,357</w:t>
      </w:r>
    </w:p>
    <w:p>
      <w:pPr>
        <w:spacing w:after="80"/>
        <w:jc w:val="center"/>
      </w:pPr>
      <w:r>
        <w:rPr>
          <w:rFonts w:ascii="Times New Roman" w:hAnsi="Times New Roman"/>
          <w:b w:val="0"/>
          <w:sz w:val="24"/>
        </w:rPr>
        <w:t>Repository: https://github.com/wiut13130/mlda-cw1</w:t>
      </w:r>
    </w:p>
    <w:p>
      <w:pPr>
        <w:spacing w:after="80"/>
        <w:jc w:val="center"/>
      </w:pPr>
      <w:r>
        <w:rPr>
          <w:rFonts w:ascii="Times New Roman" w:hAnsi="Times New Roman"/>
          <w:b w:val="0"/>
          <w:sz w:val="24"/>
        </w:rPr>
        <w:t>Deployed application: https://mlda-cw1-8han4medy3o7d8izzcywbm.streamlit.app</w:t>
      </w:r>
    </w:p>
    <w:p>
      <w:r>
        <w:br w:type="page"/>
      </w:r>
    </w:p>
    <w:p>
      <w:r>
        <w:rPr>
          <w:rFonts w:ascii="Times New Roman" w:hAnsi="Times New Roman"/>
          <w:b/>
          <w:sz w:val="32"/>
        </w:rPr>
        <w:t>Table of contents</w:t>
      </w:r>
    </w:p>
    <w:p>
      <w:r>
        <w:rPr>
          <w:rFonts w:ascii="Times New Roman" w:hAnsi="Times New Roman"/>
          <w:sz w:val="24"/>
        </w:rPr>
        <w:fldChar w:fldCharType="begin" w:dirty="true"/>
        <w:instrText xml:space="preserve"> TOC \o "1-3" \h \z \u </w:instrText>
        <w:fldChar w:fldCharType="separate"/>
      </w:r>
      <w:r>
        <w:rPr>
          <w:rFonts w:ascii="Times New Roman" w:hAnsi="Times New Roman"/>
          <w:sz w:val="24"/>
        </w:rPr>
        <w:t>Right-click and choose Update Field (or press F9) to fill the table of contents.</w:t>
      </w:r>
      <w:r>
        <w:rPr>
          <w:rFonts w:ascii="Times New Roman" w:hAnsi="Times New Roman"/>
          <w:sz w:val="24"/>
        </w:rPr>
        <w:fldChar w:fldCharType="end"/>
      </w:r>
    </w:p>
    <w:p/>
    <w:p>
      <w:r>
        <w:rPr>
          <w:rFonts w:ascii="Times New Roman" w:hAnsi="Times New Roman"/>
          <w:b/>
          <w:sz w:val="28"/>
        </w:rPr>
        <w:t>List of figures</w:t>
      </w:r>
    </w:p>
    <w:p>
      <w:pPr>
        <w:spacing w:after="40"/>
        <w:ind w:left="454" w:hanging="454"/>
      </w:pPr>
      <w:r>
        <w:rPr>
          <w:rFonts w:ascii="Times New Roman" w:hAnsi="Times New Roman"/>
          <w:sz w:val="24"/>
        </w:rPr>
        <w:t>Figure 1. Counts and shares of non-lost-time and lost-time cases for all 101,609 in-scope rows before the split, drawn as a bar chart because two class sizes are compared. Source: author's analysis of MSHA open data.</w:t>
      </w:r>
    </w:p>
    <w:p>
      <w:pPr>
        <w:spacing w:after="40"/>
        <w:ind w:left="454" w:hanging="454"/>
      </w:pPr>
      <w:r>
        <w:rPr>
          <w:rFonts w:ascii="Times New Roman" w:hAnsi="Times New Roman"/>
          <w:sz w:val="24"/>
        </w:rPr>
        <w:t>Figure 2. 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w:t>
      </w:r>
    </w:p>
    <w:p>
      <w:pPr>
        <w:spacing w:after="40"/>
        <w:ind w:left="454" w:hanging="454"/>
      </w:pPr>
      <w:r>
        <w:rPr>
          <w:rFonts w:ascii="Times New Roman" w:hAnsi="Times New Roman"/>
          <w:sz w:val="24"/>
        </w:rPr>
        <w:t>Figure 3. Pearson (left) and Spearman (right) correlation matrices of the 20 numeric features on the training split, drawn as heatmaps on one diverging scale centred at zero so that the two coefficients can be compared cell by cell. Source: author's analysis of MSHA open data.</w:t>
      </w:r>
    </w:p>
    <w:p>
      <w:pPr>
        <w:spacing w:after="40"/>
        <w:ind w:left="454" w:hanging="454"/>
      </w:pPr>
      <w:r>
        <w:rPr>
          <w:rFonts w:ascii="Times New Roman" w:hAnsi="Times New Roman"/>
          <w:sz w:val="24"/>
        </w:rPr>
        <w:t>Figure 4. Density histograms (30 bins) with kernel density estimates of the 20 numeric features by outcome class on all 81,289 training rows, drawn as densities so that classes of unequal size share one scale. Source: author's analysis of MSHA open data.</w:t>
      </w:r>
    </w:p>
    <w:p>
      <w:pPr>
        <w:spacing w:after="40"/>
        <w:ind w:left="454" w:hanging="454"/>
      </w:pPr>
      <w:r>
        <w:rPr>
          <w:rFonts w:ascii="Times New Roman" w:hAnsi="Times New Roman"/>
          <w:sz w:val="24"/>
        </w:rPr>
        <w:t>Figure 5. Box plots of the 20 numeric features by outcome class on all 81,289 training rows, with whiskers at 1.5 times the IQR and outlier points omitted, chosen because medians and quartiles are the comparison that skewed features need. Source: author's analysis of MSHA open data.</w:t>
      </w:r>
    </w:p>
    <w:p>
      <w:pPr>
        <w:spacing w:after="40"/>
        <w:ind w:left="454" w:hanging="454"/>
      </w:pPr>
      <w:r>
        <w:rPr>
          <w:rFonts w:ascii="Times New Roman" w:hAnsi="Times New Roman"/>
          <w:sz w:val="24"/>
        </w:rPr>
        <w:t>Figure 6. Corner pair plot of the five numeric features with the largest absolute point-biserial correlation, for 5,000 seeded training rows without missing values, coloured by outcome to show pairwise structure and class overlap. Source: author's analysis of MSHA open data.</w:t>
      </w:r>
    </w:p>
    <w:p>
      <w:pPr>
        <w:spacing w:after="40"/>
        <w:ind w:left="454" w:hanging="454"/>
      </w:pPr>
      <w:r>
        <w:rPr>
          <w:rFonts w:ascii="Times New Roman" w:hAnsi="Times New Roman"/>
          <w:sz w:val="24"/>
        </w:rPr>
        <w:t>Figure 7. 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w:t>
      </w:r>
    </w:p>
    <w:p>
      <w:pPr>
        <w:spacing w:after="40"/>
        <w:ind w:left="454" w:hanging="454"/>
      </w:pPr>
      <w:r>
        <w:rPr>
          <w:rFonts w:ascii="Times New Roman" w:hAnsi="Times New Roman"/>
          <w:sz w:val="24"/>
        </w:rPr>
        <w:t>Figure 8. Percentage of missing values in the 30 most incomplete columns of the joined base table on the training rows, ranked as bars so that structural and sporadic gaps can be told apart. Source: author's analysis of MSHA open data.</w:t>
      </w:r>
    </w:p>
    <w:p>
      <w:pPr>
        <w:spacing w:after="40"/>
        <w:ind w:left="454" w:hanging="454"/>
      </w:pPr>
      <w:r>
        <w:rPr>
          <w:rFonts w:ascii="Times New Roman" w:hAnsi="Times New Roman"/>
          <w:sz w:val="24"/>
        </w:rPr>
        <w:t>Figure 9. 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w:t>
      </w:r>
    </w:p>
    <w:p>
      <w:pPr>
        <w:spacing w:after="40"/>
        <w:ind w:left="454" w:hanging="454"/>
      </w:pPr>
      <w:r>
        <w:rPr>
          <w:rFonts w:ascii="Times New Roman" w:hAnsi="Times New Roman"/>
          <w:sz w:val="24"/>
        </w:rPr>
        <w:t>Figure 10. First two principal components of the 20 median-imputed and standardised numeric features, fitted on the training split with 5,000 seeded points shown and coloured by outcome, used to check for linear class separation in two dimensions. Source: author's analysis of MSHA open data.</w:t>
      </w:r>
    </w:p>
    <w:p>
      <w:pPr>
        <w:spacing w:after="40"/>
        <w:ind w:left="454" w:hanging="454"/>
      </w:pPr>
      <w:r>
        <w:rPr>
          <w:rFonts w:ascii="Times New Roman" w:hAnsi="Times New Roman"/>
          <w:sz w:val="24"/>
        </w:rPr>
        <w:t>Figure 11. 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w:t>
      </w:r>
    </w:p>
    <w:p>
      <w:pPr>
        <w:spacing w:after="40"/>
        <w:ind w:left="454" w:hanging="454"/>
      </w:pPr>
      <w:r>
        <w:rPr>
          <w:rFonts w:ascii="Times New Roman" w:hAnsi="Times New Roman"/>
          <w:sz w:val="24"/>
        </w:rPr>
        <w:t>Figure 12. 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w:t>
      </w:r>
    </w:p>
    <w:p>
      <w:pPr>
        <w:spacing w:after="40"/>
        <w:ind w:left="454" w:hanging="454"/>
      </w:pPr>
      <w:r>
        <w:rPr>
          <w:rFonts w:ascii="Times New Roman" w:hAnsi="Times New Roman"/>
          <w:sz w:val="24"/>
        </w:rPr>
        <w:t>Figure 13. 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w:t>
      </w:r>
    </w:p>
    <w:p>
      <w:pPr>
        <w:spacing w:after="40"/>
        <w:ind w:left="454" w:hanging="454"/>
      </w:pPr>
      <w:r>
        <w:rPr>
          <w:rFonts w:ascii="Times New Roman" w:hAnsi="Times New Roman"/>
          <w:sz w:val="24"/>
        </w:rPr>
        <w:t>Figure 14. 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w:t>
      </w:r>
    </w:p>
    <w:p>
      <w:pPr>
        <w:spacing w:after="40"/>
        <w:ind w:left="454" w:hanging="454"/>
      </w:pPr>
      <w:r>
        <w:rPr>
          <w:rFonts w:ascii="Times New Roman" w:hAnsi="Times New Roman"/>
          <w:sz w:val="24"/>
        </w:rPr>
        <w:t>Figure 15. 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w:t>
      </w:r>
    </w:p>
    <w:p>
      <w:pPr>
        <w:spacing w:after="40"/>
        <w:ind w:left="454" w:hanging="454"/>
      </w:pPr>
      <w:r>
        <w:rPr>
          <w:rFonts w:ascii="Times New Roman" w:hAnsi="Times New Roman"/>
          <w:sz w:val="24"/>
        </w:rPr>
        <w:t>Figure 16. ROC curves of the eight tuned models and the lookup baseline on the 20,320 test reports, with test ROC-AUC in the legend and the chance diagonal dotted; ROC space is shown because it does not depend on prevalence. Source: author's analysis of MSHA open data.</w:t>
      </w:r>
    </w:p>
    <w:p>
      <w:pPr>
        <w:spacing w:after="40"/>
        <w:ind w:left="454" w:hanging="454"/>
      </w:pPr>
      <w:r>
        <w:rPr>
          <w:rFonts w:ascii="Times New Roman" w:hAnsi="Times New Roman"/>
          <w:sz w:val="24"/>
        </w:rPr>
        <w:t>Figure 17. 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w:t>
      </w:r>
    </w:p>
    <w:p>
      <w:pPr>
        <w:spacing w:after="40"/>
        <w:ind w:left="454" w:hanging="454"/>
      </w:pPr>
      <w:r>
        <w:rPr>
          <w:rFonts w:ascii="Times New Roman" w:hAnsi="Times New Roman"/>
          <w:sz w:val="24"/>
        </w:rPr>
        <w:t>Figure 18. 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w:t>
      </w:r>
    </w:p>
    <w:p>
      <w:pPr>
        <w:spacing w:after="40"/>
        <w:ind w:left="454" w:hanging="454"/>
      </w:pPr>
      <w:r>
        <w:rPr>
          <w:rFonts w:ascii="Times New Roman" w:hAnsi="Times New Roman"/>
          <w:sz w:val="24"/>
        </w:rPr>
        <w:t>Figure 19. 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w:t>
      </w:r>
    </w:p>
    <w:p>
      <w:pPr>
        <w:spacing w:after="40"/>
        <w:ind w:left="454" w:hanging="454"/>
      </w:pPr>
      <w:r>
        <w:rPr>
          <w:rFonts w:ascii="Times New Roman" w:hAnsi="Times New Roman"/>
          <w:sz w:val="24"/>
        </w:rPr>
        <w:t>Figure 20. 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w:t>
      </w:r>
    </w:p>
    <w:p/>
    <w:p>
      <w:r>
        <w:rPr>
          <w:rFonts w:ascii="Times New Roman" w:hAnsi="Times New Roman"/>
          <w:b/>
          <w:sz w:val="28"/>
        </w:rPr>
        <w:t>List of tables</w:t>
      </w:r>
    </w:p>
    <w:p>
      <w:pPr>
        <w:spacing w:after="40"/>
        <w:ind w:left="454" w:hanging="454"/>
      </w:pPr>
      <w:r>
        <w:rPr>
          <w:rFonts w:ascii="Times New Roman" w:hAnsi="Times New Roman"/>
          <w:sz w:val="24"/>
        </w:rPr>
        <w:t>Table 1. Error costs assumed for the claim-flagging decision and the evidence behind each value; the false-negative cost and the cost ratio are assumptions varied in the threshold analysis, and the review-everything floor is computed on all 101,609 in-scope reports. Source: author's assumptions from the cited cost sources and analysis of MSHA open data.</w:t>
      </w:r>
    </w:p>
    <w:p>
      <w:pPr>
        <w:spacing w:after="40"/>
        <w:ind w:left="454" w:hanging="454"/>
      </w:pPr>
      <w:r>
        <w:rPr>
          <w:rFonts w:ascii="Times New Roman" w:hAnsi="Times New Roman"/>
          <w:sz w:val="24"/>
        </w:rPr>
        <w:t>Table 2. Mapping of MSHA degree-of-injury codes to the lost_time target, with row counts and prevalence on all in-scope reports of 2010-2025 before the train/test split, and the two alternative labels that were assessed. Source: author's analysis of MSHA open data.</w:t>
      </w:r>
    </w:p>
    <w:p>
      <w:pPr>
        <w:spacing w:after="40"/>
        <w:ind w:left="454" w:hanging="454"/>
      </w:pPr>
      <w:r>
        <w:rPr>
          <w:rFonts w:ascii="Times New Roman" w:hAnsi="Times New Roman"/>
          <w:sz w:val="24"/>
        </w:rPr>
        <w:t>Table 3. Success criteria S1 to S7, fixed before modelling and evaluated on the 20% mine-year-grouped held-out test set (S6 also by sector on the temporal split), with the reference value each must beat and the four baselines; reference values come from the pre-modelling data profile, with lookup baseline values on the 2020-2025 temporal split and rule values on all in-scope reports. Source: author's analysis of MSHA open data.</w:t>
      </w:r>
    </w:p>
    <w:p>
      <w:pPr>
        <w:spacing w:after="40"/>
        <w:ind w:left="454" w:hanging="454"/>
      </w:pPr>
      <w:r>
        <w:rPr>
          <w:rFonts w:ascii="Times New Roman" w:hAnsi="Times New Roman"/>
          <w:sz w:val="24"/>
        </w:rPr>
        <w:t>Table 4. The three MSHA source tables with their size, grain, key and licence, and how each was joined to the accident rows; the files were published on 9 October 2026 and pulled on 14 October 2026 at 12:06 UTC from the MSHA Open Government Data page (https://arlweb.msha.gov/OpenGovernmentData/OGIMSHA.asp), each zip file at https://arlweb.msha.gov/OpenGovernmentData/DataSets/ followed by its name, and the full SHA-256 digests are in data/raw/SNAPSHOT.json. Source: author's analysis of MSHA open data.</w:t>
      </w:r>
    </w:p>
    <w:p>
      <w:pPr>
        <w:spacing w:after="40"/>
        <w:ind w:left="454" w:hanging="454"/>
      </w:pPr>
      <w:r>
        <w:rPr>
          <w:rFonts w:ascii="Times New Roman" w:hAnsi="Times New Roman"/>
          <w:sz w:val="24"/>
        </w:rPr>
        <w:t>Table 5. Data dictionary of the 55 model features (23 categorical, 20 numeric and 12 binary) grouped by type, with meaning and source table; the definitions apply to every row of the training and test splits, every feature is known when Form 7000-1 is filed, and outcome fields such as DAYS_LOST are excluded as leakage. Source: author's analysis of MSHA open data and codebooks.</w:t>
      </w:r>
    </w:p>
    <w:p>
      <w:pPr>
        <w:spacing w:after="40"/>
        <w:ind w:left="454" w:hanging="454"/>
      </w:pPr>
      <w:r>
        <w:rPr>
          <w:rFonts w:ascii="Times New Roman" w:hAnsi="Times New Roman"/>
          <w:sz w:val="24"/>
        </w:rPr>
        <w:t>Table 6. Sample statistics of 12 of the 20 numeric features on the 81,289 training rows; the trimmed mean cuts 10% from each tail, variance and SD (sample standard deviation) use the n - 1 denominator, prev_hours is in thousands of employee-hours, and skewness is read against the bands below 0.5 symmetric, 0.5 to 1 moderate and above 1 high. Source: author's analysis of MSHA open data.</w:t>
      </w:r>
    </w:p>
    <w:p>
      <w:pPr>
        <w:spacing w:after="40"/>
        <w:ind w:left="454" w:hanging="454"/>
      </w:pPr>
      <w:r>
        <w:rPr>
          <w:rFonts w:ascii="Times New Roman" w:hAnsi="Times New Roman"/>
          <w:sz w:val="24"/>
        </w:rPr>
        <w:t>Table 7. Association of the numeric features (point-biserial r, top 10 by absolute value) and the categorical features (bias-corrected Cramer's V, top 10, number of levels in brackets) with the lost-time target, and the numeric features whose variance inflation factor exceeds 5 with their most correlated partner, all on the 81,289 training rows; every listed r and V has p &lt; 0.001. Source: author's analysis of MSHA open data.</w:t>
      </w:r>
    </w:p>
    <w:p>
      <w:pPr>
        <w:spacing w:after="40"/>
        <w:ind w:left="454" w:hanging="454"/>
      </w:pPr>
      <w:r>
        <w:rPr>
          <w:rFonts w:ascii="Times New Roman" w:hAnsi="Times New Roman"/>
          <w:sz w:val="24"/>
        </w:rPr>
        <w:t>Table 8. Preprocessing decision log in execution order, giving for each step the problem found, the options considered, the choice and the data shape afterwards; counts in steps 1 to 9 refer to all 101,609 in-scope rows and counts in steps 10 to 14 to the 81,289 training rows of the grouped split unless a cell says otherwise, E codes name the error rules logged in reports/metrics/error_rules.csv, and a table is used so that every step is judged on the same six attributes. Source: author's analysis of MSHA open data.</w:t>
      </w:r>
    </w:p>
    <w:p>
      <w:pPr>
        <w:spacing w:after="40"/>
        <w:ind w:left="454" w:hanging="454"/>
      </w:pPr>
      <w:r>
        <w:rPr>
          <w:rFonts w:ascii="Times New Roman" w:hAnsi="Times New Roman"/>
          <w:sz w:val="24"/>
        </w:rPr>
        <w:t>Table 9. The eight candidate algorithms with their paradigm, key assumption, the violation found in the training split and the bias it introduces, scaling need, interpretability and the module week in which each was taught; violations refer to the exploratory analysis of the training split in Section 2. Source: author's analysis of MSHA open data.</w:t>
      </w:r>
    </w:p>
    <w:p>
      <w:pPr>
        <w:spacing w:after="40"/>
        <w:ind w:left="454" w:hanging="454"/>
      </w:pPr>
      <w:r>
        <w:rPr>
          <w:rFonts w:ascii="Times New Roman" w:hAnsi="Times New Roman"/>
          <w:sz w:val="24"/>
        </w:rPr>
        <w:t>Table 10. Hyperparameter search per model on the 81,289 training rows with five grouped folds; the first row of each model gives the search, the number of candidates, the selected candidate's validation PR-AUC (mean ± SD) and its training-fold PR-AUC, the last column the best validation PR-AUC with another value (in brackets), and the rows marked as follow-up give wider grids searched after the test scoring, which changed no choice. Source: author's analysis of MSHA open data.</w:t>
      </w:r>
    </w:p>
    <w:p>
      <w:pPr>
        <w:spacing w:after="40"/>
        <w:ind w:left="454" w:hanging="454"/>
      </w:pPr>
      <w:r>
        <w:rPr>
          <w:rFonts w:ascii="Times New Roman" w:hAnsi="Times New Roman"/>
          <w:sz w:val="24"/>
        </w:rPr>
        <w:t>Table 11. Cross-validated scores (mean ± SD over five grouped folds of the 81,289-row training split) of each model's selected candidate at the default threshold of 0.5, ordered by PR-AUC, the refit metric; KNN and the SVM were cross-validated on their 39,999-row and 9,913-row subsamples, and TNR is pooled over the out-of-fold predictions of all training rows, so it has no SD. Source: author's analysis of MSHA open data.</w:t>
      </w:r>
    </w:p>
    <w:p>
      <w:pPr>
        <w:spacing w:after="40"/>
        <w:ind w:left="454" w:hanging="454"/>
      </w:pPr>
      <w:r>
        <w:rPr>
          <w:rFonts w:ascii="Times New Roman" w:hAnsi="Times New Roman"/>
          <w:sz w:val="24"/>
        </w:rPr>
        <w:t>Table 12. Test-set scores of the eight tuned models and four baselines on the 20,320 held-out reports at the default threshold of 0.5, in the brief's column order with F1, PR-AUC and accuracy added and ordered by PR-AUC; TPR equals recall, TP / (TP + FN), and both columns are kept because the brief lists both, while TNR is specificity, TN / (TN + FP). Source: author's analysis of MSHA open data.</w:t>
      </w:r>
    </w:p>
    <w:p>
      <w:pPr>
        <w:spacing w:after="40"/>
        <w:ind w:left="454" w:hanging="454"/>
      </w:pPr>
      <w:r>
        <w:rPr>
          <w:rFonts w:ascii="Times New Roman" w:hAnsi="Times New Roman"/>
          <w:sz w:val="24"/>
        </w:rPr>
        <w:t>Table 13. Test-set scores on the 20,320 held-out reports at each model's capacity threshold, the lowest threshold whose out-of-fold specificity reached 0.40 on the training split, with the resulting flag rate, balanced accuracy, MCC and Brier score; the threshold-free AUC and PR-AUC are in Table 12, and the two constant baselines are omitted because no threshold changes a constant score. Source: author's analysis of MSHA open data.</w:t>
      </w:r>
    </w:p>
    <w:p>
      <w:pPr>
        <w:spacing w:after="40"/>
        <w:ind w:left="454" w:hanging="454"/>
      </w:pPr>
      <w:r>
        <w:rPr>
          <w:rFonts w:ascii="Times New Roman" w:hAnsi="Times New Roman"/>
          <w:sz w:val="24"/>
        </w:rPr>
        <w:t>Table 14. Statistical comparisons of HGB, namely McNemar tests against the lookup baseline on the 20,320 test reports at the default and capacity thresholds, row-wise and clustered by the 6,724 test mine-years, paired tests against the MLP on the five cross-validation folds of PR-AUC, and 95% percentile bootstrap intervals (1,000 resamples) of test metrics by rows and by mine-years. Source: author's analysis of MSHA open data.</w:t>
      </w:r>
    </w:p>
    <w:p>
      <w:pPr>
        <w:spacing w:after="40"/>
        <w:ind w:left="454" w:hanging="454"/>
      </w:pPr>
      <w:r>
        <w:rPr>
          <w:rFonts w:ascii="Times New Roman" w:hAnsi="Times New Roman"/>
          <w:sz w:val="24"/>
        </w:rPr>
        <w:t>Table 15. Multi-criteria comparison of the four strongest tuned models and the SVM, compiled after HGB was selected by cross-validated PR-AUC: test-set cost at the out-of-fold cost-optimal thresholds, transfer of out-of-fold threshold targets to the test set, recall at one equal workload, the temporal split (top two only), explanations, run times on eight workers and the size of the saved pipeline. Source: author's analysis of MSHA open data.</w:t>
      </w:r>
    </w:p>
    <w:p>
      <w:pPr>
        <w:spacing w:after="40"/>
        <w:ind w:left="454" w:hanging="454"/>
      </w:pPr>
      <w:r>
        <w:rPr>
          <w:rFonts w:ascii="Times New Roman" w:hAnsi="Times New Roman"/>
          <w:sz w:val="24"/>
        </w:rPr>
        <w:t>Table 16. Confusion counts on the 20,320 test reports for HGB at its capacity threshold and at 0.5, and for the lookup baseline at its capacity threshold, where a true positive is a lost-time case flagged for early review and a false negative a lost-time case left in routine handling. Source: author's analysis of MSHA open data.</w:t>
      </w:r>
    </w:p>
    <w:p>
      <w:pPr>
        <w:spacing w:after="40"/>
        <w:ind w:left="454" w:hanging="454"/>
      </w:pPr>
      <w:r>
        <w:rPr>
          <w:rFonts w:ascii="Times New Roman" w:hAnsi="Times New Roman"/>
          <w:sz w:val="24"/>
        </w:rPr>
        <w:t>Table 17. Success criteria S1 to S7, fixed before modelling, with S7 a reporting criterion, evaluated on the 20,320 test reports for HGB, the MLP and the lookup baseline with thresholds fixed on out-of-fold probabilities, with S5 repeated on the temporal and mine-grouped splits. Source: author's analysis of MSHA open data.</w:t>
      </w:r>
    </w:p>
    <w:p>
      <w:pPr>
        <w:spacing w:after="40"/>
        <w:ind w:left="454" w:hanging="454"/>
      </w:pPr>
      <w:r>
        <w:rPr>
          <w:rFonts w:ascii="Times New Roman" w:hAnsi="Times New Roman"/>
          <w:sz w:val="24"/>
        </w:rPr>
        <w:t>Table 18. Errors of HGB at its capacity threshold of 0.210 on the 20,320 test reports, giving missed lost-time cases by sector, by degree-of-injury code and for the six nature x body part cells with most misses, and flagged non-lost-time cases by degree code. Source: author's analysis of MSHA open data.</w:t>
      </w:r>
    </w:p>
    <w:p>
      <w:pPr>
        <w:spacing w:after="40"/>
        <w:ind w:left="454" w:hanging="454"/>
      </w:pPr>
      <w:r>
        <w:rPr>
          <w:rFonts w:ascii="Times New Roman" w:hAnsi="Times New Roman"/>
          <w:sz w:val="24"/>
        </w:rPr>
        <w:t>Table 19. Model card of the HGB pipeline, after Mitchell et al. (2019), with metrics on the 20,320 test reports at the capacity threshold unless stated otherwise. Source: author's analysis of MSHA open data.</w:t>
      </w:r>
    </w:p>
    <w:p>
      <w:pPr>
        <w:spacing w:after="40"/>
        <w:ind w:left="454" w:hanging="454"/>
      </w:pPr>
      <w:r>
        <w:rPr>
          <w:rFonts w:ascii="Times New Roman" w:hAnsi="Times New Roman"/>
          <w:sz w:val="24"/>
        </w:rPr>
        <w:t>Table 20. Outcomes per 1,000 filed cases on the 20,320-row held-out test set for HGB at three thresholds fixed on out-of-fold probabilities and at two other review capacities, for the lookup baseline at its capacity threshold, for the one-field hand rule built for this study and for reviewing everything, with the expected cost at the 2:1 and 5:1 cost ratios at USD 200 per review; counts are test confusion counts scaled to 1,000 cases, the two capacity rows take their cut-off from the test scores (labels only count the hits), and reviewing everything costs USD 102,825 per 1,000 on the test set against USD 102,829 on all in-scope reports. Source: author's analysis of MSHA open data.</w:t>
      </w:r>
    </w:p>
    <w:p>
      <w:pPr>
        <w:spacing w:after="40"/>
        <w:ind w:left="454" w:hanging="454"/>
      </w:pPr>
      <w:r>
        <w:rPr>
          <w:rFonts w:ascii="Times New Roman" w:hAnsi="Times New Roman"/>
          <w:sz w:val="24"/>
        </w:rPr>
        <w:t>Table 21. Uncertainty, generalisability and mechanism checks of HGB, covering cross-validation on the training split, 95% percentile bootstrap intervals and paired tests on the held-out test set, results by sector, a temporal split, a mine-grouped split, the reports still open at filing and logistic regression given the lookup baseline's joint cell; the capacity threshold is the out-of-fold threshold for specificity 0.40, and the last two checks were run after the test scoring and changed no choice. Source: author's analysis of MSHA open data.</w:t>
      </w:r>
    </w:p>
    <w:p>
      <w:pPr>
        <w:spacing w:after="40"/>
        <w:ind w:left="454" w:hanging="454"/>
      </w:pPr>
      <w:r>
        <w:rPr>
          <w:rFonts w:ascii="Times New Roman" w:hAnsi="Times New Roman"/>
          <w:sz w:val="24"/>
        </w:rPr>
        <w:t>Table 22. Sample statistics of the remaining eight of the 20 numeric features on the 81,289 training rows, with the same definitions as the main descriptive table of Section 2.3; the trimmed mean cuts 10% from each tail, variance and SD (sample standard deviation) use the n - 1 denominator, and skewness is read against the bands below 0.5 symmetric, 0.5 to 1 moderate and above 1 high. Source: author's analysis of MSHA open data.</w:t>
      </w:r>
    </w:p>
    <w:p>
      <w:pPr>
        <w:spacing w:after="40"/>
        <w:ind w:left="454" w:hanging="454"/>
      </w:pPr>
      <w:r>
        <w:rPr>
          <w:rFonts w:ascii="Times New Roman" w:hAnsi="Times New Roman"/>
          <w:sz w:val="24"/>
        </w:rPr>
        <w:t>Table 23. Mean absolute SHAP value of the 15 encoded columns with the largest values for HGB, computed by TreeExplainer on 500 seeded test reports in log-odds units, beside the coefficient of the same column in the tuned logistic regression fitted on the training split (numeric inputs standardised); one-hot columns are labelled with their MSHA codebook meaning. Source: author's analysis of MSHA open data.</w:t>
      </w:r>
    </w:p>
    <w:p/>
    <w:p>
      <w:r>
        <w:br w:type="page"/>
      </w:r>
    </w:p>
    <w:p>
      <w:r>
        <w:rPr>
          <w:rFonts w:ascii="Times New Roman" w:hAnsi="Times New Roman"/>
          <w:b/>
          <w:sz w:val="28"/>
        </w:rPr>
        <w:t>Abbreviations</w:t>
      </w:r>
    </w:p>
    <w:tbl>
      <w:tblPr>
        <w:tblStyle w:val="TableGrid"/>
        <w:tblW w:type="auto" w:w="0"/>
        <w:tblLook w:firstColumn="1" w:firstRow="1" w:lastColumn="0" w:lastRow="0" w:noHBand="0" w:noVBand="1" w:val="04A0"/>
      </w:tblPr>
      <w:tblGrid>
        <w:gridCol w:w="4513"/>
        <w:gridCol w:w="4513"/>
      </w:tblGrid>
      <w:tr>
        <w:tc>
          <w:tcPr>
            <w:tcW w:type="dxa" w:w="4513"/>
          </w:tcPr>
          <w:p>
            <w:pPr>
              <w:spacing w:after="0"/>
            </w:pPr>
            <w:r/>
            <w:r>
              <w:rPr>
                <w:rFonts w:ascii="Times New Roman" w:hAnsi="Times New Roman"/>
                <w:sz w:val="22"/>
              </w:rPr>
              <w:t>ARIMA</w:t>
            </w:r>
          </w:p>
        </w:tc>
        <w:tc>
          <w:tcPr>
            <w:tcW w:type="dxa" w:w="4513"/>
          </w:tcPr>
          <w:p>
            <w:pPr>
              <w:spacing w:after="0"/>
            </w:pPr>
            <w:r/>
            <w:r>
              <w:rPr>
                <w:rFonts w:ascii="Times New Roman" w:hAnsi="Times New Roman"/>
                <w:sz w:val="22"/>
              </w:rPr>
              <w:t>Autoregressive integrated moving average (a time-series model)</w:t>
            </w:r>
          </w:p>
        </w:tc>
      </w:tr>
      <w:tr>
        <w:tc>
          <w:tcPr>
            <w:tcW w:type="dxa" w:w="4513"/>
          </w:tcPr>
          <w:p>
            <w:pPr>
              <w:spacing w:after="0"/>
            </w:pPr>
            <w:r/>
            <w:r>
              <w:rPr>
                <w:rFonts w:ascii="Times New Roman" w:hAnsi="Times New Roman"/>
                <w:sz w:val="22"/>
              </w:rPr>
              <w:t>AUC</w:t>
            </w:r>
          </w:p>
        </w:tc>
        <w:tc>
          <w:tcPr>
            <w:tcW w:type="dxa" w:w="4513"/>
          </w:tcPr>
          <w:p>
            <w:pPr>
              <w:spacing w:after="0"/>
            </w:pPr>
            <w:r/>
            <w:r>
              <w:rPr>
                <w:rFonts w:ascii="Times New Roman" w:hAnsi="Times New Roman"/>
                <w:sz w:val="22"/>
              </w:rPr>
              <w:t>Area under the receiver operating characteristic curve</w:t>
            </w:r>
          </w:p>
        </w:tc>
      </w:tr>
      <w:tr>
        <w:tc>
          <w:tcPr>
            <w:tcW w:type="dxa" w:w="4513"/>
          </w:tcPr>
          <w:p>
            <w:pPr>
              <w:spacing w:after="0"/>
            </w:pPr>
            <w:r/>
            <w:r>
              <w:rPr>
                <w:rFonts w:ascii="Times New Roman" w:hAnsi="Times New Roman"/>
                <w:sz w:val="22"/>
              </w:rPr>
              <w:t>CART</w:t>
            </w:r>
          </w:p>
        </w:tc>
        <w:tc>
          <w:tcPr>
            <w:tcW w:type="dxa" w:w="4513"/>
          </w:tcPr>
          <w:p>
            <w:pPr>
              <w:spacing w:after="0"/>
            </w:pPr>
            <w:r/>
            <w:r>
              <w:rPr>
                <w:rFonts w:ascii="Times New Roman" w:hAnsi="Times New Roman"/>
                <w:sz w:val="22"/>
              </w:rPr>
              <w:t>Classification and regression trees (the decision-tree algorithm of scikit-learn)</w:t>
            </w:r>
          </w:p>
        </w:tc>
      </w:tr>
      <w:tr>
        <w:tc>
          <w:tcPr>
            <w:tcW w:type="dxa" w:w="4513"/>
          </w:tcPr>
          <w:p>
            <w:pPr>
              <w:spacing w:after="0"/>
            </w:pPr>
            <w:r/>
            <w:r>
              <w:rPr>
                <w:rFonts w:ascii="Times New Roman" w:hAnsi="Times New Roman"/>
                <w:sz w:val="22"/>
              </w:rPr>
              <w:t>CV</w:t>
            </w:r>
          </w:p>
        </w:tc>
        <w:tc>
          <w:tcPr>
            <w:tcW w:type="dxa" w:w="4513"/>
          </w:tcPr>
          <w:p>
            <w:pPr>
              <w:spacing w:after="0"/>
            </w:pPr>
            <w:r/>
            <w:r>
              <w:rPr>
                <w:rFonts w:ascii="Times New Roman" w:hAnsi="Times New Roman"/>
                <w:sz w:val="22"/>
              </w:rPr>
              <w:t>Cross-validation</w:t>
            </w:r>
          </w:p>
        </w:tc>
      </w:tr>
      <w:tr>
        <w:tc>
          <w:tcPr>
            <w:tcW w:type="dxa" w:w="4513"/>
          </w:tcPr>
          <w:p>
            <w:pPr>
              <w:spacing w:after="0"/>
            </w:pPr>
            <w:r/>
            <w:r>
              <w:rPr>
                <w:rFonts w:ascii="Times New Roman" w:hAnsi="Times New Roman"/>
                <w:sz w:val="22"/>
              </w:rPr>
              <w:t>DART</w:t>
            </w:r>
          </w:p>
        </w:tc>
        <w:tc>
          <w:tcPr>
            <w:tcW w:type="dxa" w:w="4513"/>
          </w:tcPr>
          <w:p>
            <w:pPr>
              <w:spacing w:after="0"/>
            </w:pPr>
            <w:r/>
            <w:r>
              <w:rPr>
                <w:rFonts w:ascii="Times New Roman" w:hAnsi="Times New Roman"/>
                <w:sz w:val="22"/>
              </w:rPr>
              <w:t>Days away, restricted or transferred (an injury-severity grouping used by US regulators)</w:t>
            </w:r>
          </w:p>
        </w:tc>
      </w:tr>
      <w:tr>
        <w:tc>
          <w:tcPr>
            <w:tcW w:type="dxa" w:w="4513"/>
          </w:tcPr>
          <w:p>
            <w:pPr>
              <w:spacing w:after="0"/>
            </w:pPr>
            <w:r/>
            <w:r>
              <w:rPr>
                <w:rFonts w:ascii="Times New Roman" w:hAnsi="Times New Roman"/>
                <w:sz w:val="22"/>
              </w:rPr>
              <w:t>EDA</w:t>
            </w:r>
          </w:p>
        </w:tc>
        <w:tc>
          <w:tcPr>
            <w:tcW w:type="dxa" w:w="4513"/>
          </w:tcPr>
          <w:p>
            <w:pPr>
              <w:spacing w:after="0"/>
            </w:pPr>
            <w:r/>
            <w:r>
              <w:rPr>
                <w:rFonts w:ascii="Times New Roman" w:hAnsi="Times New Roman"/>
                <w:sz w:val="22"/>
              </w:rPr>
              <w:t>Exploratory data analysis</w:t>
            </w:r>
          </w:p>
        </w:tc>
      </w:tr>
      <w:tr>
        <w:tc>
          <w:tcPr>
            <w:tcW w:type="dxa" w:w="4513"/>
          </w:tcPr>
          <w:p>
            <w:pPr>
              <w:spacing w:after="0"/>
            </w:pPr>
            <w:r/>
            <w:r>
              <w:rPr>
                <w:rFonts w:ascii="Times New Roman" w:hAnsi="Times New Roman"/>
                <w:sz w:val="22"/>
              </w:rPr>
              <w:t>FN / FP</w:t>
            </w:r>
          </w:p>
        </w:tc>
        <w:tc>
          <w:tcPr>
            <w:tcW w:type="dxa" w:w="4513"/>
          </w:tcPr>
          <w:p>
            <w:pPr>
              <w:spacing w:after="0"/>
            </w:pPr>
            <w:r/>
            <w:r>
              <w:rPr>
                <w:rFonts w:ascii="Times New Roman" w:hAnsi="Times New Roman"/>
                <w:sz w:val="22"/>
              </w:rPr>
              <w:t>False negative / false positive</w:t>
            </w:r>
          </w:p>
        </w:tc>
      </w:tr>
      <w:tr>
        <w:tc>
          <w:tcPr>
            <w:tcW w:type="dxa" w:w="4513"/>
          </w:tcPr>
          <w:p>
            <w:pPr>
              <w:spacing w:after="0"/>
            </w:pPr>
            <w:r/>
            <w:r>
              <w:rPr>
                <w:rFonts w:ascii="Times New Roman" w:hAnsi="Times New Roman"/>
                <w:sz w:val="22"/>
              </w:rPr>
              <w:t>HGB</w:t>
            </w:r>
          </w:p>
        </w:tc>
        <w:tc>
          <w:tcPr>
            <w:tcW w:type="dxa" w:w="4513"/>
          </w:tcPr>
          <w:p>
            <w:pPr>
              <w:spacing w:after="0"/>
            </w:pPr>
            <w:r/>
            <w:r>
              <w:rPr>
                <w:rFonts w:ascii="Times New Roman" w:hAnsi="Times New Roman"/>
                <w:sz w:val="22"/>
              </w:rPr>
              <w:t>Histogram-based gradient boosting (scikit-learn HistGradientBoostingClassifier), the selected model</w:t>
            </w:r>
          </w:p>
        </w:tc>
      </w:tr>
      <w:tr>
        <w:tc>
          <w:tcPr>
            <w:tcW w:type="dxa" w:w="4513"/>
          </w:tcPr>
          <w:p>
            <w:pPr>
              <w:spacing w:after="0"/>
            </w:pPr>
            <w:r/>
            <w:r>
              <w:rPr>
                <w:rFonts w:ascii="Times New Roman" w:hAnsi="Times New Roman"/>
                <w:sz w:val="22"/>
              </w:rPr>
              <w:t>IQR</w:t>
            </w:r>
          </w:p>
        </w:tc>
        <w:tc>
          <w:tcPr>
            <w:tcW w:type="dxa" w:w="4513"/>
          </w:tcPr>
          <w:p>
            <w:pPr>
              <w:spacing w:after="0"/>
            </w:pPr>
            <w:r/>
            <w:r>
              <w:rPr>
                <w:rFonts w:ascii="Times New Roman" w:hAnsi="Times New Roman"/>
                <w:sz w:val="22"/>
              </w:rPr>
              <w:t>Interquartile range</w:t>
            </w:r>
          </w:p>
        </w:tc>
      </w:tr>
      <w:tr>
        <w:tc>
          <w:tcPr>
            <w:tcW w:type="dxa" w:w="4513"/>
          </w:tcPr>
          <w:p>
            <w:pPr>
              <w:spacing w:after="0"/>
            </w:pPr>
            <w:r/>
            <w:r>
              <w:rPr>
                <w:rFonts w:ascii="Times New Roman" w:hAnsi="Times New Roman"/>
                <w:sz w:val="22"/>
              </w:rPr>
              <w:t>KNN</w:t>
            </w:r>
          </w:p>
        </w:tc>
        <w:tc>
          <w:tcPr>
            <w:tcW w:type="dxa" w:w="4513"/>
          </w:tcPr>
          <w:p>
            <w:pPr>
              <w:spacing w:after="0"/>
            </w:pPr>
            <w:r/>
            <w:r>
              <w:rPr>
                <w:rFonts w:ascii="Times New Roman" w:hAnsi="Times New Roman"/>
                <w:sz w:val="22"/>
              </w:rPr>
              <w:t>K-nearest neighbours</w:t>
            </w:r>
          </w:p>
        </w:tc>
      </w:tr>
      <w:tr>
        <w:tc>
          <w:tcPr>
            <w:tcW w:type="dxa" w:w="4513"/>
          </w:tcPr>
          <w:p>
            <w:pPr>
              <w:spacing w:after="0"/>
            </w:pPr>
            <w:r/>
            <w:r>
              <w:rPr>
                <w:rFonts w:ascii="Times New Roman" w:hAnsi="Times New Roman"/>
                <w:sz w:val="22"/>
              </w:rPr>
              <w:t>MAR</w:t>
            </w:r>
          </w:p>
        </w:tc>
        <w:tc>
          <w:tcPr>
            <w:tcW w:type="dxa" w:w="4513"/>
          </w:tcPr>
          <w:p>
            <w:pPr>
              <w:spacing w:after="0"/>
            </w:pPr>
            <w:r/>
            <w:r>
              <w:rPr>
                <w:rFonts w:ascii="Times New Roman" w:hAnsi="Times New Roman"/>
                <w:sz w:val="22"/>
              </w:rPr>
              <w:t>Missing at random</w:t>
            </w:r>
          </w:p>
        </w:tc>
      </w:tr>
      <w:tr>
        <w:tc>
          <w:tcPr>
            <w:tcW w:type="dxa" w:w="4513"/>
          </w:tcPr>
          <w:p>
            <w:pPr>
              <w:spacing w:after="0"/>
            </w:pPr>
            <w:r/>
            <w:r>
              <w:rPr>
                <w:rFonts w:ascii="Times New Roman" w:hAnsi="Times New Roman"/>
                <w:sz w:val="22"/>
              </w:rPr>
              <w:t>MCAR</w:t>
            </w:r>
          </w:p>
        </w:tc>
        <w:tc>
          <w:tcPr>
            <w:tcW w:type="dxa" w:w="4513"/>
          </w:tcPr>
          <w:p>
            <w:pPr>
              <w:spacing w:after="0"/>
            </w:pPr>
            <w:r/>
            <w:r>
              <w:rPr>
                <w:rFonts w:ascii="Times New Roman" w:hAnsi="Times New Roman"/>
                <w:sz w:val="22"/>
              </w:rPr>
              <w:t>Missing completely at random</w:t>
            </w:r>
          </w:p>
        </w:tc>
      </w:tr>
      <w:tr>
        <w:tc>
          <w:tcPr>
            <w:tcW w:type="dxa" w:w="4513"/>
          </w:tcPr>
          <w:p>
            <w:pPr>
              <w:spacing w:after="0"/>
            </w:pPr>
            <w:r/>
            <w:r>
              <w:rPr>
                <w:rFonts w:ascii="Times New Roman" w:hAnsi="Times New Roman"/>
                <w:sz w:val="22"/>
              </w:rPr>
              <w:t>MCC</w:t>
            </w:r>
          </w:p>
        </w:tc>
        <w:tc>
          <w:tcPr>
            <w:tcW w:type="dxa" w:w="4513"/>
          </w:tcPr>
          <w:p>
            <w:pPr>
              <w:spacing w:after="0"/>
            </w:pPr>
            <w:r/>
            <w:r>
              <w:rPr>
                <w:rFonts w:ascii="Times New Roman" w:hAnsi="Times New Roman"/>
                <w:sz w:val="22"/>
              </w:rPr>
              <w:t>Matthews correlation coefficient</w:t>
            </w:r>
          </w:p>
        </w:tc>
      </w:tr>
      <w:tr>
        <w:tc>
          <w:tcPr>
            <w:tcW w:type="dxa" w:w="4513"/>
          </w:tcPr>
          <w:p>
            <w:pPr>
              <w:spacing w:after="0"/>
            </w:pPr>
            <w:r/>
            <w:r>
              <w:rPr>
                <w:rFonts w:ascii="Times New Roman" w:hAnsi="Times New Roman"/>
                <w:sz w:val="22"/>
              </w:rPr>
              <w:t>MLP</w:t>
            </w:r>
          </w:p>
        </w:tc>
        <w:tc>
          <w:tcPr>
            <w:tcW w:type="dxa" w:w="4513"/>
          </w:tcPr>
          <w:p>
            <w:pPr>
              <w:spacing w:after="0"/>
            </w:pPr>
            <w:r/>
            <w:r>
              <w:rPr>
                <w:rFonts w:ascii="Times New Roman" w:hAnsi="Times New Roman"/>
                <w:sz w:val="22"/>
              </w:rPr>
              <w:t>Multilayer perceptron</w:t>
            </w:r>
          </w:p>
        </w:tc>
      </w:tr>
      <w:tr>
        <w:tc>
          <w:tcPr>
            <w:tcW w:type="dxa" w:w="4513"/>
          </w:tcPr>
          <w:p>
            <w:pPr>
              <w:spacing w:after="0"/>
            </w:pPr>
            <w:r/>
            <w:r>
              <w:rPr>
                <w:rFonts w:ascii="Times New Roman" w:hAnsi="Times New Roman"/>
                <w:sz w:val="22"/>
              </w:rPr>
              <w:t>MSHA</w:t>
            </w:r>
          </w:p>
        </w:tc>
        <w:tc>
          <w:tcPr>
            <w:tcW w:type="dxa" w:w="4513"/>
          </w:tcPr>
          <w:p>
            <w:pPr>
              <w:spacing w:after="0"/>
            </w:pPr>
            <w:r/>
            <w:r>
              <w:rPr>
                <w:rFonts w:ascii="Times New Roman" w:hAnsi="Times New Roman"/>
                <w:sz w:val="22"/>
              </w:rPr>
              <w:t>Mine Safety and Health Administration (US Department of Labor)</w:t>
            </w:r>
          </w:p>
        </w:tc>
      </w:tr>
      <w:tr>
        <w:tc>
          <w:tcPr>
            <w:tcW w:type="dxa" w:w="4513"/>
          </w:tcPr>
          <w:p>
            <w:pPr>
              <w:spacing w:after="0"/>
            </w:pPr>
            <w:r/>
            <w:r>
              <w:rPr>
                <w:rFonts w:ascii="Times New Roman" w:hAnsi="Times New Roman"/>
                <w:sz w:val="22"/>
              </w:rPr>
              <w:t>NCCI</w:t>
            </w:r>
          </w:p>
        </w:tc>
        <w:tc>
          <w:tcPr>
            <w:tcW w:type="dxa" w:w="4513"/>
          </w:tcPr>
          <w:p>
            <w:pPr>
              <w:spacing w:after="0"/>
            </w:pPr>
            <w:r/>
            <w:r>
              <w:rPr>
                <w:rFonts w:ascii="Times New Roman" w:hAnsi="Times New Roman"/>
                <w:sz w:val="22"/>
              </w:rPr>
              <w:t>National Council on Compensation Insurance</w:t>
            </w:r>
          </w:p>
        </w:tc>
      </w:tr>
      <w:tr>
        <w:tc>
          <w:tcPr>
            <w:tcW w:type="dxa" w:w="4513"/>
          </w:tcPr>
          <w:p>
            <w:pPr>
              <w:spacing w:after="0"/>
            </w:pPr>
            <w:r/>
            <w:r>
              <w:rPr>
                <w:rFonts w:ascii="Times New Roman" w:hAnsi="Times New Roman"/>
                <w:sz w:val="22"/>
              </w:rPr>
              <w:t>PR-AUC</w:t>
            </w:r>
          </w:p>
        </w:tc>
        <w:tc>
          <w:tcPr>
            <w:tcW w:type="dxa" w:w="4513"/>
          </w:tcPr>
          <w:p>
            <w:pPr>
              <w:spacing w:after="0"/>
            </w:pPr>
            <w:r/>
            <w:r>
              <w:rPr>
                <w:rFonts w:ascii="Times New Roman" w:hAnsi="Times New Roman"/>
                <w:sz w:val="22"/>
              </w:rPr>
              <w:t>Area under the precision-recall curve (average precision)</w:t>
            </w:r>
          </w:p>
        </w:tc>
      </w:tr>
      <w:tr>
        <w:tc>
          <w:tcPr>
            <w:tcW w:type="dxa" w:w="4513"/>
          </w:tcPr>
          <w:p>
            <w:pPr>
              <w:spacing w:after="0"/>
            </w:pPr>
            <w:r/>
            <w:r>
              <w:rPr>
                <w:rFonts w:ascii="Times New Roman" w:hAnsi="Times New Roman"/>
                <w:sz w:val="22"/>
              </w:rPr>
              <w:t>RBF</w:t>
            </w:r>
          </w:p>
        </w:tc>
        <w:tc>
          <w:tcPr>
            <w:tcW w:type="dxa" w:w="4513"/>
          </w:tcPr>
          <w:p>
            <w:pPr>
              <w:spacing w:after="0"/>
            </w:pPr>
            <w:r/>
            <w:r>
              <w:rPr>
                <w:rFonts w:ascii="Times New Roman" w:hAnsi="Times New Roman"/>
                <w:sz w:val="22"/>
              </w:rPr>
              <w:t>Radial basis function (the SVM kernel)</w:t>
            </w:r>
          </w:p>
        </w:tc>
      </w:tr>
      <w:tr>
        <w:tc>
          <w:tcPr>
            <w:tcW w:type="dxa" w:w="4513"/>
          </w:tcPr>
          <w:p>
            <w:pPr>
              <w:spacing w:after="0"/>
            </w:pPr>
            <w:r/>
            <w:r>
              <w:rPr>
                <w:rFonts w:ascii="Times New Roman" w:hAnsi="Times New Roman"/>
                <w:sz w:val="22"/>
              </w:rPr>
              <w:t>ReLU</w:t>
            </w:r>
          </w:p>
        </w:tc>
        <w:tc>
          <w:tcPr>
            <w:tcW w:type="dxa" w:w="4513"/>
          </w:tcPr>
          <w:p>
            <w:pPr>
              <w:spacing w:after="0"/>
            </w:pPr>
            <w:r/>
            <w:r>
              <w:rPr>
                <w:rFonts w:ascii="Times New Roman" w:hAnsi="Times New Roman"/>
                <w:sz w:val="22"/>
              </w:rPr>
              <w:t>Rectified linear unit (the MLP activation)</w:t>
            </w:r>
          </w:p>
        </w:tc>
      </w:tr>
      <w:tr>
        <w:tc>
          <w:tcPr>
            <w:tcW w:type="dxa" w:w="4513"/>
          </w:tcPr>
          <w:p>
            <w:pPr>
              <w:spacing w:after="0"/>
            </w:pPr>
            <w:r/>
            <w:r>
              <w:rPr>
                <w:rFonts w:ascii="Times New Roman" w:hAnsi="Times New Roman"/>
                <w:sz w:val="22"/>
              </w:rPr>
              <w:t>ROC</w:t>
            </w:r>
          </w:p>
        </w:tc>
        <w:tc>
          <w:tcPr>
            <w:tcW w:type="dxa" w:w="4513"/>
          </w:tcPr>
          <w:p>
            <w:pPr>
              <w:spacing w:after="0"/>
            </w:pPr>
            <w:r/>
            <w:r>
              <w:rPr>
                <w:rFonts w:ascii="Times New Roman" w:hAnsi="Times New Roman"/>
                <w:sz w:val="22"/>
              </w:rPr>
              <w:t>Receiver operating characteristic</w:t>
            </w:r>
          </w:p>
        </w:tc>
      </w:tr>
      <w:tr>
        <w:tc>
          <w:tcPr>
            <w:tcW w:type="dxa" w:w="4513"/>
          </w:tcPr>
          <w:p>
            <w:pPr>
              <w:spacing w:after="0"/>
            </w:pPr>
            <w:r/>
            <w:r>
              <w:rPr>
                <w:rFonts w:ascii="Times New Roman" w:hAnsi="Times New Roman"/>
                <w:sz w:val="22"/>
              </w:rPr>
              <w:t>ROC-AUC</w:t>
            </w:r>
          </w:p>
        </w:tc>
        <w:tc>
          <w:tcPr>
            <w:tcW w:type="dxa" w:w="4513"/>
          </w:tcPr>
          <w:p>
            <w:pPr>
              <w:spacing w:after="0"/>
            </w:pPr>
            <w:r/>
            <w:r>
              <w:rPr>
                <w:rFonts w:ascii="Times New Roman" w:hAnsi="Times New Roman"/>
                <w:sz w:val="22"/>
              </w:rPr>
              <w:t>Area under the receiver operating characteristic curve</w:t>
            </w:r>
          </w:p>
        </w:tc>
      </w:tr>
      <w:tr>
        <w:tc>
          <w:tcPr>
            <w:tcW w:type="dxa" w:w="4513"/>
          </w:tcPr>
          <w:p>
            <w:pPr>
              <w:spacing w:after="0"/>
            </w:pPr>
            <w:r/>
            <w:r>
              <w:rPr>
                <w:rFonts w:ascii="Times New Roman" w:hAnsi="Times New Roman"/>
                <w:sz w:val="22"/>
              </w:rPr>
              <w:t>SD</w:t>
            </w:r>
          </w:p>
        </w:tc>
        <w:tc>
          <w:tcPr>
            <w:tcW w:type="dxa" w:w="4513"/>
          </w:tcPr>
          <w:p>
            <w:pPr>
              <w:spacing w:after="0"/>
            </w:pPr>
            <w:r/>
            <w:r>
              <w:rPr>
                <w:rFonts w:ascii="Times New Roman" w:hAnsi="Times New Roman"/>
                <w:sz w:val="22"/>
              </w:rPr>
              <w:t>Sample standard deviation</w:t>
            </w:r>
          </w:p>
        </w:tc>
      </w:tr>
      <w:tr>
        <w:tc>
          <w:tcPr>
            <w:tcW w:type="dxa" w:w="4513"/>
          </w:tcPr>
          <w:p>
            <w:pPr>
              <w:spacing w:after="0"/>
            </w:pPr>
            <w:r/>
            <w:r>
              <w:rPr>
                <w:rFonts w:ascii="Times New Roman" w:hAnsi="Times New Roman"/>
                <w:sz w:val="22"/>
              </w:rPr>
              <w:t>SHAP</w:t>
            </w:r>
          </w:p>
        </w:tc>
        <w:tc>
          <w:tcPr>
            <w:tcW w:type="dxa" w:w="4513"/>
          </w:tcPr>
          <w:p>
            <w:pPr>
              <w:spacing w:after="0"/>
            </w:pPr>
            <w:r/>
            <w:r>
              <w:rPr>
                <w:rFonts w:ascii="Times New Roman" w:hAnsi="Times New Roman"/>
                <w:sz w:val="22"/>
              </w:rPr>
              <w:t>Shapley additive explanations (per-feature contributions to a prediction)</w:t>
            </w:r>
          </w:p>
        </w:tc>
      </w:tr>
      <w:tr>
        <w:tc>
          <w:tcPr>
            <w:tcW w:type="dxa" w:w="4513"/>
          </w:tcPr>
          <w:p>
            <w:pPr>
              <w:spacing w:after="0"/>
            </w:pPr>
            <w:r/>
            <w:r>
              <w:rPr>
                <w:rFonts w:ascii="Times New Roman" w:hAnsi="Times New Roman"/>
                <w:sz w:val="22"/>
              </w:rPr>
              <w:t>SMOTE</w:t>
            </w:r>
          </w:p>
        </w:tc>
        <w:tc>
          <w:tcPr>
            <w:tcW w:type="dxa" w:w="4513"/>
          </w:tcPr>
          <w:p>
            <w:pPr>
              <w:spacing w:after="0"/>
            </w:pPr>
            <w:r/>
            <w:r>
              <w:rPr>
                <w:rFonts w:ascii="Times New Roman" w:hAnsi="Times New Roman"/>
                <w:sz w:val="22"/>
              </w:rPr>
              <w:t>Synthetic minority over-sampling technique</w:t>
            </w:r>
          </w:p>
        </w:tc>
      </w:tr>
      <w:tr>
        <w:tc>
          <w:tcPr>
            <w:tcW w:type="dxa" w:w="4513"/>
          </w:tcPr>
          <w:p>
            <w:pPr>
              <w:spacing w:after="0"/>
            </w:pPr>
            <w:r/>
            <w:r>
              <w:rPr>
                <w:rFonts w:ascii="Times New Roman" w:hAnsi="Times New Roman"/>
                <w:sz w:val="22"/>
              </w:rPr>
              <w:t>SVM</w:t>
            </w:r>
          </w:p>
        </w:tc>
        <w:tc>
          <w:tcPr>
            <w:tcW w:type="dxa" w:w="4513"/>
          </w:tcPr>
          <w:p>
            <w:pPr>
              <w:spacing w:after="0"/>
            </w:pPr>
            <w:r/>
            <w:r>
              <w:rPr>
                <w:rFonts w:ascii="Times New Roman" w:hAnsi="Times New Roman"/>
                <w:sz w:val="22"/>
              </w:rPr>
              <w:t>Support vector machine</w:t>
            </w:r>
          </w:p>
        </w:tc>
      </w:tr>
      <w:tr>
        <w:tc>
          <w:tcPr>
            <w:tcW w:type="dxa" w:w="4513"/>
          </w:tcPr>
          <w:p>
            <w:pPr>
              <w:spacing w:after="0"/>
            </w:pPr>
            <w:r/>
            <w:r>
              <w:rPr>
                <w:rFonts w:ascii="Times New Roman" w:hAnsi="Times New Roman"/>
                <w:sz w:val="22"/>
              </w:rPr>
              <w:t>TNR</w:t>
            </w:r>
          </w:p>
        </w:tc>
        <w:tc>
          <w:tcPr>
            <w:tcW w:type="dxa" w:w="4513"/>
          </w:tcPr>
          <w:p>
            <w:pPr>
              <w:spacing w:after="0"/>
            </w:pPr>
            <w:r/>
            <w:r>
              <w:rPr>
                <w:rFonts w:ascii="Times New Roman" w:hAnsi="Times New Roman"/>
                <w:sz w:val="22"/>
              </w:rPr>
              <w:t>True negative rate (specificity)</w:t>
            </w:r>
          </w:p>
        </w:tc>
      </w:tr>
      <w:tr>
        <w:tc>
          <w:tcPr>
            <w:tcW w:type="dxa" w:w="4513"/>
          </w:tcPr>
          <w:p>
            <w:pPr>
              <w:spacing w:after="0"/>
            </w:pPr>
            <w:r/>
            <w:r>
              <w:rPr>
                <w:rFonts w:ascii="Times New Roman" w:hAnsi="Times New Roman"/>
                <w:sz w:val="22"/>
              </w:rPr>
              <w:t>TP / TN</w:t>
            </w:r>
          </w:p>
        </w:tc>
        <w:tc>
          <w:tcPr>
            <w:tcW w:type="dxa" w:w="4513"/>
          </w:tcPr>
          <w:p>
            <w:pPr>
              <w:spacing w:after="0"/>
            </w:pPr>
            <w:r/>
            <w:r>
              <w:rPr>
                <w:rFonts w:ascii="Times New Roman" w:hAnsi="Times New Roman"/>
                <w:sz w:val="22"/>
              </w:rPr>
              <w:t>True positive / true negative</w:t>
            </w:r>
          </w:p>
        </w:tc>
      </w:tr>
      <w:tr>
        <w:tc>
          <w:tcPr>
            <w:tcW w:type="dxa" w:w="4513"/>
          </w:tcPr>
          <w:p>
            <w:pPr>
              <w:spacing w:after="0"/>
            </w:pPr>
            <w:r/>
            <w:r>
              <w:rPr>
                <w:rFonts w:ascii="Times New Roman" w:hAnsi="Times New Roman"/>
                <w:sz w:val="22"/>
              </w:rPr>
              <w:t>TPR</w:t>
            </w:r>
          </w:p>
        </w:tc>
        <w:tc>
          <w:tcPr>
            <w:tcW w:type="dxa" w:w="4513"/>
          </w:tcPr>
          <w:p>
            <w:pPr>
              <w:spacing w:after="0"/>
            </w:pPr>
            <w:r/>
            <w:r>
              <w:rPr>
                <w:rFonts w:ascii="Times New Roman" w:hAnsi="Times New Roman"/>
                <w:sz w:val="22"/>
              </w:rPr>
              <w:t>True positive rate (recall)</w:t>
            </w:r>
          </w:p>
        </w:tc>
      </w:tr>
      <w:tr>
        <w:tc>
          <w:tcPr>
            <w:tcW w:type="dxa" w:w="4513"/>
          </w:tcPr>
          <w:p>
            <w:pPr>
              <w:spacing w:after="0"/>
            </w:pPr>
            <w:r/>
            <w:r>
              <w:rPr>
                <w:rFonts w:ascii="Times New Roman" w:hAnsi="Times New Roman"/>
                <w:sz w:val="22"/>
              </w:rPr>
              <w:t>VIF</w:t>
            </w:r>
          </w:p>
        </w:tc>
        <w:tc>
          <w:tcPr>
            <w:tcW w:type="dxa" w:w="4513"/>
          </w:tcPr>
          <w:p>
            <w:pPr>
              <w:spacing w:after="0"/>
            </w:pPr>
            <w:r/>
            <w:r>
              <w:rPr>
                <w:rFonts w:ascii="Times New Roman" w:hAnsi="Times New Roman"/>
                <w:sz w:val="22"/>
              </w:rPr>
              <w:t>Variance inflation factor</w:t>
            </w:r>
          </w:p>
        </w:tc>
      </w:tr>
    </w:tbl>
    <w:p>
      <w:r>
        <w:br w:type="page"/>
      </w:r>
    </w:p>
    <w:p>
      <w:pPr>
        <w:pStyle w:val="Heading1"/>
      </w:pPr>
      <w:r>
        <w:rPr>
          <w:rFonts w:ascii="Times New Roman" w:hAnsi="Times New Roman"/>
          <w:b/>
          <w:color w:val="000000"/>
          <w:sz w:val="32"/>
        </w:rPr>
        <w:t>Executive summary</w:t>
      </w:r>
    </w:p>
    <w:p>
      <w:r>
        <w:rPr>
          <w:rFonts w:ascii="Times New Roman" w:hAnsi="Times New Roman"/>
          <w:sz w:val="24"/>
        </w:rPr>
        <w:t>The business question is whether a mine injury report can be classified at filing as a lost-time case, one needing an indemnity reserve and a return-to-work plan. The study used 101,609 injury reports filed with the US Mine Safety and Health Administration in 2010-2025, joined to mine attributes and previous-year hours and case history. Eight algorithms were tuned with mine-year-grouped cross-validation, and histogram-based gradient boosting was selected.</w:t>
      </w:r>
    </w:p>
    <w:p>
      <w:r>
        <w:rPr>
          <w:rFonts w:ascii="Times New Roman" w:hAnsi="Times New Roman"/>
          <w:sz w:val="24"/>
        </w:rPr>
        <w:t>It reaches a held-out test recall of 0.943 and a precision of 0.599 at the capacity threshold, which flags about three cases in four, with a PR-AUC of 0.841. I recommend that workers'-compensation insurers and self-insured operators rank new claims by this score for early review, with an adjuster confirming each flag. Because the label also records whether the operator offered restricted duty, results are reported by sector, and the score should not rank mines for inspection.</w:t>
      </w:r>
    </w:p>
    <w:p>
      <w:r>
        <w:br w:type="page"/>
      </w:r>
    </w:p>
    <w:p>
      <w:pPr>
        <w:pStyle w:val="Heading1"/>
      </w:pPr>
      <w:r>
        <w:rPr>
          <w:rFonts w:ascii="Times New Roman" w:hAnsi="Times New Roman"/>
          <w:b/>
          <w:color w:val="000000"/>
          <w:sz w:val="32"/>
        </w:rPr>
        <w:t>1 Introduction</w:t>
      </w:r>
    </w:p>
    <w:p>
      <w:pPr>
        <w:pStyle w:val="Heading2"/>
      </w:pPr>
      <w:r>
        <w:rPr>
          <w:rFonts w:ascii="Times New Roman" w:hAnsi="Times New Roman"/>
          <w:b/>
          <w:color w:val="000000"/>
          <w:sz w:val="28"/>
        </w:rPr>
        <w:t>1.1 Business case</w:t>
      </w:r>
    </w:p>
    <w:p>
      <w:r>
        <w:rPr>
          <w:rFonts w:ascii="Times New Roman" w:hAnsi="Times New Roman"/>
          <w:sz w:val="24"/>
        </w:rPr>
        <w:t>The operator's safety officer files every reportable US mine injury on Mine Safety and Health Administration (MSHA) Form 7000-1 within ten working days (Legal Information Institute, no date a). The workers'-compensation insurer or self-insured operator then decides whether to open an indemnity reserve, a return-to-work plan and medical case management. Federal surveillance counted 3,604 non-fatal lost-time injuries at US mines in 2024 (National Institute for Occupational Safety and Health, no date); in-scope reports here averaged about 5,000 a year from 2020. The form also records the degree of injury, filed for 45.0% of in-scope reports once the worker was back (Table 21); the score serves the earlier decision at first notice and uses only circumstance, worker and mine fields.</w:t>
      </w:r>
    </w:p>
    <w:p>
      <w:r>
        <w:rPr>
          <w:rFonts w:ascii="Times New Roman" w:hAnsi="Times New Roman"/>
          <w:sz w:val="24"/>
        </w:rPr>
        <w:t>Table 1 prices the two errors. A false negative delays the reserve, return-to-work plan and medical management, and late-reported claims cost more (Business Insurance, 2015); a false positive costs a needless review. Their ratio is assumed and varied. With almost half the reports positive, reviewing everything is cheapest from about 10:1, so review capacity sets the threshold and the model is judged on ranking. Capacity, about three cases in four, is an assumption without a public source, so Table 20 also flags half and five in six of the filings.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Error costs assumed for the claim-flagging decision and the evidence behind each value; the false-negative cost and the cost ratio are assumptions varied in the threshold analysis, and the review-everything floor is computed on all 101,609 in-scope reports. Source: author's assumptions from the cited cost sources and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Item</w:t>
            </w:r>
          </w:p>
        </w:tc>
        <w:tc>
          <w:tcPr>
            <w:tcW w:type="dxa" w:w="2256"/>
            <w:shd w:val="clear" w:color="auto" w:fill="E7E6E6"/>
          </w:tcPr>
          <w:p>
            <w:pPr>
              <w:jc w:val="left"/>
            </w:pPr>
            <w:r>
              <w:rPr>
                <w:b/>
              </w:rPr>
            </w:r>
            <w:r>
              <w:rPr>
                <w:rFonts w:ascii="Times New Roman" w:hAnsi="Times New Roman"/>
                <w:b/>
                <w:sz w:val="22"/>
              </w:rPr>
              <w:t>Meaning at filing</w:t>
            </w:r>
          </w:p>
        </w:tc>
        <w:tc>
          <w:tcPr>
            <w:tcW w:type="dxa" w:w="2256"/>
            <w:shd w:val="clear" w:color="auto" w:fill="E7E6E6"/>
          </w:tcPr>
          <w:p>
            <w:pPr>
              <w:jc w:val="left"/>
            </w:pPr>
            <w:r>
              <w:rPr>
                <w:b/>
              </w:rPr>
            </w:r>
            <w:r>
              <w:rPr>
                <w:rFonts w:ascii="Times New Roman" w:hAnsi="Times New Roman"/>
                <w:b/>
                <w:sz w:val="22"/>
              </w:rPr>
              <w:t>Value used</w:t>
            </w:r>
          </w:p>
        </w:tc>
        <w:tc>
          <w:tcPr>
            <w:tcW w:type="dxa" w:w="2256"/>
            <w:shd w:val="clear" w:color="auto" w:fill="E7E6E6"/>
          </w:tcPr>
          <w:p>
            <w:pPr>
              <w:jc w:val="left"/>
            </w:pPr>
            <w:r>
              <w:rPr>
                <w:b/>
              </w:rPr>
            </w:r>
            <w:r>
              <w:rPr>
                <w:rFonts w:ascii="Times New Roman" w:hAnsi="Times New Roman"/>
                <w:b/>
                <w:sz w:val="22"/>
              </w:rPr>
              <w:t>Evidence and status</w:t>
            </w:r>
          </w:p>
        </w:tc>
      </w:tr>
      <w:tr>
        <w:tc>
          <w:tcPr>
            <w:tcW w:type="dxa" w:w="2256"/>
          </w:tcPr>
          <w:p>
            <w:pPr>
              <w:spacing w:after="0"/>
              <w:jc w:val="left"/>
            </w:pPr>
            <w:r/>
            <w:r>
              <w:rPr>
                <w:rFonts w:ascii="Times New Roman" w:hAnsi="Times New Roman"/>
                <w:sz w:val="22"/>
              </w:rPr>
              <w:t>False positive (C_FP)</w:t>
            </w:r>
          </w:p>
        </w:tc>
        <w:tc>
          <w:tcPr>
            <w:tcW w:type="dxa" w:w="2256"/>
          </w:tcPr>
          <w:p>
            <w:pPr>
              <w:spacing w:after="0"/>
              <w:jc w:val="left"/>
            </w:pPr>
            <w:r/>
            <w:r>
              <w:rPr>
                <w:rFonts w:ascii="Times New Roman" w:hAnsi="Times New Roman"/>
                <w:sz w:val="22"/>
              </w:rPr>
              <w:t>a case flagged for early review that ends as restricted duty or medical treatment only</w:t>
            </w:r>
          </w:p>
        </w:tc>
        <w:tc>
          <w:tcPr>
            <w:tcW w:type="dxa" w:w="2256"/>
          </w:tcPr>
          <w:p>
            <w:pPr>
              <w:spacing w:after="0"/>
              <w:jc w:val="left"/>
            </w:pPr>
            <w:r/>
            <w:r>
              <w:rPr>
                <w:rFonts w:ascii="Times New Roman" w:hAnsi="Times New Roman"/>
                <w:sz w:val="22"/>
              </w:rPr>
              <w:t>USD 200 (range 105 to 260)</w:t>
            </w:r>
          </w:p>
        </w:tc>
        <w:tc>
          <w:tcPr>
            <w:tcW w:type="dxa" w:w="2256"/>
          </w:tcPr>
          <w:p>
            <w:pPr>
              <w:spacing w:after="0"/>
              <w:jc w:val="left"/>
            </w:pPr>
            <w:r/>
            <w:r>
              <w:rPr>
                <w:rFonts w:ascii="Times New Roman" w:hAnsi="Times New Roman"/>
                <w:sz w:val="22"/>
              </w:rPr>
              <w:t>2 to 4 claims-adjuster hours at the median wage of USD 37.51 per hour, loaded by 1.4, plus about 1 hour of safety-officer time (Bureau of Labor Statistics, 2025)</w:t>
            </w:r>
          </w:p>
        </w:tc>
      </w:tr>
      <w:tr>
        <w:tc>
          <w:tcPr>
            <w:tcW w:type="dxa" w:w="2256"/>
          </w:tcPr>
          <w:p>
            <w:pPr>
              <w:spacing w:after="0"/>
              <w:jc w:val="left"/>
            </w:pPr>
            <w:r/>
            <w:r>
              <w:rPr>
                <w:rFonts w:ascii="Times New Roman" w:hAnsi="Times New Roman"/>
                <w:sz w:val="22"/>
              </w:rPr>
              <w:t>False negative (C_FN)</w:t>
            </w:r>
          </w:p>
        </w:tc>
        <w:tc>
          <w:tcPr>
            <w:tcW w:type="dxa" w:w="2256"/>
          </w:tcPr>
          <w:p>
            <w:pPr>
              <w:spacing w:after="0"/>
              <w:jc w:val="left"/>
            </w:pPr>
            <w:r/>
            <w:r>
              <w:rPr>
                <w:rFonts w:ascii="Times New Roman" w:hAnsi="Times New Roman"/>
                <w:sz w:val="22"/>
              </w:rPr>
              <w:t>a lost-time case left unflagged, so reserve, return-to-work plan and medical management start late</w:t>
            </w:r>
          </w:p>
        </w:tc>
        <w:tc>
          <w:tcPr>
            <w:tcW w:type="dxa" w:w="2256"/>
          </w:tcPr>
          <w:p>
            <w:pPr>
              <w:spacing w:after="0"/>
              <w:jc w:val="left"/>
            </w:pPr>
            <w:r/>
            <w:r>
              <w:rPr>
                <w:rFonts w:ascii="Times New Roman" w:hAnsi="Times New Roman"/>
                <w:sz w:val="22"/>
              </w:rPr>
              <w:t>USD 4,000 (range 3,100 to 6,200), an assumption</w:t>
            </w:r>
          </w:p>
        </w:tc>
        <w:tc>
          <w:tcPr>
            <w:tcW w:type="dxa" w:w="2256"/>
          </w:tcPr>
          <w:p>
            <w:pPr>
              <w:spacing w:after="0"/>
              <w:jc w:val="left"/>
            </w:pPr>
            <w:r/>
            <w:r>
              <w:rPr>
                <w:rFonts w:ascii="Times New Roman" w:hAnsi="Times New Roman"/>
                <w:sz w:val="22"/>
              </w:rPr>
              <w:t>5% to 10% of the National Council on Compensation Insurance (NCCI) accident-year 2025 average lost-time claim of USD 61,900 (indemnity 31,300 plus medical 30,600) (Gen Re, 2026); the share is a judgement, and the NCCI report-lag study, where claims reported in week 3 cost 35% more (Business Insurance, 2015), is an analogy only</w:t>
            </w:r>
          </w:p>
        </w:tc>
      </w:tr>
      <w:tr>
        <w:tc>
          <w:tcPr>
            <w:tcW w:type="dxa" w:w="2256"/>
          </w:tcPr>
          <w:p>
            <w:pPr>
              <w:spacing w:after="0"/>
              <w:jc w:val="left"/>
            </w:pPr>
            <w:r/>
            <w:r>
              <w:rPr>
                <w:rFonts w:ascii="Times New Roman" w:hAnsi="Times New Roman"/>
                <w:sz w:val="22"/>
              </w:rPr>
              <w:t>Cost ratio C_FN : C_FP</w:t>
            </w:r>
          </w:p>
        </w:tc>
        <w:tc>
          <w:tcPr>
            <w:tcW w:type="dxa" w:w="2256"/>
          </w:tcPr>
          <w:p>
            <w:pPr>
              <w:spacing w:after="0"/>
              <w:jc w:val="left"/>
            </w:pPr>
            <w:r/>
            <w:r>
              <w:rPr>
                <w:rFonts w:ascii="Times New Roman" w:hAnsi="Times New Roman"/>
                <w:sz w:val="22"/>
              </w:rPr>
              <w:t>weight of one miss against one unnecessary review</w:t>
            </w:r>
          </w:p>
        </w:tc>
        <w:tc>
          <w:tcPr>
            <w:tcW w:type="dxa" w:w="2256"/>
          </w:tcPr>
          <w:p>
            <w:pPr>
              <w:spacing w:after="0"/>
              <w:jc w:val="left"/>
            </w:pPr>
            <w:r/>
            <w:r>
              <w:rPr>
                <w:rFonts w:ascii="Times New Roman" w:hAnsi="Times New Roman"/>
                <w:sz w:val="22"/>
              </w:rPr>
              <w:t>20:1 base; sensitivity set 2:1, 3:1, 5:1, 10:1, 20:1, 30:1</w:t>
            </w:r>
          </w:p>
        </w:tc>
        <w:tc>
          <w:tcPr>
            <w:tcW w:type="dxa" w:w="2256"/>
          </w:tcPr>
          <w:p>
            <w:pPr>
              <w:spacing w:after="0"/>
              <w:jc w:val="left"/>
            </w:pPr>
            <w:r/>
            <w:r>
              <w:rPr>
                <w:rFonts w:ascii="Times New Roman" w:hAnsi="Times New Roman"/>
                <w:sz w:val="22"/>
              </w:rPr>
              <w:t>implied threshold on a calibrated probability p* = 1 / (1 + ratio), 0.333 at 2:1 and 0.048 at 20:1</w:t>
            </w:r>
          </w:p>
        </w:tc>
      </w:tr>
      <w:tr>
        <w:tc>
          <w:tcPr>
            <w:tcW w:type="dxa" w:w="2256"/>
          </w:tcPr>
          <w:p>
            <w:pPr>
              <w:spacing w:after="0"/>
              <w:jc w:val="left"/>
            </w:pPr>
            <w:r/>
            <w:r>
              <w:rPr>
                <w:rFonts w:ascii="Times New Roman" w:hAnsi="Times New Roman"/>
                <w:sz w:val="22"/>
              </w:rPr>
              <w:t>Review-everything floor</w:t>
            </w:r>
          </w:p>
        </w:tc>
        <w:tc>
          <w:tcPr>
            <w:tcW w:type="dxa" w:w="2256"/>
          </w:tcPr>
          <w:p>
            <w:pPr>
              <w:spacing w:after="0"/>
              <w:jc w:val="left"/>
            </w:pPr>
            <w:r/>
            <w:r>
              <w:rPr>
                <w:rFonts w:ascii="Times New Roman" w:hAnsi="Times New Roman"/>
                <w:sz w:val="22"/>
              </w:rPr>
              <w:t>error cost of flagging every case: each of the 514 non-lost-time cases per 1,000 becomes a USD 200 false positive, and correct decisions cost nothing because C_FN is the loss net of a review</w:t>
            </w:r>
          </w:p>
        </w:tc>
        <w:tc>
          <w:tcPr>
            <w:tcW w:type="dxa" w:w="2256"/>
          </w:tcPr>
          <w:p>
            <w:pPr>
              <w:spacing w:after="0"/>
              <w:jc w:val="left"/>
            </w:pPr>
            <w:r/>
            <w:r>
              <w:rPr>
                <w:rFonts w:ascii="Times New Roman" w:hAnsi="Times New Roman"/>
                <w:sz w:val="22"/>
              </w:rPr>
              <w:t>USD 102,829 per 1,000 cases at any ratio</w:t>
            </w:r>
          </w:p>
        </w:tc>
        <w:tc>
          <w:tcPr>
            <w:tcW w:type="dxa" w:w="2256"/>
          </w:tcPr>
          <w:p>
            <w:pPr>
              <w:spacing w:after="0"/>
              <w:jc w:val="left"/>
            </w:pPr>
            <w:r/>
            <w:r>
              <w:rPr>
                <w:rFonts w:ascii="Times New Roman" w:hAnsi="Times New Roman"/>
                <w:sz w:val="22"/>
              </w:rPr>
              <w:t>cost-optimal from about 10:1 upwards at 48.6% prevalence, so review capacity sets the threshold (the capacity threshold: specificity 0.40, about 75% of cases flagged, an assumption without a public source)</w:t>
            </w:r>
          </w:p>
        </w:tc>
      </w:tr>
    </w:tbl>
    <w:p>
      <w:pPr>
        <w:spacing w:after="80"/>
      </w:pPr>
    </w:p>
    <w:p>
      <w:r>
        <w:rPr>
          <w:rFonts w:ascii="Times New Roman" w:hAnsi="Times New Roman"/>
          <w:sz w:val="24"/>
        </w:rPr>
        <w:t>A one-field hand rule built for this study, flagging all but cuts, dust in the eye and scratches, catches most cases of both classes but cannot trade recall for specificity as capacity changes (Table 3). In Mitchell's (1997) terms, task T is labelling each new report lost-time or not, experience E is the labelled training reports, and performance P is the held-out area under the precision-recall curve (PR-AUC). Following Provost and Fawcett (2013), this is supervised binary classification with probability estimates, scored in batch on daily filings and interactively in the application.</w:t>
      </w:r>
    </w:p>
    <w:p>
      <w:pPr>
        <w:pStyle w:val="Heading2"/>
      </w:pPr>
      <w:r>
        <w:rPr>
          <w:rFonts w:ascii="Times New Roman" w:hAnsi="Times New Roman"/>
          <w:b/>
          <w:color w:val="000000"/>
          <w:sz w:val="28"/>
        </w:rPr>
        <w:t>1.2 Problem framing</w:t>
      </w:r>
    </w:p>
    <w:p>
      <w:r>
        <w:rPr>
          <w:rFonts w:ascii="Times New Roman" w:hAnsi="Times New Roman"/>
          <w:sz w:val="24"/>
        </w:rPr>
        <w:t>One row is one injured person on one Form 7000-1 (Mine Safety and Health Administration, no date). The target lost_time, derived from DEGREE_INJURY_CD (Table 2), is positive for fatalities, permanent disabilities and days-away cases, which trigger wage replacement, and negative for restricted-duty-only and no-lost-time cases. A "serious" label (fatal, permanent or 30 or more days lost; 24.8% positive) assumes days lost are final at filing, yet open cases are right-censored. The days away, restricted or transferred (DART) label (69.0% positive) assumes restricted duty matters to the payer, which owes no indemnity for it. I kept the days-away label because it matches the reserve decision and the federal injury-survey definition (Bureau of Labor Statistics, no date).</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Mapping of MSHA degree-of-injury codes to the lost_time target, with row counts and prevalence on all in-scope reports of 2010-2025 before the train/test split, and the two alternative labels that were assessed.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DEGREE_INJURY_CD</w:t>
            </w:r>
          </w:p>
        </w:tc>
        <w:tc>
          <w:tcPr>
            <w:tcW w:type="dxa" w:w="2256"/>
            <w:shd w:val="clear" w:color="auto" w:fill="E7E6E6"/>
          </w:tcPr>
          <w:p>
            <w:pPr>
              <w:jc w:val="left"/>
            </w:pPr>
            <w:r>
              <w:rPr>
                <w:b/>
              </w:rPr>
            </w:r>
            <w:r>
              <w:rPr>
                <w:rFonts w:ascii="Times New Roman" w:hAnsi="Times New Roman"/>
                <w:b/>
                <w:sz w:val="22"/>
              </w:rPr>
              <w:t>Codebook meaning</w:t>
            </w:r>
          </w:p>
        </w:tc>
        <w:tc>
          <w:tcPr>
            <w:tcW w:type="dxa" w:w="2256"/>
            <w:shd w:val="clear" w:color="auto" w:fill="E7E6E6"/>
          </w:tcPr>
          <w:p>
            <w:pPr>
              <w:jc w:val="left"/>
            </w:pPr>
            <w:r>
              <w:rPr>
                <w:b/>
              </w:rPr>
            </w:r>
            <w:r>
              <w:rPr>
                <w:rFonts w:ascii="Times New Roman" w:hAnsi="Times New Roman"/>
                <w:b/>
                <w:sz w:val="22"/>
              </w:rPr>
              <w:t>Rows</w:t>
            </w:r>
          </w:p>
        </w:tc>
        <w:tc>
          <w:tcPr>
            <w:tcW w:type="dxa" w:w="2256"/>
            <w:shd w:val="clear" w:color="auto" w:fill="E7E6E6"/>
          </w:tcPr>
          <w:p>
            <w:pPr>
              <w:jc w:val="left"/>
            </w:pPr>
            <w:r>
              <w:rPr>
                <w:b/>
              </w:rPr>
            </w:r>
            <w:r>
              <w:rPr>
                <w:rFonts w:ascii="Times New Roman" w:hAnsi="Times New Roman"/>
                <w:b/>
                <w:sz w:val="22"/>
              </w:rPr>
              <w:t>Class</w:t>
            </w:r>
          </w:p>
        </w:tc>
      </w:tr>
      <w:tr>
        <w:tc>
          <w:tcPr>
            <w:tcW w:type="dxa" w:w="2256"/>
          </w:tcPr>
          <w:p>
            <w:pPr>
              <w:spacing w:after="0"/>
              <w:jc w:val="left"/>
            </w:pPr>
            <w:r/>
            <w:r>
              <w:rPr>
                <w:rFonts w:ascii="Times New Roman" w:hAnsi="Times New Roman"/>
                <w:sz w:val="22"/>
              </w:rPr>
              <w:t>01</w:t>
            </w:r>
          </w:p>
        </w:tc>
        <w:tc>
          <w:tcPr>
            <w:tcW w:type="dxa" w:w="2256"/>
          </w:tcPr>
          <w:p>
            <w:pPr>
              <w:spacing w:after="0"/>
              <w:jc w:val="left"/>
            </w:pPr>
            <w:r/>
            <w:r>
              <w:rPr>
                <w:rFonts w:ascii="Times New Roman" w:hAnsi="Times New Roman"/>
                <w:sz w:val="22"/>
              </w:rPr>
              <w:t>Fatality</w:t>
            </w:r>
          </w:p>
        </w:tc>
        <w:tc>
          <w:tcPr>
            <w:tcW w:type="dxa" w:w="2256"/>
          </w:tcPr>
          <w:p>
            <w:pPr>
              <w:spacing w:after="0"/>
              <w:jc w:val="left"/>
            </w:pPr>
            <w:r/>
            <w:r>
              <w:rPr>
                <w:rFonts w:ascii="Times New Roman" w:hAnsi="Times New Roman"/>
                <w:sz w:val="22"/>
              </w:rPr>
              <w:t>567</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02</w:t>
            </w:r>
          </w:p>
        </w:tc>
        <w:tc>
          <w:tcPr>
            <w:tcW w:type="dxa" w:w="2256"/>
          </w:tcPr>
          <w:p>
            <w:pPr>
              <w:spacing w:after="0"/>
              <w:jc w:val="left"/>
            </w:pPr>
            <w:r/>
            <w:r>
              <w:rPr>
                <w:rFonts w:ascii="Times New Roman" w:hAnsi="Times New Roman"/>
                <w:sz w:val="22"/>
              </w:rPr>
              <w:t>Permanent total or partial disability</w:t>
            </w:r>
          </w:p>
        </w:tc>
        <w:tc>
          <w:tcPr>
            <w:tcW w:type="dxa" w:w="2256"/>
          </w:tcPr>
          <w:p>
            <w:pPr>
              <w:spacing w:after="0"/>
              <w:jc w:val="left"/>
            </w:pPr>
            <w:r/>
            <w:r>
              <w:rPr>
                <w:rFonts w:ascii="Times New Roman" w:hAnsi="Times New Roman"/>
                <w:sz w:val="22"/>
              </w:rPr>
              <w:t>1,124</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03</w:t>
            </w:r>
          </w:p>
        </w:tc>
        <w:tc>
          <w:tcPr>
            <w:tcW w:type="dxa" w:w="2256"/>
          </w:tcPr>
          <w:p>
            <w:pPr>
              <w:spacing w:after="0"/>
              <w:jc w:val="left"/>
            </w:pPr>
            <w:r/>
            <w:r>
              <w:rPr>
                <w:rFonts w:ascii="Times New Roman" w:hAnsi="Times New Roman"/>
                <w:sz w:val="22"/>
              </w:rPr>
              <w:t>Days away from work only</w:t>
            </w:r>
          </w:p>
        </w:tc>
        <w:tc>
          <w:tcPr>
            <w:tcW w:type="dxa" w:w="2256"/>
          </w:tcPr>
          <w:p>
            <w:pPr>
              <w:spacing w:after="0"/>
              <w:jc w:val="left"/>
            </w:pPr>
            <w:r/>
            <w:r>
              <w:rPr>
                <w:rFonts w:ascii="Times New Roman" w:hAnsi="Times New Roman"/>
                <w:sz w:val="22"/>
              </w:rPr>
              <w:t>36,948</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04</w:t>
            </w:r>
          </w:p>
        </w:tc>
        <w:tc>
          <w:tcPr>
            <w:tcW w:type="dxa" w:w="2256"/>
          </w:tcPr>
          <w:p>
            <w:pPr>
              <w:spacing w:after="0"/>
              <w:jc w:val="left"/>
            </w:pPr>
            <w:r/>
            <w:r>
              <w:rPr>
                <w:rFonts w:ascii="Times New Roman" w:hAnsi="Times New Roman"/>
                <w:sz w:val="22"/>
              </w:rPr>
              <w:t>Days away from work and restricted activity</w:t>
            </w:r>
          </w:p>
        </w:tc>
        <w:tc>
          <w:tcPr>
            <w:tcW w:type="dxa" w:w="2256"/>
          </w:tcPr>
          <w:p>
            <w:pPr>
              <w:spacing w:after="0"/>
              <w:jc w:val="left"/>
            </w:pPr>
            <w:r/>
            <w:r>
              <w:rPr>
                <w:rFonts w:ascii="Times New Roman" w:hAnsi="Times New Roman"/>
                <w:sz w:val="22"/>
              </w:rPr>
              <w:t>10,728</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05</w:t>
            </w:r>
          </w:p>
        </w:tc>
        <w:tc>
          <w:tcPr>
            <w:tcW w:type="dxa" w:w="2256"/>
          </w:tcPr>
          <w:p>
            <w:pPr>
              <w:spacing w:after="0"/>
              <w:jc w:val="left"/>
            </w:pPr>
            <w:r/>
            <w:r>
              <w:rPr>
                <w:rFonts w:ascii="Times New Roman" w:hAnsi="Times New Roman"/>
                <w:sz w:val="22"/>
              </w:rPr>
              <w:t>Days of restricted activity only</w:t>
            </w:r>
          </w:p>
        </w:tc>
        <w:tc>
          <w:tcPr>
            <w:tcW w:type="dxa" w:w="2256"/>
          </w:tcPr>
          <w:p>
            <w:pPr>
              <w:spacing w:after="0"/>
              <w:jc w:val="left"/>
            </w:pPr>
            <w:r/>
            <w:r>
              <w:rPr>
                <w:rFonts w:ascii="Times New Roman" w:hAnsi="Times New Roman"/>
                <w:sz w:val="22"/>
              </w:rPr>
              <w:t>20,788</w:t>
            </w:r>
          </w:p>
        </w:tc>
        <w:tc>
          <w:tcPr>
            <w:tcW w:type="dxa" w:w="2256"/>
          </w:tcPr>
          <w:p>
            <w:pPr>
              <w:spacing w:after="0"/>
              <w:jc w:val="left"/>
            </w:pPr>
            <w:r/>
            <w:r>
              <w:rPr>
                <w:rFonts w:ascii="Times New Roman" w:hAnsi="Times New Roman"/>
                <w:sz w:val="22"/>
              </w:rPr>
              <w:t>negative</w:t>
            </w:r>
          </w:p>
        </w:tc>
      </w:tr>
      <w:tr>
        <w:tc>
          <w:tcPr>
            <w:tcW w:type="dxa" w:w="2256"/>
          </w:tcPr>
          <w:p>
            <w:pPr>
              <w:spacing w:after="0"/>
              <w:jc w:val="left"/>
            </w:pPr>
            <w:r/>
            <w:r>
              <w:rPr>
                <w:rFonts w:ascii="Times New Roman" w:hAnsi="Times New Roman"/>
                <w:sz w:val="22"/>
              </w:rPr>
              <w:t>06</w:t>
            </w:r>
          </w:p>
        </w:tc>
        <w:tc>
          <w:tcPr>
            <w:tcW w:type="dxa" w:w="2256"/>
          </w:tcPr>
          <w:p>
            <w:pPr>
              <w:spacing w:after="0"/>
              <w:jc w:val="left"/>
            </w:pPr>
            <w:r/>
            <w:r>
              <w:rPr>
                <w:rFonts w:ascii="Times New Roman" w:hAnsi="Times New Roman"/>
                <w:sz w:val="22"/>
              </w:rPr>
              <w:t>No days away from work, no restrictions</w:t>
            </w:r>
          </w:p>
        </w:tc>
        <w:tc>
          <w:tcPr>
            <w:tcW w:type="dxa" w:w="2256"/>
          </w:tcPr>
          <w:p>
            <w:pPr>
              <w:spacing w:after="0"/>
              <w:jc w:val="left"/>
            </w:pPr>
            <w:r/>
            <w:r>
              <w:rPr>
                <w:rFonts w:ascii="Times New Roman" w:hAnsi="Times New Roman"/>
                <w:sz w:val="22"/>
              </w:rPr>
              <w:t>31,454</w:t>
            </w:r>
          </w:p>
        </w:tc>
        <w:tc>
          <w:tcPr>
            <w:tcW w:type="dxa" w:w="2256"/>
          </w:tcPr>
          <w:p>
            <w:pPr>
              <w:spacing w:after="0"/>
              <w:jc w:val="left"/>
            </w:pPr>
            <w:r/>
            <w:r>
              <w:rPr>
                <w:rFonts w:ascii="Times New Roman" w:hAnsi="Times New Roman"/>
                <w:sz w:val="22"/>
              </w:rPr>
              <w:t>negative</w:t>
            </w:r>
          </w:p>
        </w:tc>
      </w:tr>
      <w:tr>
        <w:tc>
          <w:tcPr>
            <w:tcW w:type="dxa" w:w="2256"/>
          </w:tcPr>
          <w:p>
            <w:pPr>
              <w:spacing w:after="0"/>
              <w:jc w:val="left"/>
            </w:pPr>
            <w:r/>
            <w:r>
              <w:rPr>
                <w:rFonts w:ascii="Times New Roman" w:hAnsi="Times New Roman"/>
                <w:sz w:val="22"/>
              </w:rPr>
              <w:t>00, 07, 08, 09, 10</w:t>
            </w:r>
          </w:p>
        </w:tc>
        <w:tc>
          <w:tcPr>
            <w:tcW w:type="dxa" w:w="2256"/>
          </w:tcPr>
          <w:p>
            <w:pPr>
              <w:spacing w:after="0"/>
              <w:jc w:val="left"/>
            </w:pPr>
            <w:r/>
            <w:r>
              <w:rPr>
                <w:rFonts w:ascii="Times New Roman" w:hAnsi="Times New Roman"/>
                <w:sz w:val="22"/>
              </w:rPr>
              <w:t>Accident only, occupational illness, natural causes, non-employee, all other cases including first aid</w:t>
            </w:r>
          </w:p>
        </w:tc>
        <w:tc>
          <w:tcPr>
            <w:tcW w:type="dxa" w:w="2256"/>
          </w:tcPr>
          <w:p>
            <w:pPr>
              <w:spacing w:after="0"/>
              <w:jc w:val="left"/>
            </w:pPr>
            <w:r/>
            <w:r>
              <w:rPr>
                <w:rFonts w:ascii="Times New Roman" w:hAnsi="Times New Roman"/>
                <w:sz w:val="22"/>
              </w:rPr>
              <w:t>19,932</w:t>
            </w:r>
          </w:p>
        </w:tc>
        <w:tc>
          <w:tcPr>
            <w:tcW w:type="dxa" w:w="2256"/>
          </w:tcPr>
          <w:p>
            <w:pPr>
              <w:spacing w:after="0"/>
              <w:jc w:val="left"/>
            </w:pPr>
            <w:r/>
            <w:r>
              <w:rPr>
                <w:rFonts w:ascii="Times New Roman" w:hAnsi="Times New Roman"/>
                <w:sz w:val="22"/>
              </w:rPr>
              <w:t>excluded</w:t>
            </w:r>
          </w:p>
        </w:tc>
      </w:tr>
      <w:tr>
        <w:tc>
          <w:tcPr>
            <w:tcW w:type="dxa" w:w="2256"/>
          </w:tcPr>
          <w:p>
            <w:pPr>
              <w:spacing w:after="0"/>
              <w:jc w:val="left"/>
            </w:pPr>
            <w:r/>
            <w:r>
              <w:rPr>
                <w:rFonts w:ascii="Times New Roman" w:hAnsi="Times New Roman"/>
                <w:sz w:val="22"/>
              </w:rPr>
              <w:t>All in-scope reports</w:t>
            </w:r>
          </w:p>
        </w:tc>
        <w:tc>
          <w:tcPr>
            <w:tcW w:type="dxa" w:w="2256"/>
          </w:tcPr>
          <w:p>
            <w:pPr>
              <w:spacing w:after="0"/>
              <w:jc w:val="left"/>
            </w:pPr>
            <w:r/>
            <w:r>
              <w:rPr>
                <w:rFonts w:ascii="Times New Roman" w:hAnsi="Times New Roman"/>
                <w:sz w:val="22"/>
              </w:rPr>
              <w:t>49,367 positive and 52,242 negative</w:t>
            </w:r>
          </w:p>
        </w:tc>
        <w:tc>
          <w:tcPr>
            <w:tcW w:type="dxa" w:w="2256"/>
          </w:tcPr>
          <w:p>
            <w:pPr>
              <w:spacing w:after="0"/>
              <w:jc w:val="left"/>
            </w:pPr>
            <w:r/>
            <w:r>
              <w:rPr>
                <w:rFonts w:ascii="Times New Roman" w:hAnsi="Times New Roman"/>
                <w:sz w:val="22"/>
              </w:rPr>
              <w:t>101,609</w:t>
            </w:r>
          </w:p>
        </w:tc>
        <w:tc>
          <w:tcPr>
            <w:tcW w:type="dxa" w:w="2256"/>
          </w:tcPr>
          <w:p>
            <w:pPr>
              <w:spacing w:after="0"/>
              <w:jc w:val="left"/>
            </w:pPr>
            <w:r/>
            <w:r>
              <w:rPr>
                <w:rFonts w:ascii="Times New Roman" w:hAnsi="Times New Roman"/>
                <w:sz w:val="22"/>
              </w:rPr>
              <w:t>prevalence 48.6%</w:t>
            </w:r>
          </w:p>
        </w:tc>
      </w:tr>
      <w:tr>
        <w:tc>
          <w:tcPr>
            <w:tcW w:type="dxa" w:w="2256"/>
          </w:tcPr>
          <w:p>
            <w:pPr>
              <w:spacing w:after="0"/>
              <w:jc w:val="left"/>
            </w:pPr>
            <w:r/>
            <w:r>
              <w:rPr>
                <w:rFonts w:ascii="Times New Roman" w:hAnsi="Times New Roman"/>
                <w:sz w:val="22"/>
              </w:rPr>
              <w:t>Coal mines</w:t>
            </w:r>
          </w:p>
        </w:tc>
        <w:tc>
          <w:tcPr>
            <w:tcW w:type="dxa" w:w="2256"/>
          </w:tcPr>
          <w:p>
            <w:pPr>
              <w:spacing w:after="0"/>
              <w:jc w:val="left"/>
            </w:pPr>
            <w:r/>
            <w:r>
              <w:rPr>
                <w:rFonts w:ascii="Times New Roman" w:hAnsi="Times New Roman"/>
                <w:sz w:val="22"/>
              </w:rPr>
              <w:t>sector from COAL_METAL_IND</w:t>
            </w:r>
          </w:p>
        </w:tc>
        <w:tc>
          <w:tcPr>
            <w:tcW w:type="dxa" w:w="2256"/>
          </w:tcPr>
          <w:p>
            <w:pPr>
              <w:spacing w:after="0"/>
              <w:jc w:val="left"/>
            </w:pPr>
            <w:r/>
            <w:r>
              <w:rPr>
                <w:rFonts w:ascii="Times New Roman" w:hAnsi="Times New Roman"/>
                <w:sz w:val="22"/>
              </w:rPr>
              <w:t>41,461</w:t>
            </w:r>
          </w:p>
        </w:tc>
        <w:tc>
          <w:tcPr>
            <w:tcW w:type="dxa" w:w="2256"/>
          </w:tcPr>
          <w:p>
            <w:pPr>
              <w:spacing w:after="0"/>
              <w:jc w:val="left"/>
            </w:pPr>
            <w:r/>
            <w:r>
              <w:rPr>
                <w:rFonts w:ascii="Times New Roman" w:hAnsi="Times New Roman"/>
                <w:sz w:val="22"/>
              </w:rPr>
              <w:t>prevalence 63.0%</w:t>
            </w:r>
          </w:p>
        </w:tc>
      </w:tr>
      <w:tr>
        <w:tc>
          <w:tcPr>
            <w:tcW w:type="dxa" w:w="2256"/>
          </w:tcPr>
          <w:p>
            <w:pPr>
              <w:spacing w:after="0"/>
              <w:jc w:val="left"/>
            </w:pPr>
            <w:r/>
            <w:r>
              <w:rPr>
                <w:rFonts w:ascii="Times New Roman" w:hAnsi="Times New Roman"/>
                <w:sz w:val="22"/>
              </w:rPr>
              <w:t>Metal and non-metal mines</w:t>
            </w:r>
          </w:p>
        </w:tc>
        <w:tc>
          <w:tcPr>
            <w:tcW w:type="dxa" w:w="2256"/>
          </w:tcPr>
          <w:p>
            <w:pPr>
              <w:spacing w:after="0"/>
              <w:jc w:val="left"/>
            </w:pPr>
            <w:r/>
            <w:r>
              <w:rPr>
                <w:rFonts w:ascii="Times New Roman" w:hAnsi="Times New Roman"/>
                <w:sz w:val="22"/>
              </w:rPr>
              <w:t>sector from COAL_METAL_IND</w:t>
            </w:r>
          </w:p>
        </w:tc>
        <w:tc>
          <w:tcPr>
            <w:tcW w:type="dxa" w:w="2256"/>
          </w:tcPr>
          <w:p>
            <w:pPr>
              <w:spacing w:after="0"/>
              <w:jc w:val="left"/>
            </w:pPr>
            <w:r/>
            <w:r>
              <w:rPr>
                <w:rFonts w:ascii="Times New Roman" w:hAnsi="Times New Roman"/>
                <w:sz w:val="22"/>
              </w:rPr>
              <w:t>60,148</w:t>
            </w:r>
          </w:p>
        </w:tc>
        <w:tc>
          <w:tcPr>
            <w:tcW w:type="dxa" w:w="2256"/>
          </w:tcPr>
          <w:p>
            <w:pPr>
              <w:spacing w:after="0"/>
              <w:jc w:val="left"/>
            </w:pPr>
            <w:r/>
            <w:r>
              <w:rPr>
                <w:rFonts w:ascii="Times New Roman" w:hAnsi="Times New Roman"/>
                <w:sz w:val="22"/>
              </w:rPr>
              <w:t>prevalence 38.6%</w:t>
            </w:r>
          </w:p>
        </w:tc>
      </w:tr>
      <w:tr>
        <w:tc>
          <w:tcPr>
            <w:tcW w:type="dxa" w:w="2256"/>
          </w:tcPr>
          <w:p>
            <w:pPr>
              <w:spacing w:after="0"/>
              <w:jc w:val="left"/>
            </w:pPr>
            <w:r/>
            <w:r>
              <w:rPr>
                <w:rFonts w:ascii="Times New Roman" w:hAnsi="Times New Roman"/>
                <w:sz w:val="22"/>
              </w:rPr>
              <w:t>Alternative "serious"</w:t>
            </w:r>
          </w:p>
        </w:tc>
        <w:tc>
          <w:tcPr>
            <w:tcW w:type="dxa" w:w="2256"/>
          </w:tcPr>
          <w:p>
            <w:pPr>
              <w:spacing w:after="0"/>
              <w:jc w:val="left"/>
            </w:pPr>
            <w:r/>
            <w:r>
              <w:rPr>
                <w:rFonts w:ascii="Times New Roman" w:hAnsi="Times New Roman"/>
                <w:sz w:val="22"/>
              </w:rPr>
              <w:t>01 or 02, or DAYS_LOST of 30 or more; DAYS_LOST is right-censored for open cases</w:t>
            </w:r>
          </w:p>
        </w:tc>
        <w:tc>
          <w:tcPr>
            <w:tcW w:type="dxa" w:w="2256"/>
          </w:tcPr>
          <w:p>
            <w:pPr>
              <w:spacing w:after="0"/>
              <w:jc w:val="left"/>
            </w:pPr>
            <w:r/>
            <w:r>
              <w:rPr>
                <w:rFonts w:ascii="Times New Roman" w:hAnsi="Times New Roman"/>
                <w:sz w:val="22"/>
              </w:rPr>
              <w:t>25,233 positive</w:t>
            </w:r>
          </w:p>
        </w:tc>
        <w:tc>
          <w:tcPr>
            <w:tcW w:type="dxa" w:w="2256"/>
          </w:tcPr>
          <w:p>
            <w:pPr>
              <w:spacing w:after="0"/>
              <w:jc w:val="left"/>
            </w:pPr>
            <w:r/>
            <w:r>
              <w:rPr>
                <w:rFonts w:ascii="Times New Roman" w:hAnsi="Times New Roman"/>
                <w:sz w:val="22"/>
              </w:rPr>
              <w:t>prevalence 24.8%; sensitivity analysis only</w:t>
            </w:r>
          </w:p>
        </w:tc>
      </w:tr>
      <w:tr>
        <w:tc>
          <w:tcPr>
            <w:tcW w:type="dxa" w:w="2256"/>
          </w:tcPr>
          <w:p>
            <w:pPr>
              <w:spacing w:after="0"/>
              <w:jc w:val="left"/>
            </w:pPr>
            <w:r/>
            <w:r>
              <w:rPr>
                <w:rFonts w:ascii="Times New Roman" w:hAnsi="Times New Roman"/>
                <w:sz w:val="22"/>
              </w:rPr>
              <w:t>Alternative DART</w:t>
            </w:r>
          </w:p>
        </w:tc>
        <w:tc>
          <w:tcPr>
            <w:tcW w:type="dxa" w:w="2256"/>
          </w:tcPr>
          <w:p>
            <w:pPr>
              <w:spacing w:after="0"/>
              <w:jc w:val="left"/>
            </w:pPr>
            <w:r/>
            <w:r>
              <w:rPr>
                <w:rFonts w:ascii="Times New Roman" w:hAnsi="Times New Roman"/>
                <w:sz w:val="22"/>
              </w:rPr>
              <w:t>01 to 05 against 06; invariant to restricted-duty practice</w:t>
            </w:r>
          </w:p>
        </w:tc>
        <w:tc>
          <w:tcPr>
            <w:tcW w:type="dxa" w:w="2256"/>
          </w:tcPr>
          <w:p>
            <w:pPr>
              <w:spacing w:after="0"/>
              <w:jc w:val="left"/>
            </w:pPr>
            <w:r/>
            <w:r>
              <w:rPr>
                <w:rFonts w:ascii="Times New Roman" w:hAnsi="Times New Roman"/>
                <w:sz w:val="22"/>
              </w:rPr>
              <w:t>70,155 positive</w:t>
            </w:r>
          </w:p>
        </w:tc>
        <w:tc>
          <w:tcPr>
            <w:tcW w:type="dxa" w:w="2256"/>
          </w:tcPr>
          <w:p>
            <w:pPr>
              <w:spacing w:after="0"/>
              <w:jc w:val="left"/>
            </w:pPr>
            <w:r/>
            <w:r>
              <w:rPr>
                <w:rFonts w:ascii="Times New Roman" w:hAnsi="Times New Roman"/>
                <w:sz w:val="22"/>
              </w:rPr>
              <w:t>prevalence 69.0% (coal 69.9%, metal and non-metal 68.5%); Cramer's V with sector 0.015 against 0.240 for lost_time</w:t>
            </w:r>
          </w:p>
        </w:tc>
      </w:tr>
    </w:tbl>
    <w:p>
      <w:pPr>
        <w:spacing w:after="80"/>
      </w:pPr>
    </w:p>
    <w:p>
      <w:r>
        <w:rPr>
          <w:rFonts w:ascii="Times New Roman" w:hAnsi="Times New Roman"/>
          <w:sz w:val="24"/>
        </w:rPr>
        <w:t>Coal reports are lost-time far more often than metal and non-metal ones (63.0% against 38.6%), so metrics are reported by sector. At 48.6% prevalence the classes are near balance, and the cost asymmetry enters through the threshold. I fixed seven success criteria before fitting any model (Table 3). PR-AUC is primary (S2), ahead of the area under the receiver operating characteristic curve (ROC-AUC, S1), because precision along the ranked queue is the yield of each review (Section 4.4). Recall is tested where adjusters review about three cases in four (S3), cost only where a threshold can beat reviewing everything (S4), and calibration because the application shows probabilities (S6). The model must also beat the four baselines of Table 3.</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Success criteria S1 to S7, fixed before modelling and evaluated on the 20% mine-year-grouped held-out test set (S6 also by sector on the temporal split), with the reference value each must beat and the four baselines; reference values come from the pre-modelling data profile, with lookup baseline values on the 2020-2025 temporal split and rule values on all in-scope reports.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w:t>
            </w:r>
          </w:p>
        </w:tc>
        <w:tc>
          <w:tcPr>
            <w:tcW w:type="dxa" w:w="2256"/>
            <w:shd w:val="clear" w:color="auto" w:fill="E7E6E6"/>
          </w:tcPr>
          <w:p>
            <w:pPr>
              <w:jc w:val="left"/>
            </w:pPr>
            <w:r>
              <w:rPr>
                <w:b/>
              </w:rPr>
            </w:r>
            <w:r>
              <w:rPr>
                <w:rFonts w:ascii="Times New Roman" w:hAnsi="Times New Roman"/>
                <w:b/>
                <w:sz w:val="22"/>
              </w:rPr>
              <w:t>Criterion</w:t>
            </w:r>
          </w:p>
        </w:tc>
        <w:tc>
          <w:tcPr>
            <w:tcW w:type="dxa" w:w="2256"/>
            <w:shd w:val="clear" w:color="auto" w:fill="E7E6E6"/>
          </w:tcPr>
          <w:p>
            <w:pPr>
              <w:jc w:val="left"/>
            </w:pPr>
            <w:r>
              <w:rPr>
                <w:b/>
              </w:rPr>
            </w:r>
            <w:r>
              <w:rPr>
                <w:rFonts w:ascii="Times New Roman" w:hAnsi="Times New Roman"/>
                <w:b/>
                <w:sz w:val="22"/>
              </w:rPr>
              <w:t>Target</w:t>
            </w:r>
          </w:p>
        </w:tc>
        <w:tc>
          <w:tcPr>
            <w:tcW w:type="dxa" w:w="2256"/>
            <w:shd w:val="clear" w:color="auto" w:fill="E7E6E6"/>
          </w:tcPr>
          <w:p>
            <w:pPr>
              <w:jc w:val="left"/>
            </w:pPr>
            <w:r>
              <w:rPr>
                <w:b/>
              </w:rPr>
            </w:r>
            <w:r>
              <w:rPr>
                <w:rFonts w:ascii="Times New Roman" w:hAnsi="Times New Roman"/>
                <w:b/>
                <w:sz w:val="22"/>
              </w:rPr>
              <w:t>Reference value</w:t>
            </w:r>
          </w:p>
        </w:tc>
      </w:tr>
      <w:tr>
        <w:tc>
          <w:tcPr>
            <w:tcW w:type="dxa" w:w="2256"/>
          </w:tcPr>
          <w:p>
            <w:pPr>
              <w:spacing w:after="0"/>
              <w:jc w:val="left"/>
            </w:pPr>
            <w:r/>
            <w:r>
              <w:rPr>
                <w:rFonts w:ascii="Times New Roman" w:hAnsi="Times New Roman"/>
                <w:sz w:val="22"/>
              </w:rPr>
              <w:t>S1</w:t>
            </w:r>
          </w:p>
        </w:tc>
        <w:tc>
          <w:tcPr>
            <w:tcW w:type="dxa" w:w="2256"/>
          </w:tcPr>
          <w:p>
            <w:pPr>
              <w:spacing w:after="0"/>
              <w:jc w:val="left"/>
            </w:pPr>
            <w:r/>
            <w:r>
              <w:rPr>
                <w:rFonts w:ascii="Times New Roman" w:hAnsi="Times New Roman"/>
                <w:sz w:val="22"/>
              </w:rPr>
              <w:t>ROC-AUC (area under the receiver operating characteristic curve)</w:t>
            </w:r>
          </w:p>
        </w:tc>
        <w:tc>
          <w:tcPr>
            <w:tcW w:type="dxa" w:w="2256"/>
          </w:tcPr>
          <w:p>
            <w:pPr>
              <w:spacing w:after="0"/>
              <w:jc w:val="left"/>
            </w:pPr>
            <w:r/>
            <w:r>
              <w:rPr>
                <w:rFonts w:ascii="Times New Roman" w:hAnsi="Times New Roman"/>
                <w:sz w:val="22"/>
              </w:rPr>
              <w:t>0.80 or more</w:t>
            </w:r>
          </w:p>
        </w:tc>
        <w:tc>
          <w:tcPr>
            <w:tcW w:type="dxa" w:w="2256"/>
          </w:tcPr>
          <w:p>
            <w:pPr>
              <w:spacing w:after="0"/>
              <w:jc w:val="left"/>
            </w:pPr>
            <w:r/>
            <w:r>
              <w:rPr>
                <w:rFonts w:ascii="Times New Roman" w:hAnsi="Times New Roman"/>
                <w:sz w:val="22"/>
              </w:rPr>
              <w:t>lookup baseline 0.794</w:t>
            </w:r>
          </w:p>
        </w:tc>
      </w:tr>
      <w:tr>
        <w:tc>
          <w:tcPr>
            <w:tcW w:type="dxa" w:w="2256"/>
          </w:tcPr>
          <w:p>
            <w:pPr>
              <w:spacing w:after="0"/>
              <w:jc w:val="left"/>
            </w:pPr>
            <w:r/>
            <w:r>
              <w:rPr>
                <w:rFonts w:ascii="Times New Roman" w:hAnsi="Times New Roman"/>
                <w:sz w:val="22"/>
              </w:rPr>
              <w:t>S2</w:t>
            </w:r>
          </w:p>
        </w:tc>
        <w:tc>
          <w:tcPr>
            <w:tcW w:type="dxa" w:w="2256"/>
          </w:tcPr>
          <w:p>
            <w:pPr>
              <w:spacing w:after="0"/>
              <w:jc w:val="left"/>
            </w:pPr>
            <w:r/>
            <w:r>
              <w:rPr>
                <w:rFonts w:ascii="Times New Roman" w:hAnsi="Times New Roman"/>
                <w:sz w:val="22"/>
              </w:rPr>
              <w:t>PR-AUC (average precision), the primary metric</w:t>
            </w:r>
          </w:p>
        </w:tc>
        <w:tc>
          <w:tcPr>
            <w:tcW w:type="dxa" w:w="2256"/>
          </w:tcPr>
          <w:p>
            <w:pPr>
              <w:spacing w:after="0"/>
              <w:jc w:val="left"/>
            </w:pPr>
            <w:r/>
            <w:r>
              <w:rPr>
                <w:rFonts w:ascii="Times New Roman" w:hAnsi="Times New Roman"/>
                <w:sz w:val="22"/>
              </w:rPr>
              <w:t>0.75 or more</w:t>
            </w:r>
          </w:p>
        </w:tc>
        <w:tc>
          <w:tcPr>
            <w:tcW w:type="dxa" w:w="2256"/>
          </w:tcPr>
          <w:p>
            <w:pPr>
              <w:spacing w:after="0"/>
              <w:jc w:val="left"/>
            </w:pPr>
            <w:r/>
            <w:r>
              <w:rPr>
                <w:rFonts w:ascii="Times New Roman" w:hAnsi="Times New Roman"/>
                <w:sz w:val="22"/>
              </w:rPr>
              <w:t>prevalence 0.486 (random ranking)</w:t>
            </w:r>
          </w:p>
        </w:tc>
      </w:tr>
      <w:tr>
        <w:tc>
          <w:tcPr>
            <w:tcW w:type="dxa" w:w="2256"/>
          </w:tcPr>
          <w:p>
            <w:pPr>
              <w:spacing w:after="0"/>
              <w:jc w:val="left"/>
            </w:pPr>
            <w:r/>
            <w:r>
              <w:rPr>
                <w:rFonts w:ascii="Times New Roman" w:hAnsi="Times New Roman"/>
                <w:sz w:val="22"/>
              </w:rPr>
              <w:t>S3</w:t>
            </w:r>
          </w:p>
        </w:tc>
        <w:tc>
          <w:tcPr>
            <w:tcW w:type="dxa" w:w="2256"/>
          </w:tcPr>
          <w:p>
            <w:pPr>
              <w:spacing w:after="0"/>
              <w:jc w:val="left"/>
            </w:pPr>
            <w:r/>
            <w:r>
              <w:rPr>
                <w:rFonts w:ascii="Times New Roman" w:hAnsi="Times New Roman"/>
                <w:sz w:val="22"/>
              </w:rPr>
              <w:t>Recall at the capacity threshold (set on out-of-fold probabilities so that specificity is 0.40, about 75% of cases flagged)</w:t>
            </w:r>
          </w:p>
        </w:tc>
        <w:tc>
          <w:tcPr>
            <w:tcW w:type="dxa" w:w="2256"/>
          </w:tcPr>
          <w:p>
            <w:pPr>
              <w:spacing w:after="0"/>
              <w:jc w:val="left"/>
            </w:pPr>
            <w:r/>
            <w:r>
              <w:rPr>
                <w:rFonts w:ascii="Times New Roman" w:hAnsi="Times New Roman"/>
                <w:sz w:val="22"/>
              </w:rPr>
              <w:t>0.92 or more (implied precision about 0.59)</w:t>
            </w:r>
          </w:p>
        </w:tc>
        <w:tc>
          <w:tcPr>
            <w:tcW w:type="dxa" w:w="2256"/>
          </w:tcPr>
          <w:p>
            <w:pPr>
              <w:spacing w:after="0"/>
              <w:jc w:val="left"/>
            </w:pPr>
            <w:r/>
            <w:r>
              <w:rPr>
                <w:rFonts w:ascii="Times New Roman" w:hAnsi="Times New Roman"/>
                <w:sz w:val="22"/>
              </w:rPr>
              <w:t>lookup baseline 0.910; best one-field rules from the data profile 0.928 at specificity 0.293 and 0.896 at 0.429</w:t>
            </w:r>
          </w:p>
        </w:tc>
      </w:tr>
      <w:tr>
        <w:tc>
          <w:tcPr>
            <w:tcW w:type="dxa" w:w="2256"/>
          </w:tcPr>
          <w:p>
            <w:pPr>
              <w:spacing w:after="0"/>
              <w:jc w:val="left"/>
            </w:pPr>
            <w:r/>
            <w:r>
              <w:rPr>
                <w:rFonts w:ascii="Times New Roman" w:hAnsi="Times New Roman"/>
                <w:sz w:val="22"/>
              </w:rPr>
              <w:t>S4</w:t>
            </w:r>
          </w:p>
        </w:tc>
        <w:tc>
          <w:tcPr>
            <w:tcW w:type="dxa" w:w="2256"/>
          </w:tcPr>
          <w:p>
            <w:pPr>
              <w:spacing w:after="0"/>
              <w:jc w:val="left"/>
            </w:pPr>
            <w:r/>
            <w:r>
              <w:rPr>
                <w:rFonts w:ascii="Times New Roman" w:hAnsi="Times New Roman"/>
                <w:sz w:val="22"/>
              </w:rPr>
              <w:t>Expected cost per 1,000 cases at the cost-optimal out-of-fold threshold, ratios 2:1, 3:1 and 5:1</w:t>
            </w:r>
          </w:p>
        </w:tc>
        <w:tc>
          <w:tcPr>
            <w:tcW w:type="dxa" w:w="2256"/>
          </w:tcPr>
          <w:p>
            <w:pPr>
              <w:spacing w:after="0"/>
              <w:jc w:val="left"/>
            </w:pPr>
            <w:r/>
            <w:r>
              <w:rPr>
                <w:rFonts w:ascii="Times New Roman" w:hAnsi="Times New Roman"/>
                <w:sz w:val="22"/>
              </w:rPr>
              <w:t>below the review-everything floor and below the lookup at each ratio</w:t>
            </w:r>
          </w:p>
        </w:tc>
        <w:tc>
          <w:tcPr>
            <w:tcW w:type="dxa" w:w="2256"/>
          </w:tcPr>
          <w:p>
            <w:pPr>
              <w:spacing w:after="0"/>
              <w:jc w:val="left"/>
            </w:pPr>
            <w:r/>
            <w:r>
              <w:rPr>
                <w:rFonts w:ascii="Times New Roman" w:hAnsi="Times New Roman"/>
                <w:sz w:val="22"/>
              </w:rPr>
              <w:t>floor USD 102,829; lookup baseline USD 76,860, 87,677 and 97,437</w:t>
            </w:r>
          </w:p>
        </w:tc>
      </w:tr>
      <w:tr>
        <w:tc>
          <w:tcPr>
            <w:tcW w:type="dxa" w:w="2256"/>
          </w:tcPr>
          <w:p>
            <w:pPr>
              <w:spacing w:after="0"/>
              <w:jc w:val="left"/>
            </w:pPr>
            <w:r/>
            <w:r>
              <w:rPr>
                <w:rFonts w:ascii="Times New Roman" w:hAnsi="Times New Roman"/>
                <w:sz w:val="22"/>
              </w:rPr>
              <w:t>S5</w:t>
            </w:r>
          </w:p>
        </w:tc>
        <w:tc>
          <w:tcPr>
            <w:tcW w:type="dxa" w:w="2256"/>
          </w:tcPr>
          <w:p>
            <w:pPr>
              <w:spacing w:after="0"/>
              <w:jc w:val="left"/>
            </w:pPr>
            <w:r/>
            <w:r>
              <w:rPr>
                <w:rFonts w:ascii="Times New Roman" w:hAnsi="Times New Roman"/>
                <w:sz w:val="22"/>
              </w:rPr>
              <w:t>Recall at the out-of-fold threshold for a 50% flag rate (planned as recall among the 50% of cases with the highest scores; both are reported)</w:t>
            </w:r>
          </w:p>
        </w:tc>
        <w:tc>
          <w:tcPr>
            <w:tcW w:type="dxa" w:w="2256"/>
          </w:tcPr>
          <w:p>
            <w:pPr>
              <w:spacing w:after="0"/>
              <w:jc w:val="left"/>
            </w:pPr>
            <w:r/>
            <w:r>
              <w:rPr>
                <w:rFonts w:ascii="Times New Roman" w:hAnsi="Times New Roman"/>
                <w:sz w:val="22"/>
              </w:rPr>
              <w:t>0.78 or more</w:t>
            </w:r>
          </w:p>
        </w:tc>
        <w:tc>
          <w:tcPr>
            <w:tcW w:type="dxa" w:w="2256"/>
          </w:tcPr>
          <w:p>
            <w:pPr>
              <w:spacing w:after="0"/>
              <w:jc w:val="left"/>
            </w:pPr>
            <w:r/>
            <w:r>
              <w:rPr>
                <w:rFonts w:ascii="Times New Roman" w:hAnsi="Times New Roman"/>
                <w:sz w:val="22"/>
              </w:rPr>
              <w:t>lookup baseline 0.750; random 0.486</w:t>
            </w:r>
          </w:p>
        </w:tc>
      </w:tr>
      <w:tr>
        <w:tc>
          <w:tcPr>
            <w:tcW w:type="dxa" w:w="2256"/>
          </w:tcPr>
          <w:p>
            <w:pPr>
              <w:spacing w:after="0"/>
              <w:jc w:val="left"/>
            </w:pPr>
            <w:r/>
            <w:r>
              <w:rPr>
                <w:rFonts w:ascii="Times New Roman" w:hAnsi="Times New Roman"/>
                <w:sz w:val="22"/>
              </w:rPr>
              <w:t>S6</w:t>
            </w:r>
          </w:p>
        </w:tc>
        <w:tc>
          <w:tcPr>
            <w:tcW w:type="dxa" w:w="2256"/>
          </w:tcPr>
          <w:p>
            <w:pPr>
              <w:spacing w:after="0"/>
              <w:jc w:val="left"/>
            </w:pPr>
            <w:r/>
            <w:r>
              <w:rPr>
                <w:rFonts w:ascii="Times New Roman" w:hAnsi="Times New Roman"/>
                <w:sz w:val="22"/>
              </w:rPr>
              <w:t>Brier score on the test set, and by sector on the temporal split</w:t>
            </w:r>
          </w:p>
        </w:tc>
        <w:tc>
          <w:tcPr>
            <w:tcW w:type="dxa" w:w="2256"/>
          </w:tcPr>
          <w:p>
            <w:pPr>
              <w:spacing w:after="0"/>
              <w:jc w:val="left"/>
            </w:pPr>
            <w:r/>
            <w:r>
              <w:rPr>
                <w:rFonts w:ascii="Times New Roman" w:hAnsi="Times New Roman"/>
                <w:sz w:val="22"/>
              </w:rPr>
              <w:t>0.20 or less</w:t>
            </w:r>
          </w:p>
        </w:tc>
        <w:tc>
          <w:tcPr>
            <w:tcW w:type="dxa" w:w="2256"/>
          </w:tcPr>
          <w:p>
            <w:pPr>
              <w:spacing w:after="0"/>
              <w:jc w:val="left"/>
            </w:pPr>
            <w:r/>
            <w:r>
              <w:rPr>
                <w:rFonts w:ascii="Times New Roman" w:hAnsi="Times New Roman"/>
                <w:sz w:val="22"/>
              </w:rPr>
              <w:t>constant prediction at the prevalence 0.250</w:t>
            </w:r>
          </w:p>
        </w:tc>
      </w:tr>
      <w:tr>
        <w:tc>
          <w:tcPr>
            <w:tcW w:type="dxa" w:w="2256"/>
          </w:tcPr>
          <w:p>
            <w:pPr>
              <w:spacing w:after="0"/>
              <w:jc w:val="left"/>
            </w:pPr>
            <w:r/>
            <w:r>
              <w:rPr>
                <w:rFonts w:ascii="Times New Roman" w:hAnsi="Times New Roman"/>
                <w:sz w:val="22"/>
              </w:rPr>
              <w:t>S7</w:t>
            </w:r>
          </w:p>
        </w:tc>
        <w:tc>
          <w:tcPr>
            <w:tcW w:type="dxa" w:w="2256"/>
          </w:tcPr>
          <w:p>
            <w:pPr>
              <w:spacing w:after="0"/>
              <w:jc w:val="left"/>
            </w:pPr>
            <w:r/>
            <w:r>
              <w:rPr>
                <w:rFonts w:ascii="Times New Roman" w:hAnsi="Times New Roman"/>
                <w:sz w:val="22"/>
              </w:rPr>
              <w:t>Statistical comparison: McNemar test against the lookup baseline and a paired test across cross-validation folds between the two best models</w:t>
            </w:r>
          </w:p>
        </w:tc>
        <w:tc>
          <w:tcPr>
            <w:tcW w:type="dxa" w:w="2256"/>
          </w:tcPr>
          <w:p>
            <w:pPr>
              <w:spacing w:after="0"/>
              <w:jc w:val="left"/>
            </w:pPr>
            <w:r/>
            <w:r>
              <w:rPr>
                <w:rFonts w:ascii="Times New Roman" w:hAnsi="Times New Roman"/>
                <w:sz w:val="22"/>
              </w:rPr>
              <w:t>reported</w:t>
            </w:r>
          </w:p>
        </w:tc>
        <w:tc>
          <w:tcPr>
            <w:tcW w:type="dxa" w:w="2256"/>
          </w:tcPr>
          <w:p>
            <w:pPr>
              <w:spacing w:after="0"/>
              <w:jc w:val="left"/>
            </w:pPr>
            <w:r/>
            <w:r>
              <w:rPr>
                <w:rFonts w:ascii="Times New Roman" w:hAnsi="Times New Roman"/>
                <w:sz w:val="22"/>
              </w:rPr>
              <w:t>not applicable</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Majority class (predict "not lost-time" for every case)</w:t>
            </w:r>
          </w:p>
        </w:tc>
        <w:tc>
          <w:tcPr>
            <w:tcW w:type="dxa" w:w="2256"/>
          </w:tcPr>
          <w:p>
            <w:pPr>
              <w:spacing w:after="0"/>
              <w:jc w:val="left"/>
            </w:pPr>
            <w:r/>
          </w:p>
        </w:tc>
        <w:tc>
          <w:tcPr>
            <w:tcW w:type="dxa" w:w="2256"/>
          </w:tcPr>
          <w:p>
            <w:pPr>
              <w:spacing w:after="0"/>
              <w:jc w:val="left"/>
            </w:pPr>
            <w:r/>
            <w:r>
              <w:rPr>
                <w:rFonts w:ascii="Times New Roman" w:hAnsi="Times New Roman"/>
                <w:sz w:val="22"/>
              </w:rPr>
              <w:t>accuracy 0.514, recall 0.000</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Review everything (predict "lost-time" for every case)</w:t>
            </w:r>
          </w:p>
        </w:tc>
        <w:tc>
          <w:tcPr>
            <w:tcW w:type="dxa" w:w="2256"/>
          </w:tcPr>
          <w:p>
            <w:pPr>
              <w:spacing w:after="0"/>
              <w:jc w:val="left"/>
            </w:pPr>
            <w:r/>
          </w:p>
        </w:tc>
        <w:tc>
          <w:tcPr>
            <w:tcW w:type="dxa" w:w="2256"/>
          </w:tcPr>
          <w:p>
            <w:pPr>
              <w:spacing w:after="0"/>
              <w:jc w:val="left"/>
            </w:pPr>
            <w:r/>
            <w:r>
              <w:rPr>
                <w:rFonts w:ascii="Times New Roman" w:hAnsi="Times New Roman"/>
                <w:sz w:val="22"/>
              </w:rPr>
              <w:t>recall 1.000, specificity 0.000, precision 0.486, USD 102,829 per 1,000 cases</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Hand rule built for this study from the data profile: nature of injury is not a cut, dust in the eye or a scratch</w:t>
            </w:r>
          </w:p>
        </w:tc>
        <w:tc>
          <w:tcPr>
            <w:tcW w:type="dxa" w:w="2256"/>
          </w:tcPr>
          <w:p>
            <w:pPr>
              <w:spacing w:after="0"/>
              <w:jc w:val="left"/>
            </w:pPr>
            <w:r/>
          </w:p>
        </w:tc>
        <w:tc>
          <w:tcPr>
            <w:tcW w:type="dxa" w:w="2256"/>
          </w:tcPr>
          <w:p>
            <w:pPr>
              <w:spacing w:after="0"/>
              <w:jc w:val="left"/>
            </w:pPr>
            <w:r/>
            <w:r>
              <w:rPr>
                <w:rFonts w:ascii="Times New Roman" w:hAnsi="Times New Roman"/>
                <w:sz w:val="22"/>
              </w:rPr>
              <w:t>recall 0.896, specificity 0.429, precision 0.597</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Lookup baseline: lost-time rate of each nature of injury x body part x sector cell, fitted on training rows</w:t>
            </w:r>
          </w:p>
        </w:tc>
        <w:tc>
          <w:tcPr>
            <w:tcW w:type="dxa" w:w="2256"/>
          </w:tcPr>
          <w:p>
            <w:pPr>
              <w:spacing w:after="0"/>
              <w:jc w:val="left"/>
            </w:pPr>
            <w:r/>
          </w:p>
        </w:tc>
        <w:tc>
          <w:tcPr>
            <w:tcW w:type="dxa" w:w="2256"/>
          </w:tcPr>
          <w:p>
            <w:pPr>
              <w:spacing w:after="0"/>
              <w:jc w:val="left"/>
            </w:pPr>
            <w:r/>
            <w:r>
              <w:rPr>
                <w:rFonts w:ascii="Times New Roman" w:hAnsi="Times New Roman"/>
                <w:sz w:val="22"/>
              </w:rPr>
              <w:t>ROC-AUC 0.810 in-sample and 0.794 on the temporal split</w:t>
            </w:r>
          </w:p>
        </w:tc>
      </w:tr>
    </w:tbl>
    <w:p>
      <w:pPr>
        <w:spacing w:after="80"/>
      </w:pPr>
    </w:p>
    <w:p>
      <w:pPr>
        <w:pStyle w:val="Heading2"/>
      </w:pPr>
      <w:r>
        <w:rPr>
          <w:rFonts w:ascii="Times New Roman" w:hAnsi="Times New Roman"/>
          <w:b/>
          <w:color w:val="000000"/>
          <w:sz w:val="28"/>
        </w:rPr>
        <w:t>1.3 Dataset origin, provenance, licensing and integration</w:t>
      </w:r>
    </w:p>
    <w:p>
      <w:r>
        <w:rPr>
          <w:rFonts w:ascii="Times New Roman" w:hAnsi="Times New Roman"/>
          <w:sz w:val="24"/>
        </w:rPr>
        <w:t>The data are three open MSHA files (US Department of Labor, Mine Safety and Health Administration, 2026a, 2026b). Under Title 30, Part 50 of the Code of Federal Regulations, operators file Form 7000-1 for each accident, injury and illness and Form 7000-2 for quarterly hours (Legal Information Institute, no date b). Because MSHA refreshes the files weekly, I pinned the version of 9 October 2026 by SHA-256 digest (Table 4). As federal government works they are public domain under 17 U.S.C. 105, free to copy, modify and redistribute (Office of the Law Revision Counsel, 2020).</w:t>
      </w:r>
    </w:p>
    <w:p>
      <w:r>
        <w:rPr>
          <w:rFonts w:ascii="Times New Roman" w:hAnsi="Times New Roman"/>
          <w:sz w:val="24"/>
        </w:rPr>
        <w:t>MSHA collects the forms for enforcement and for incidence rates per 200,000 employee-hours (Mine Safety and Health Administration, 2026); scoring single reports is a reuse with four collection biases. Operators self-report and may omit first-aid cases, which limits the results to reported injuries. The label also records employer practice, since a back sprain becomes days away or restricted duty depending on whether restricted work is offered. Because the Mines table is a snapshot, attributes that may post-date the accident were dropped or re-dated. Contractor hours are absent from the production file, which understates exposure at mines that use contractors. I kept 2010-2025, as older rows have more blank experience fields and 2026 cases are still open.</w:t>
      </w:r>
    </w:p>
    <w:p>
      <w:r>
        <w:rPr>
          <w:rFonts w:ascii="Times New Roman" w:hAnsi="Times New Roman"/>
          <w:sz w:val="24"/>
        </w:rPr>
        <w:t>I combined the tables with left joins validated as many-to-one and asserted the row count after each (Table 4). Production was summed to mine-years and joined on the previous year, since current-year hours are not yet due for first-quarter accidents; unmatched rows kept a missing-value flag. Table 5 lists the resulting features. The repository's data card follows Gebru et al. (2021), and the dataset was reserved in the module Discussions forum ({{DISCUSSIONS_POST}}).</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three MSHA source tables with their size, grain, key and licence, and how each was joined to the accident rows; the files were published on 9 October 2026 and pulled on 14 October 2026 at 12:06 UTC from the MSHA Open Government Data page (https://arlweb.msha.gov/OpenGovernmentData/OGIMSHA.asp), each zip file at https://arlweb.msha.gov/OpenGovernmentData/DataSets/ followed by its name, and the full SHA-256 digests are in data/raw/SNAPSHOT.json. Source: author's analysis of MSHA open data.</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E7E6E6"/>
          </w:tcPr>
          <w:p>
            <w:pPr>
              <w:jc w:val="left"/>
            </w:pPr>
            <w:r>
              <w:rPr>
                <w:b/>
              </w:rPr>
            </w:r>
            <w:r>
              <w:rPr>
                <w:rFonts w:ascii="Times New Roman" w:hAnsi="Times New Roman"/>
                <w:b/>
                <w:sz w:val="22"/>
              </w:rPr>
              <w:t>Source file (SHA-256, first 12 hex digits)</w:t>
            </w:r>
          </w:p>
        </w:tc>
        <w:tc>
          <w:tcPr>
            <w:tcW w:type="dxa" w:w="1289"/>
            <w:shd w:val="clear" w:color="auto" w:fill="E7E6E6"/>
          </w:tcPr>
          <w:p>
            <w:pPr>
              <w:jc w:val="left"/>
            </w:pPr>
            <w:r>
              <w:rPr>
                <w:b/>
              </w:rPr>
            </w:r>
            <w:r>
              <w:rPr>
                <w:rFonts w:ascii="Times New Roman" w:hAnsi="Times New Roman"/>
                <w:b/>
                <w:sz w:val="22"/>
              </w:rPr>
              <w:t>Rows x columns</w:t>
            </w:r>
          </w:p>
        </w:tc>
        <w:tc>
          <w:tcPr>
            <w:tcW w:type="dxa" w:w="1289"/>
            <w:shd w:val="clear" w:color="auto" w:fill="E7E6E6"/>
          </w:tcPr>
          <w:p>
            <w:pPr>
              <w:jc w:val="left"/>
            </w:pPr>
            <w:r>
              <w:rPr>
                <w:b/>
              </w:rPr>
            </w:r>
            <w:r>
              <w:rPr>
                <w:rFonts w:ascii="Times New Roman" w:hAnsi="Times New Roman"/>
                <w:b/>
                <w:sz w:val="22"/>
              </w:rPr>
              <w:t>Grain (one row is)</w:t>
            </w:r>
          </w:p>
        </w:tc>
        <w:tc>
          <w:tcPr>
            <w:tcW w:type="dxa" w:w="1289"/>
            <w:shd w:val="clear" w:color="auto" w:fill="E7E6E6"/>
          </w:tcPr>
          <w:p>
            <w:pPr>
              <w:jc w:val="left"/>
            </w:pPr>
            <w:r>
              <w:rPr>
                <w:b/>
              </w:rPr>
            </w:r>
            <w:r>
              <w:rPr>
                <w:rFonts w:ascii="Times New Roman" w:hAnsi="Times New Roman"/>
                <w:b/>
                <w:sz w:val="22"/>
              </w:rPr>
              <w:t>Key</w:t>
            </w:r>
          </w:p>
        </w:tc>
        <w:tc>
          <w:tcPr>
            <w:tcW w:type="dxa" w:w="1289"/>
            <w:shd w:val="clear" w:color="auto" w:fill="E7E6E6"/>
          </w:tcPr>
          <w:p>
            <w:pPr>
              <w:jc w:val="left"/>
            </w:pPr>
            <w:r>
              <w:rPr>
                <w:b/>
              </w:rPr>
            </w:r>
            <w:r>
              <w:rPr>
                <w:rFonts w:ascii="Times New Roman" w:hAnsi="Times New Roman"/>
                <w:b/>
                <w:sz w:val="22"/>
              </w:rPr>
              <w:t>Licence</w:t>
            </w:r>
          </w:p>
        </w:tc>
        <w:tc>
          <w:tcPr>
            <w:tcW w:type="dxa" w:w="1289"/>
            <w:shd w:val="clear" w:color="auto" w:fill="E7E6E6"/>
          </w:tcPr>
          <w:p>
            <w:pPr>
              <w:jc w:val="left"/>
            </w:pPr>
            <w:r>
              <w:rPr>
                <w:b/>
              </w:rPr>
            </w:r>
            <w:r>
              <w:rPr>
                <w:rFonts w:ascii="Times New Roman" w:hAnsi="Times New Roman"/>
                <w:b/>
                <w:sz w:val="22"/>
              </w:rPr>
              <w:t>Join and rows before -&gt; after</w:t>
            </w:r>
          </w:p>
        </w:tc>
        <w:tc>
          <w:tcPr>
            <w:tcW w:type="dxa" w:w="1289"/>
            <w:shd w:val="clear" w:color="auto" w:fill="E7E6E6"/>
          </w:tcPr>
          <w:p>
            <w:pPr>
              <w:jc w:val="left"/>
            </w:pPr>
            <w:r>
              <w:rPr>
                <w:b/>
              </w:rPr>
            </w:r>
            <w:r>
              <w:rPr>
                <w:rFonts w:ascii="Times New Roman" w:hAnsi="Times New Roman"/>
                <w:b/>
                <w:sz w:val="22"/>
              </w:rPr>
              <w:t>Matched rows</w:t>
            </w:r>
          </w:p>
        </w:tc>
      </w:tr>
      <w:tr>
        <w:tc>
          <w:tcPr>
            <w:tcW w:type="dxa" w:w="1289"/>
          </w:tcPr>
          <w:p>
            <w:pPr>
              <w:spacing w:after="0"/>
              <w:jc w:val="left"/>
            </w:pPr>
            <w:r/>
            <w:r>
              <w:rPr>
                <w:rFonts w:ascii="Times New Roman" w:hAnsi="Times New Roman"/>
                <w:sz w:val="22"/>
              </w:rPr>
              <w:t>Accidents.txt in Accidents.zip (62d0c861a5c3)</w:t>
            </w:r>
          </w:p>
        </w:tc>
        <w:tc>
          <w:tcPr>
            <w:tcW w:type="dxa" w:w="1289"/>
          </w:tcPr>
          <w:p>
            <w:pPr>
              <w:spacing w:after="0"/>
              <w:jc w:val="left"/>
            </w:pPr>
            <w:r/>
            <w:r>
              <w:rPr>
                <w:rFonts w:ascii="Times New Roman" w:hAnsi="Times New Roman"/>
                <w:sz w:val="22"/>
              </w:rPr>
              <w:t>275,220 x 57</w:t>
            </w:r>
          </w:p>
        </w:tc>
        <w:tc>
          <w:tcPr>
            <w:tcW w:type="dxa" w:w="1289"/>
          </w:tcPr>
          <w:p>
            <w:pPr>
              <w:spacing w:after="0"/>
              <w:jc w:val="left"/>
            </w:pPr>
            <w:r/>
            <w:r>
              <w:rPr>
                <w:rFonts w:ascii="Times New Roman" w:hAnsi="Times New Roman"/>
                <w:sz w:val="22"/>
              </w:rPr>
              <w:t>one injured person on one Form 7000-1, or one accident without injury</w:t>
            </w:r>
          </w:p>
        </w:tc>
        <w:tc>
          <w:tcPr>
            <w:tcW w:type="dxa" w:w="1289"/>
          </w:tcPr>
          <w:p>
            <w:pPr>
              <w:spacing w:after="0"/>
              <w:jc w:val="left"/>
            </w:pPr>
            <w:r/>
            <w:r>
              <w:rPr>
                <w:rFonts w:ascii="Times New Roman" w:hAnsi="Times New Roman"/>
                <w:sz w:val="22"/>
              </w:rPr>
              <w:t>DOCUMENT_NO</w:t>
            </w:r>
          </w:p>
        </w:tc>
        <w:tc>
          <w:tcPr>
            <w:tcW w:type="dxa" w:w="1289"/>
          </w:tcPr>
          <w:p>
            <w:pPr>
              <w:spacing w:after="0"/>
              <w:jc w:val="left"/>
            </w:pPr>
            <w:r/>
            <w:r>
              <w:rPr>
                <w:rFonts w:ascii="Times New Roman" w:hAnsi="Times New Roman"/>
                <w:sz w:val="22"/>
              </w:rPr>
              <w:t>US public domain (17 U.S.C. 105); attribution to the US Department of Labor requested (US Department of Labor, no date)</w:t>
            </w:r>
          </w:p>
        </w:tc>
        <w:tc>
          <w:tcPr>
            <w:tcW w:type="dxa" w:w="1289"/>
          </w:tcPr>
          <w:p>
            <w:pPr>
              <w:spacing w:after="0"/>
              <w:jc w:val="left"/>
            </w:pPr>
            <w:r/>
            <w:r>
              <w:rPr>
                <w:rFonts w:ascii="Times New Roman" w:hAnsi="Times New Roman"/>
                <w:sz w:val="22"/>
              </w:rPr>
              <w:t>base table; CAL_YR from 2010 (275,220 -&gt; 125,718), to 2025 (-&gt; 121,541), degree codes 01 to 06 (-&gt; 101,609)</w:t>
            </w:r>
          </w:p>
        </w:tc>
        <w:tc>
          <w:tcPr>
            <w:tcW w:type="dxa" w:w="1289"/>
          </w:tcPr>
          <w:p>
            <w:pPr>
              <w:spacing w:after="0"/>
              <w:jc w:val="left"/>
            </w:pPr>
            <w:r/>
            <w:r>
              <w:rPr>
                <w:rFonts w:ascii="Times New Roman" w:hAnsi="Times New Roman"/>
                <w:sz w:val="22"/>
              </w:rPr>
              <w:t>not applicable</w:t>
            </w:r>
          </w:p>
        </w:tc>
      </w:tr>
      <w:tr>
        <w:tc>
          <w:tcPr>
            <w:tcW w:type="dxa" w:w="1289"/>
          </w:tcPr>
          <w:p>
            <w:pPr>
              <w:spacing w:after="0"/>
              <w:jc w:val="left"/>
            </w:pPr>
            <w:r/>
            <w:r>
              <w:rPr>
                <w:rFonts w:ascii="Times New Roman" w:hAnsi="Times New Roman"/>
                <w:sz w:val="22"/>
              </w:rPr>
              <w:t>Mines.txt in Mines.zip (1a0957ff0049)</w:t>
            </w:r>
          </w:p>
        </w:tc>
        <w:tc>
          <w:tcPr>
            <w:tcW w:type="dxa" w:w="1289"/>
          </w:tcPr>
          <w:p>
            <w:pPr>
              <w:spacing w:after="0"/>
              <w:jc w:val="left"/>
            </w:pPr>
            <w:r/>
            <w:r>
              <w:rPr>
                <w:rFonts w:ascii="Times New Roman" w:hAnsi="Times New Roman"/>
                <w:sz w:val="22"/>
              </w:rPr>
              <w:t>92,060 x 59</w:t>
            </w:r>
          </w:p>
        </w:tc>
        <w:tc>
          <w:tcPr>
            <w:tcW w:type="dxa" w:w="1289"/>
          </w:tcPr>
          <w:p>
            <w:pPr>
              <w:spacing w:after="0"/>
              <w:jc w:val="left"/>
            </w:pPr>
            <w:r/>
            <w:r>
              <w:rPr>
                <w:rFonts w:ascii="Times New Roman" w:hAnsi="Times New Roman"/>
                <w:sz w:val="22"/>
              </w:rPr>
              <w:t>one mine, with attributes as at the snapshot date</w:t>
            </w:r>
          </w:p>
        </w:tc>
        <w:tc>
          <w:tcPr>
            <w:tcW w:type="dxa" w:w="1289"/>
          </w:tcPr>
          <w:p>
            <w:pPr>
              <w:spacing w:after="0"/>
              <w:jc w:val="left"/>
            </w:pPr>
            <w:r/>
            <w:r>
              <w:rPr>
                <w:rFonts w:ascii="Times New Roman" w:hAnsi="Times New Roman"/>
                <w:sz w:val="22"/>
              </w:rPr>
              <w:t>MINE_ID (7-digit string)</w:t>
            </w:r>
          </w:p>
        </w:tc>
        <w:tc>
          <w:tcPr>
            <w:tcW w:type="dxa" w:w="1289"/>
          </w:tcPr>
          <w:p>
            <w:pPr>
              <w:spacing w:after="0"/>
              <w:jc w:val="left"/>
            </w:pPr>
            <w:r/>
            <w:r>
              <w:rPr>
                <w:rFonts w:ascii="Times New Roman" w:hAnsi="Times New Roman"/>
                <w:sz w:val="22"/>
              </w:rPr>
              <w:t>US public domain (17 U.S.C. 105)</w:t>
            </w:r>
          </w:p>
        </w:tc>
        <w:tc>
          <w:tcPr>
            <w:tcW w:type="dxa" w:w="1289"/>
          </w:tcPr>
          <w:p>
            <w:pPr>
              <w:spacing w:after="0"/>
              <w:jc w:val="left"/>
            </w:pPr>
            <w:r/>
            <w:r>
              <w:rPr>
                <w:rFonts w:ascii="Times New Roman" w:hAnsi="Times New Roman"/>
                <w:sz w:val="22"/>
              </w:rPr>
              <w:t>left join on MINE_ID, many-to-one; 101,609 -&gt; 101,609</w:t>
            </w:r>
          </w:p>
        </w:tc>
        <w:tc>
          <w:tcPr>
            <w:tcW w:type="dxa" w:w="1289"/>
          </w:tcPr>
          <w:p>
            <w:pPr>
              <w:spacing w:after="0"/>
              <w:jc w:val="left"/>
            </w:pPr>
            <w:r/>
            <w:r>
              <w:rPr>
                <w:rFonts w:ascii="Times New Roman" w:hAnsi="Times New Roman"/>
                <w:sz w:val="22"/>
              </w:rPr>
              <w:t>101,609 (100.0%), no orphans</w:t>
            </w:r>
          </w:p>
        </w:tc>
      </w:tr>
      <w:tr>
        <w:tc>
          <w:tcPr>
            <w:tcW w:type="dxa" w:w="1289"/>
          </w:tcPr>
          <w:p>
            <w:pPr>
              <w:spacing w:after="0"/>
              <w:jc w:val="left"/>
            </w:pPr>
            <w:r/>
            <w:r>
              <w:rPr>
                <w:rFonts w:ascii="Times New Roman" w:hAnsi="Times New Roman"/>
                <w:sz w:val="22"/>
              </w:rPr>
              <w:t>MinesProdYearly.txt in MinesProdYearly.zip (c0fdca86d175)</w:t>
            </w:r>
          </w:p>
        </w:tc>
        <w:tc>
          <w:tcPr>
            <w:tcW w:type="dxa" w:w="1289"/>
          </w:tcPr>
          <w:p>
            <w:pPr>
              <w:spacing w:after="0"/>
              <w:jc w:val="left"/>
            </w:pPr>
            <w:r/>
            <w:r>
              <w:rPr>
                <w:rFonts w:ascii="Times New Roman" w:hAnsi="Times New Roman"/>
                <w:sz w:val="22"/>
              </w:rPr>
              <w:t>658,922 x 11</w:t>
            </w:r>
          </w:p>
        </w:tc>
        <w:tc>
          <w:tcPr>
            <w:tcW w:type="dxa" w:w="1289"/>
          </w:tcPr>
          <w:p>
            <w:pPr>
              <w:spacing w:after="0"/>
              <w:jc w:val="left"/>
            </w:pPr>
            <w:r/>
            <w:r>
              <w:rPr>
                <w:rFonts w:ascii="Times New Roman" w:hAnsi="Times New Roman"/>
                <w:sz w:val="22"/>
              </w:rPr>
              <w:t>employee-hours and average employees for one mine, calendar year and subunit (Form 7000-2)</w:t>
            </w:r>
          </w:p>
        </w:tc>
        <w:tc>
          <w:tcPr>
            <w:tcW w:type="dxa" w:w="1289"/>
          </w:tcPr>
          <w:p>
            <w:pPr>
              <w:spacing w:after="0"/>
              <w:jc w:val="left"/>
            </w:pPr>
            <w:r/>
            <w:r>
              <w:rPr>
                <w:rFonts w:ascii="Times New Roman" w:hAnsi="Times New Roman"/>
                <w:sz w:val="22"/>
              </w:rPr>
              <w:t>MINE_ID, CALENDAR_YR, SUBUNIT_CD</w:t>
            </w:r>
          </w:p>
        </w:tc>
        <w:tc>
          <w:tcPr>
            <w:tcW w:type="dxa" w:w="1289"/>
          </w:tcPr>
          <w:p>
            <w:pPr>
              <w:spacing w:after="0"/>
              <w:jc w:val="left"/>
            </w:pPr>
            <w:r/>
            <w:r>
              <w:rPr>
                <w:rFonts w:ascii="Times New Roman" w:hAnsi="Times New Roman"/>
                <w:sz w:val="22"/>
              </w:rPr>
              <w:t>US public domain (17 U.S.C. 105)</w:t>
            </w:r>
          </w:p>
        </w:tc>
        <w:tc>
          <w:tcPr>
            <w:tcW w:type="dxa" w:w="1289"/>
          </w:tcPr>
          <w:p>
            <w:pPr>
              <w:spacing w:after="0"/>
              <w:jc w:val="left"/>
            </w:pPr>
            <w:r/>
            <w:r>
              <w:rPr>
                <w:rFonts w:ascii="Times New Roman" w:hAnsi="Times New Roman"/>
                <w:sz w:val="22"/>
              </w:rPr>
              <w:t>summed to 370,794 mine-years; left join on MINE_ID and CALENDAR_YR = CAL_YR - 1, many-to-one; 101,609 -&gt; 101,609</w:t>
            </w:r>
          </w:p>
        </w:tc>
        <w:tc>
          <w:tcPr>
            <w:tcW w:type="dxa" w:w="1289"/>
          </w:tcPr>
          <w:p>
            <w:pPr>
              <w:spacing w:after="0"/>
              <w:jc w:val="left"/>
            </w:pPr>
            <w:r/>
            <w:r>
              <w:rPr>
                <w:rFonts w:ascii="Times New Roman" w:hAnsi="Times New Roman"/>
                <w:sz w:val="22"/>
              </w:rPr>
              <w:t>100,403 (98.8%); 1,206 kept with missing exposure and prev_year_matched = 0</w:t>
            </w:r>
          </w:p>
        </w:tc>
      </w:tr>
    </w:tbl>
    <w:p>
      <w:pPr>
        <w:spacing w:after="80"/>
      </w:pP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Data dictionary of the 55 model features (23 categorical, 20 numeric and 12 binary) grouped by type, with meaning and source table; the definitions apply to every row of the training and test splits, every feature is known when Form 7000-1 is filed, and outcome fields such as DAYS_LOST are excluded as leakage. Source: author's analysis of MSHA open data and codebooks.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Type</w:t>
            </w:r>
          </w:p>
        </w:tc>
        <w:tc>
          <w:tcPr>
            <w:tcW w:type="dxa" w:w="2256"/>
            <w:shd w:val="clear" w:color="auto" w:fill="E7E6E6"/>
          </w:tcPr>
          <w:p>
            <w:pPr>
              <w:jc w:val="left"/>
            </w:pPr>
            <w:r>
              <w:rPr>
                <w:b/>
              </w:rPr>
            </w:r>
            <w:r>
              <w:rPr>
                <w:rFonts w:ascii="Times New Roman" w:hAnsi="Times New Roman"/>
                <w:b/>
                <w:sz w:val="22"/>
              </w:rPr>
              <w:t>Feature(s)</w:t>
            </w:r>
          </w:p>
        </w:tc>
        <w:tc>
          <w:tcPr>
            <w:tcW w:type="dxa" w:w="2256"/>
            <w:shd w:val="clear" w:color="auto" w:fill="E7E6E6"/>
          </w:tcPr>
          <w:p>
            <w:pPr>
              <w:jc w:val="left"/>
            </w:pPr>
            <w:r>
              <w:rPr>
                <w:b/>
              </w:rPr>
            </w:r>
            <w:r>
              <w:rPr>
                <w:rFonts w:ascii="Times New Roman" w:hAnsi="Times New Roman"/>
                <w:b/>
                <w:sz w:val="22"/>
              </w:rPr>
              <w:t>Meaning</w:t>
            </w:r>
          </w:p>
        </w:tc>
        <w:tc>
          <w:tcPr>
            <w:tcW w:type="dxa" w:w="2256"/>
            <w:shd w:val="clear" w:color="auto" w:fill="E7E6E6"/>
          </w:tcPr>
          <w:p>
            <w:pPr>
              <w:jc w:val="left"/>
            </w:pPr>
            <w:r>
              <w:rPr>
                <w:b/>
              </w:rPr>
            </w:r>
            <w:r>
              <w:rPr>
                <w:rFonts w:ascii="Times New Roman" w:hAnsi="Times New Roman"/>
                <w:b/>
                <w:sz w:val="22"/>
              </w:rPr>
              <w:t>Source table</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SUBUNIT_CD</w:t>
            </w:r>
          </w:p>
        </w:tc>
        <w:tc>
          <w:tcPr>
            <w:tcW w:type="dxa" w:w="2256"/>
          </w:tcPr>
          <w:p>
            <w:pPr>
              <w:spacing w:after="0"/>
              <w:jc w:val="left"/>
            </w:pPr>
            <w:r/>
            <w:r>
              <w:rPr>
                <w:rFonts w:ascii="Times New Roman" w:hAnsi="Times New Roman"/>
                <w:sz w:val="22"/>
              </w:rPr>
              <w:t>part of the mine where the accident happened (underground, surface at an underground mine, strip or open pit, mill or preparation plant, office and others)</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FIPS_STATE_CD</w:t>
            </w:r>
          </w:p>
        </w:tc>
        <w:tc>
          <w:tcPr>
            <w:tcW w:type="dxa" w:w="2256"/>
          </w:tcPr>
          <w:p>
            <w:pPr>
              <w:spacing w:after="0"/>
              <w:jc w:val="left"/>
            </w:pPr>
            <w:r/>
            <w:r>
              <w:rPr>
                <w:rFonts w:ascii="Times New Roman" w:hAnsi="Times New Roman"/>
                <w:sz w:val="22"/>
              </w:rPr>
              <w:t>state of the mine</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UG_LOCATION_CD, UG_MINING_METHOD_CD</w:t>
            </w:r>
          </w:p>
        </w:tc>
        <w:tc>
          <w:tcPr>
            <w:tcW w:type="dxa" w:w="2256"/>
          </w:tcPr>
          <w:p>
            <w:pPr>
              <w:spacing w:after="0"/>
              <w:jc w:val="left"/>
            </w:pPr>
            <w:r/>
            <w:r>
              <w:rPr>
                <w:rFonts w:ascii="Times New Roman" w:hAnsi="Times New Roman"/>
                <w:sz w:val="22"/>
              </w:rPr>
              <w:t>underground location and mining method; level "none" when the accident was not underground</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MINING_EQUIP_CD, EQUIP_MFR_NAME</w:t>
            </w:r>
          </w:p>
        </w:tc>
        <w:tc>
          <w:tcPr>
            <w:tcW w:type="dxa" w:w="2256"/>
          </w:tcPr>
          <w:p>
            <w:pPr>
              <w:spacing w:after="0"/>
              <w:jc w:val="left"/>
            </w:pPr>
            <w:r/>
            <w:r>
              <w:rPr>
                <w:rFonts w:ascii="Times New Roman" w:hAnsi="Times New Roman"/>
                <w:sz w:val="22"/>
              </w:rPr>
              <w:t>equipment involved and its manufacturer; level "none" when no equipment was involved</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CLASSIFICATION_CD, ACCIDENT_TYPE_CD</w:t>
            </w:r>
          </w:p>
        </w:tc>
        <w:tc>
          <w:tcPr>
            <w:tcW w:type="dxa" w:w="2256"/>
          </w:tcPr>
          <w:p>
            <w:pPr>
              <w:spacing w:after="0"/>
              <w:jc w:val="left"/>
            </w:pPr>
            <w:r/>
            <w:r>
              <w:rPr>
                <w:rFonts w:ascii="Times New Roman" w:hAnsi="Times New Roman"/>
                <w:sz w:val="22"/>
              </w:rPr>
              <w:t>circumstance class (for example handling materials, slip or fall) and accident type (for example struck by a falling object, over-exertion)</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OCCUPATION, ACTIVITY_CD</w:t>
            </w:r>
          </w:p>
        </w:tc>
        <w:tc>
          <w:tcPr>
            <w:tcW w:type="dxa" w:w="2256"/>
          </w:tcPr>
          <w:p>
            <w:pPr>
              <w:spacing w:after="0"/>
              <w:jc w:val="left"/>
            </w:pPr>
            <w:r/>
            <w:r>
              <w:rPr>
                <w:rFonts w:ascii="Times New Roman" w:hAnsi="Times New Roman"/>
                <w:sz w:val="22"/>
              </w:rPr>
              <w:t>job title of the injured worker and the activity at the time</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INJURY_SOURCE_CD, NATURE_INJURY_CD, INJ_BODY_PART_CD</w:t>
            </w:r>
          </w:p>
        </w:tc>
        <w:tc>
          <w:tcPr>
            <w:tcW w:type="dxa" w:w="2256"/>
          </w:tcPr>
          <w:p>
            <w:pPr>
              <w:spacing w:after="0"/>
              <w:jc w:val="left"/>
            </w:pPr>
            <w:r/>
            <w:r>
              <w:rPr>
                <w:rFonts w:ascii="Times New Roman" w:hAnsi="Times New Roman"/>
                <w:sz w:val="22"/>
              </w:rPr>
              <w:t>object or substance that caused the injury, nature of the injury (for example sprain, fracture, cut) and body part</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COAL_METAL_IND</w:t>
            </w:r>
          </w:p>
        </w:tc>
        <w:tc>
          <w:tcPr>
            <w:tcW w:type="dxa" w:w="2256"/>
          </w:tcPr>
          <w:p>
            <w:pPr>
              <w:spacing w:after="0"/>
              <w:jc w:val="left"/>
            </w:pPr>
            <w:r/>
            <w:r>
              <w:rPr>
                <w:rFonts w:ascii="Times New Roman" w:hAnsi="Times New Roman"/>
                <w:sz w:val="22"/>
              </w:rPr>
              <w:t>sector, coal or metal and non-metal</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PRIMARY_CANVASS</w:t>
            </w:r>
          </w:p>
        </w:tc>
        <w:tc>
          <w:tcPr>
            <w:tcW w:type="dxa" w:w="2256"/>
          </w:tcPr>
          <w:p>
            <w:pPr>
              <w:spacing w:after="0"/>
              <w:jc w:val="left"/>
            </w:pPr>
            <w:r/>
            <w:r>
              <w:rPr>
                <w:rFonts w:ascii="Times New Roman" w:hAnsi="Times New Roman"/>
                <w:sz w:val="22"/>
              </w:rPr>
              <w:t>commodity group of the mine (coal, metal, non-metal, stone, sand and gravel)</w:t>
            </w:r>
          </w:p>
        </w:tc>
        <w:tc>
          <w:tcPr>
            <w:tcW w:type="dxa" w:w="2256"/>
          </w:tcPr>
          <w:p>
            <w:pPr>
              <w:spacing w:after="0"/>
              <w:jc w:val="left"/>
            </w:pPr>
            <w:r/>
            <w:r>
              <w:rPr>
                <w:rFonts w:ascii="Times New Roman" w:hAnsi="Times New Roman"/>
                <w:sz w:val="22"/>
              </w:rPr>
              <w:t>Mines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SAFETY_COMMITTEE_IND, PART48_TRAINING, PORTABLE_OPERATION</w:t>
            </w:r>
          </w:p>
        </w:tc>
        <w:tc>
          <w:tcPr>
            <w:tcW w:type="dxa" w:w="2256"/>
          </w:tcPr>
          <w:p>
            <w:pPr>
              <w:spacing w:after="0"/>
              <w:jc w:val="left"/>
            </w:pPr>
            <w:r/>
            <w:r>
              <w:rPr>
                <w:rFonts w:ascii="Times New Roman" w:hAnsi="Times New Roman"/>
                <w:sz w:val="22"/>
              </w:rPr>
              <w:t>yes/no flags for a safety committee, a restriction on MSHA enforcing Part 48 training, and a portable operation, as recorded at the snapshot</w:t>
            </w:r>
          </w:p>
        </w:tc>
        <w:tc>
          <w:tcPr>
            <w:tcW w:type="dxa" w:w="2256"/>
          </w:tcPr>
          <w:p>
            <w:pPr>
              <w:spacing w:after="0"/>
              <w:jc w:val="left"/>
            </w:pPr>
            <w:r/>
            <w:r>
              <w:rPr>
                <w:rFonts w:ascii="Times New Roman" w:hAnsi="Times New Roman"/>
                <w:sz w:val="22"/>
              </w:rPr>
              <w:t>Mines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status_103i_at_accident</w:t>
            </w:r>
          </w:p>
        </w:tc>
        <w:tc>
          <w:tcPr>
            <w:tcW w:type="dxa" w:w="2256"/>
          </w:tcPr>
          <w:p>
            <w:pPr>
              <w:spacing w:after="0"/>
              <w:jc w:val="left"/>
            </w:pPr>
            <w:r/>
            <w:r>
              <w:rPr>
                <w:rFonts w:ascii="Times New Roman" w:hAnsi="Times New Roman"/>
                <w:sz w:val="22"/>
              </w:rPr>
              <w:t>section 103(i) spot-inspection status in force at the accident date (never, in force, formerly, unknown)</w:t>
            </w:r>
          </w:p>
        </w:tc>
        <w:tc>
          <w:tcPr>
            <w:tcW w:type="dxa" w:w="2256"/>
          </w:tcPr>
          <w:p>
            <w:pPr>
              <w:spacing w:after="0"/>
              <w:jc w:val="left"/>
            </w:pPr>
            <w:r/>
            <w:r>
              <w:rPr>
                <w:rFonts w:ascii="Times New Roman" w:hAnsi="Times New Roman"/>
                <w:sz w:val="22"/>
              </w:rPr>
              <w:t>Mines, with the accident date</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type_at_time</w:t>
            </w:r>
          </w:p>
        </w:tc>
        <w:tc>
          <w:tcPr>
            <w:tcW w:type="dxa" w:w="2256"/>
          </w:tcPr>
          <w:p>
            <w:pPr>
              <w:spacing w:after="0"/>
              <w:jc w:val="left"/>
            </w:pPr>
            <w:r/>
            <w:r>
              <w:rPr>
                <w:rFonts w:ascii="Times New Roman" w:hAnsi="Times New Roman"/>
                <w:sz w:val="22"/>
              </w:rPr>
              <w:t>mine type (underground, surface or facility) from the previous year's production subunits</w:t>
            </w:r>
          </w:p>
        </w:tc>
        <w:tc>
          <w:tcPr>
            <w:tcW w:type="dxa" w:w="2256"/>
          </w:tcPr>
          <w:p>
            <w:pPr>
              <w:spacing w:after="0"/>
              <w:jc w:val="left"/>
            </w:pPr>
            <w:r/>
            <w:r>
              <w:rPr>
                <w:rFonts w:ascii="Times New Roman" w:hAnsi="Times New Roman"/>
                <w:sz w:val="22"/>
              </w:rPr>
              <w:t>MinesProdYearly (fallback: Accidents SUBUNIT_CD)</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mine_size_band</w:t>
            </w:r>
          </w:p>
        </w:tc>
        <w:tc>
          <w:tcPr>
            <w:tcW w:type="dxa" w:w="2256"/>
          </w:tcPr>
          <w:p>
            <w:pPr>
              <w:spacing w:after="0"/>
              <w:jc w:val="left"/>
            </w:pPr>
            <w:r/>
            <w:r>
              <w:rPr>
                <w:rFonts w:ascii="Times New Roman" w:hAnsi="Times New Roman"/>
                <w:sz w:val="22"/>
              </w:rPr>
              <w:t>previous-year average employees in five bands, from 1-4 to 200+</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accident_weekday, accident_month</w:t>
            </w:r>
          </w:p>
        </w:tc>
        <w:tc>
          <w:tcPr>
            <w:tcW w:type="dxa" w:w="2256"/>
          </w:tcPr>
          <w:p>
            <w:pPr>
              <w:spacing w:after="0"/>
              <w:jc w:val="left"/>
            </w:pPr>
            <w:r/>
            <w:r>
              <w:rPr>
                <w:rFonts w:ascii="Times New Roman" w:hAnsi="Times New Roman"/>
                <w:sz w:val="22"/>
              </w:rPr>
              <w:t>day of the week and month of the accident</w:t>
            </w:r>
          </w:p>
        </w:tc>
        <w:tc>
          <w:tcPr>
            <w:tcW w:type="dxa" w:w="2256"/>
          </w:tcPr>
          <w:p>
            <w:pPr>
              <w:spacing w:after="0"/>
              <w:jc w:val="left"/>
            </w:pPr>
            <w:r/>
            <w:r>
              <w:rPr>
                <w:rFonts w:ascii="Times New Roman" w:hAnsi="Times New Roman"/>
                <w:sz w:val="22"/>
              </w:rPr>
              <w:t>Accidents (ACCIDENT_DT)</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TOT_EXPER, MINE_EXPER, JOB_EXPER</w:t>
            </w:r>
          </w:p>
        </w:tc>
        <w:tc>
          <w:tcPr>
            <w:tcW w:type="dxa" w:w="2256"/>
          </w:tcPr>
          <w:p>
            <w:pPr>
              <w:spacing w:after="0"/>
              <w:jc w:val="left"/>
            </w:pPr>
            <w:r/>
            <w:r>
              <w:rPr>
                <w:rFonts w:ascii="Times New Roman" w:hAnsi="Times New Roman"/>
                <w:sz w:val="22"/>
              </w:rPr>
              <w:t>years of total mining, current-mine and current-job experience after the consistency rules</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log1p_tot_exper</w:t>
            </w:r>
          </w:p>
        </w:tc>
        <w:tc>
          <w:tcPr>
            <w:tcW w:type="dxa" w:w="2256"/>
          </w:tcPr>
          <w:p>
            <w:pPr>
              <w:spacing w:after="0"/>
              <w:jc w:val="left"/>
            </w:pPr>
            <w:r/>
            <w:r>
              <w:rPr>
                <w:rFonts w:ascii="Times New Roman" w:hAnsi="Times New Roman"/>
                <w:sz w:val="22"/>
              </w:rPr>
              <w:t>log(1 + TOT_EXPER), which reduces right skew</w:t>
            </w:r>
          </w:p>
        </w:tc>
        <w:tc>
          <w:tcPr>
            <w:tcW w:type="dxa" w:w="2256"/>
          </w:tcPr>
          <w:p>
            <w:pPr>
              <w:spacing w:after="0"/>
              <w:jc w:val="left"/>
            </w:pPr>
            <w:r/>
            <w:r>
              <w:rPr>
                <w:rFonts w:ascii="Times New Roman" w:hAnsi="Times New Roman"/>
                <w:sz w:val="22"/>
              </w:rPr>
              <w:t>derived from 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exper_ratio_mine, exper_ratio_job</w:t>
            </w:r>
          </w:p>
        </w:tc>
        <w:tc>
          <w:tcPr>
            <w:tcW w:type="dxa" w:w="2256"/>
          </w:tcPr>
          <w:p>
            <w:pPr>
              <w:spacing w:after="0"/>
              <w:jc w:val="left"/>
            </w:pPr>
            <w:r/>
            <w:r>
              <w:rPr>
                <w:rFonts w:ascii="Times New Roman" w:hAnsi="Times New Roman"/>
                <w:sz w:val="22"/>
              </w:rPr>
              <w:t>mine and job experience as a share of total experience, between 0 and 1</w:t>
            </w:r>
          </w:p>
        </w:tc>
        <w:tc>
          <w:tcPr>
            <w:tcW w:type="dxa" w:w="2256"/>
          </w:tcPr>
          <w:p>
            <w:pPr>
              <w:spacing w:after="0"/>
              <w:jc w:val="left"/>
            </w:pPr>
            <w:r/>
            <w:r>
              <w:rPr>
                <w:rFonts w:ascii="Times New Roman" w:hAnsi="Times New Roman"/>
                <w:sz w:val="22"/>
              </w:rPr>
              <w:t>derived from 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no_injuries_capped</w:t>
            </w:r>
          </w:p>
        </w:tc>
        <w:tc>
          <w:tcPr>
            <w:tcW w:type="dxa" w:w="2256"/>
          </w:tcPr>
          <w:p>
            <w:pPr>
              <w:spacing w:after="0"/>
              <w:jc w:val="left"/>
            </w:pPr>
            <w:r/>
            <w:r>
              <w:rPr>
                <w:rFonts w:ascii="Times New Roman" w:hAnsi="Times New Roman"/>
                <w:sz w:val="22"/>
              </w:rPr>
              <w:t>number of people injured in the occurrence, capped at 10</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accident_hour, shift_begin_hour</w:t>
            </w:r>
          </w:p>
        </w:tc>
        <w:tc>
          <w:tcPr>
            <w:tcW w:type="dxa" w:w="2256"/>
          </w:tcPr>
          <w:p>
            <w:pPr>
              <w:spacing w:after="0"/>
              <w:jc w:val="left"/>
            </w:pPr>
            <w:r/>
            <w:r>
              <w:rPr>
                <w:rFonts w:ascii="Times New Roman" w:hAnsi="Times New Roman"/>
                <w:sz w:val="22"/>
              </w:rPr>
              <w:t>clock hour of the accident and of the start of the shift</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hours_into_shift</w:t>
            </w:r>
          </w:p>
        </w:tc>
        <w:tc>
          <w:tcPr>
            <w:tcW w:type="dxa" w:w="2256"/>
          </w:tcPr>
          <w:p>
            <w:pPr>
              <w:spacing w:after="0"/>
              <w:jc w:val="left"/>
            </w:pPr>
            <w:r/>
            <w:r>
              <w:rPr>
                <w:rFonts w:ascii="Times New Roman" w:hAnsi="Times New Roman"/>
                <w:sz w:val="22"/>
              </w:rPr>
              <w:t>hours from the start of the shift to the accident, missing above 16</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latitude, longitude</w:t>
            </w:r>
          </w:p>
        </w:tc>
        <w:tc>
          <w:tcPr>
            <w:tcW w:type="dxa" w:w="2256"/>
          </w:tcPr>
          <w:p>
            <w:pPr>
              <w:spacing w:after="0"/>
              <w:jc w:val="left"/>
            </w:pPr>
            <w:r/>
            <w:r>
              <w:rPr>
                <w:rFonts w:ascii="Times New Roman" w:hAnsi="Times New Roman"/>
                <w:sz w:val="22"/>
              </w:rPr>
              <w:t>mine coordinates, with invalid pairs set to missing</w:t>
            </w:r>
          </w:p>
        </w:tc>
        <w:tc>
          <w:tcPr>
            <w:tcW w:type="dxa" w:w="2256"/>
          </w:tcPr>
          <w:p>
            <w:pPr>
              <w:spacing w:after="0"/>
              <w:jc w:val="left"/>
            </w:pPr>
            <w:r/>
            <w:r>
              <w:rPr>
                <w:rFonts w:ascii="Times New Roman" w:hAnsi="Times New Roman"/>
                <w:sz w:val="22"/>
              </w:rPr>
              <w:t>Mines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prev_hours, log1p_prev_hours</w:t>
            </w:r>
          </w:p>
        </w:tc>
        <w:tc>
          <w:tcPr>
            <w:tcW w:type="dxa" w:w="2256"/>
          </w:tcPr>
          <w:p>
            <w:pPr>
              <w:spacing w:after="0"/>
              <w:jc w:val="left"/>
            </w:pPr>
            <w:r/>
            <w:r>
              <w:rPr>
                <w:rFonts w:ascii="Times New Roman" w:hAnsi="Times New Roman"/>
                <w:sz w:val="22"/>
              </w:rPr>
              <w:t>employee-hours worked at the mine in the previous year, raw and log-transformed</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prev_employees, prev_hours_per_employee</w:t>
            </w:r>
          </w:p>
        </w:tc>
        <w:tc>
          <w:tcPr>
            <w:tcW w:type="dxa" w:w="2256"/>
          </w:tcPr>
          <w:p>
            <w:pPr>
              <w:spacing w:after="0"/>
              <w:jc w:val="left"/>
            </w:pPr>
            <w:r/>
            <w:r>
              <w:rPr>
                <w:rFonts w:ascii="Times New Roman" w:hAnsi="Times New Roman"/>
                <w:sz w:val="22"/>
              </w:rPr>
              <w:t>previous-year average employees and hours per employee</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prev_incidents</w:t>
            </w:r>
          </w:p>
        </w:tc>
        <w:tc>
          <w:tcPr>
            <w:tcW w:type="dxa" w:w="2256"/>
          </w:tcPr>
          <w:p>
            <w:pPr>
              <w:spacing w:after="0"/>
              <w:jc w:val="left"/>
            </w:pPr>
            <w:r/>
            <w:r>
              <w:rPr>
                <w:rFonts w:ascii="Times New Roman" w:hAnsi="Times New Roman"/>
                <w:sz w:val="22"/>
              </w:rPr>
              <w:t>reports at the mine in the previous year that were filed before the accident date</w:t>
            </w:r>
          </w:p>
        </w:tc>
        <w:tc>
          <w:tcPr>
            <w:tcW w:type="dxa" w:w="2256"/>
          </w:tcPr>
          <w:p>
            <w:pPr>
              <w:spacing w:after="0"/>
              <w:jc w:val="left"/>
            </w:pPr>
            <w:r/>
            <w:r>
              <w:rPr>
                <w:rFonts w:ascii="Times New Roman" w:hAnsi="Times New Roman"/>
                <w:sz w:val="22"/>
              </w:rPr>
              <w:t>Accidents (full file)</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prev_incident_rate_200k, prev_lost_time_rate_200k</w:t>
            </w:r>
          </w:p>
        </w:tc>
        <w:tc>
          <w:tcPr>
            <w:tcW w:type="dxa" w:w="2256"/>
          </w:tcPr>
          <w:p>
            <w:pPr>
              <w:spacing w:after="0"/>
              <w:jc w:val="left"/>
            </w:pPr>
            <w:r/>
            <w:r>
              <w:rPr>
                <w:rFonts w:ascii="Times New Roman" w:hAnsi="Times New Roman"/>
                <w:sz w:val="22"/>
              </w:rPr>
              <w:t>previous-year reports and lost-time cases per 200,000 employee-hours, capped at 50 and log-transformed</w:t>
            </w:r>
          </w:p>
        </w:tc>
        <w:tc>
          <w:tcPr>
            <w:tcW w:type="dxa" w:w="2256"/>
          </w:tcPr>
          <w:p>
            <w:pPr>
              <w:spacing w:after="0"/>
              <w:jc w:val="left"/>
            </w:pPr>
            <w:r/>
            <w:r>
              <w:rPr>
                <w:rFonts w:ascii="Times New Roman" w:hAnsi="Times New Roman"/>
                <w:sz w:val="22"/>
              </w:rPr>
              <w:t>Accidents (full file) and MinesProdYearly</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prev_lost_time_share</w:t>
            </w:r>
          </w:p>
        </w:tc>
        <w:tc>
          <w:tcPr>
            <w:tcW w:type="dxa" w:w="2256"/>
          </w:tcPr>
          <w:p>
            <w:pPr>
              <w:spacing w:after="0"/>
              <w:jc w:val="left"/>
            </w:pPr>
            <w:r/>
            <w:r>
              <w:rPr>
                <w:rFonts w:ascii="Times New Roman" w:hAnsi="Times New Roman"/>
                <w:sz w:val="22"/>
              </w:rPr>
              <w:t>share of the previous year's valid-code cases (degree 01 to 06) filed before the accident date that were lost-time</w:t>
            </w:r>
          </w:p>
        </w:tc>
        <w:tc>
          <w:tcPr>
            <w:tcW w:type="dxa" w:w="2256"/>
          </w:tcPr>
          <w:p>
            <w:pPr>
              <w:spacing w:after="0"/>
              <w:jc w:val="left"/>
            </w:pPr>
            <w:r/>
            <w:r>
              <w:rPr>
                <w:rFonts w:ascii="Times New Roman" w:hAnsi="Times New Roman"/>
                <w:sz w:val="22"/>
              </w:rPr>
              <w:t>Accidents (full file)</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is_night, is_weekend</w:t>
            </w:r>
          </w:p>
        </w:tc>
        <w:tc>
          <w:tcPr>
            <w:tcW w:type="dxa" w:w="2256"/>
          </w:tcPr>
          <w:p>
            <w:pPr>
              <w:spacing w:after="0"/>
              <w:jc w:val="left"/>
            </w:pPr>
            <w:r/>
            <w:r>
              <w:rPr>
                <w:rFonts w:ascii="Times New Roman" w:hAnsi="Times New Roman"/>
                <w:sz w:val="22"/>
              </w:rPr>
              <w:t>accident between 18:00 and 05:59; accident on a Saturday or Sunday</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new_to_mine</w:t>
            </w:r>
          </w:p>
        </w:tc>
        <w:tc>
          <w:tcPr>
            <w:tcW w:type="dxa" w:w="2256"/>
          </w:tcPr>
          <w:p>
            <w:pPr>
              <w:spacing w:after="0"/>
              <w:jc w:val="left"/>
            </w:pPr>
            <w:r/>
            <w:r>
              <w:rPr>
                <w:rFonts w:ascii="Times New Roman" w:hAnsi="Times New Roman"/>
                <w:sz w:val="22"/>
              </w:rPr>
              <w:t>less than one year of experience at the current mine</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is_contractor</w:t>
            </w:r>
          </w:p>
        </w:tc>
        <w:tc>
          <w:tcPr>
            <w:tcW w:type="dxa" w:w="2256"/>
          </w:tcPr>
          <w:p>
            <w:pPr>
              <w:spacing w:after="0"/>
              <w:jc w:val="left"/>
            </w:pPr>
            <w:r/>
            <w:r>
              <w:rPr>
                <w:rFonts w:ascii="Times New Roman" w:hAnsi="Times New Roman"/>
                <w:sz w:val="22"/>
              </w:rPr>
              <w:t>the report carries a contractor identifier</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immed_reportable</w:t>
            </w:r>
          </w:p>
        </w:tc>
        <w:tc>
          <w:tcPr>
            <w:tcW w:type="dxa" w:w="2256"/>
          </w:tcPr>
          <w:p>
            <w:pPr>
              <w:spacing w:after="0"/>
              <w:jc w:val="left"/>
            </w:pPr>
            <w:r/>
            <w:r>
              <w:rPr>
                <w:rFonts w:ascii="Times New Roman" w:hAnsi="Times New Roman"/>
                <w:sz w:val="22"/>
              </w:rPr>
              <w:t>the accident was one of the types MSHA must be told of within 15 minutes</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exper_inconsistent</w:t>
            </w:r>
          </w:p>
        </w:tc>
        <w:tc>
          <w:tcPr>
            <w:tcW w:type="dxa" w:w="2256"/>
          </w:tcPr>
          <w:p>
            <w:pPr>
              <w:spacing w:after="0"/>
              <w:jc w:val="left"/>
            </w:pPr>
            <w:r/>
            <w:r>
              <w:rPr>
                <w:rFonts w:ascii="Times New Roman" w:hAnsi="Times New Roman"/>
                <w:sz w:val="22"/>
              </w:rPr>
              <w:t>job or mine experience exceeded total experience before correction</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prev_year_matched</w:t>
            </w:r>
          </w:p>
        </w:tc>
        <w:tc>
          <w:tcPr>
            <w:tcW w:type="dxa" w:w="2256"/>
          </w:tcPr>
          <w:p>
            <w:pPr>
              <w:spacing w:after="0"/>
              <w:jc w:val="left"/>
            </w:pPr>
            <w:r/>
            <w:r>
              <w:rPr>
                <w:rFonts w:ascii="Times New Roman" w:hAnsi="Times New Roman"/>
                <w:sz w:val="22"/>
              </w:rPr>
              <w:t>previous-year production was found for the mine</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tot_exper_missing, accident_hour_missing, hours_into_shift_missing, prev_share_missing, coords_missing</w:t>
            </w:r>
          </w:p>
        </w:tc>
        <w:tc>
          <w:tcPr>
            <w:tcW w:type="dxa" w:w="2256"/>
          </w:tcPr>
          <w:p>
            <w:pPr>
              <w:spacing w:after="0"/>
              <w:jc w:val="left"/>
            </w:pPr>
            <w:r/>
            <w:r>
              <w:rPr>
                <w:rFonts w:ascii="Times New Roman" w:hAnsi="Times New Roman"/>
                <w:sz w:val="22"/>
              </w:rPr>
              <w:t>missing-value indicators for total experience, accident hour, hours into shift, previous-year lost-time share and coordinates</w:t>
            </w:r>
          </w:p>
        </w:tc>
        <w:tc>
          <w:tcPr>
            <w:tcW w:type="dxa" w:w="2256"/>
          </w:tcPr>
          <w:p>
            <w:pPr>
              <w:spacing w:after="0"/>
              <w:jc w:val="left"/>
            </w:pPr>
            <w:r/>
            <w:r>
              <w:rPr>
                <w:rFonts w:ascii="Times New Roman" w:hAnsi="Times New Roman"/>
                <w:sz w:val="22"/>
              </w:rPr>
              <w:t>derived</w:t>
            </w:r>
          </w:p>
        </w:tc>
      </w:tr>
    </w:tbl>
    <w:p>
      <w:pPr>
        <w:spacing w:after="80"/>
      </w:pPr>
    </w:p>
    <w:p>
      <w:pPr>
        <w:pStyle w:val="Heading2"/>
      </w:pPr>
      <w:r>
        <w:rPr>
          <w:rFonts w:ascii="Times New Roman" w:hAnsi="Times New Roman"/>
          <w:b/>
          <w:color w:val="000000"/>
          <w:sz w:val="28"/>
        </w:rPr>
        <w:t>1.4 Aims and objectives</w:t>
      </w:r>
    </w:p>
    <w:p>
      <w:r>
        <w:rPr>
          <w:rFonts w:ascii="Times New Roman" w:hAnsi="Times New Roman"/>
          <w:sz w:val="24"/>
        </w:rPr>
        <w:t>The aim is a calibrated lost-time score at filing that ranks cases better than the hand rule and the lookup baseline, pursued through four objectives. Section 2 describes every model feature on the training rows and ties each skewed, redundant or incomplete feature to a preparation step. Section 3 fits every learned step on training rows only and asserts that no mine-year crosses the split. Section 4 tunes eight algorithms with grouped cross-validation and tests the final model against S1 to S7. Section 5 states the expected cost per 1,000 cases at the cost ratios of Table 1, recall by sector and the limits of both.</w:t>
      </w:r>
    </w:p>
    <w:p>
      <w:r>
        <w:br w:type="page"/>
      </w:r>
    </w:p>
    <w:p>
      <w:pPr>
        <w:pStyle w:val="Heading1"/>
      </w:pPr>
      <w:r>
        <w:rPr>
          <w:rFonts w:ascii="Times New Roman" w:hAnsi="Times New Roman"/>
          <w:b/>
          <w:color w:val="000000"/>
          <w:sz w:val="32"/>
        </w:rPr>
        <w:t>2 Exploratory Data Analysis</w:t>
      </w:r>
    </w:p>
    <w:p>
      <w:pPr>
        <w:pStyle w:val="Heading2"/>
      </w:pPr>
      <w:r>
        <w:rPr>
          <w:rFonts w:ascii="Times New Roman" w:hAnsi="Times New Roman"/>
          <w:b/>
          <w:color w:val="000000"/>
          <w:sz w:val="28"/>
        </w:rPr>
        <w:t>2.1 Summary</w:t>
      </w:r>
    </w:p>
    <w:p>
      <w:r>
        <w:rPr>
          <w:rFonts w:ascii="Times New Roman" w:hAnsi="Times New Roman"/>
          <w:sz w:val="24"/>
        </w:rPr>
        <w:t>Medians, quartiles and box plots were read before any model was fitted (Tukey, 1977), on training rows only except for the target count. The joined table holds 101,609 rows and the 55 features of Table 5, and 48.6% of rows are lost-time cases (Figure 1). Raw experience and exposure measures are right-skewed (Table 6; Figure 2), and previous-year hours and employees measure mine size twice (Figure 3), a problem for logistic regression and naive Bayes. The mine's previous-year lost-time share and the nature of the injury are most associated with the target (Table 7; Figure 4; Figure 5), yet the classes overlap in every two-dimensional view (Figure 6). Lost-time rates differ most across injury natures (Figure 7), and missing values sit mainly in structural placeholders (Figure 8). The skew led to median imputation, log1p features and retained outliers in Section 3 (Figure 9), and two principal components show no linear class separation (Figure 10).</w:t>
      </w:r>
    </w:p>
    <w:p>
      <w:pPr>
        <w:pStyle w:val="Heading2"/>
      </w:pPr>
      <w:r>
        <w:rPr>
          <w:rFonts w:ascii="Times New Roman" w:hAnsi="Times New Roman"/>
          <w:b/>
          <w:color w:val="000000"/>
          <w:sz w:val="28"/>
        </w:rPr>
        <w:t>2.2 Structure, variable types and target</w:t>
      </w:r>
    </w:p>
    <w:p>
      <w:r>
        <w:rPr>
          <w:rFonts w:ascii="Times New Roman" w:hAnsi="Times New Roman"/>
          <w:sz w:val="24"/>
        </w:rPr>
        <w:t>Each row is one injured worker on one Form 7000-1; the statistics describe the 81,289 training rows. I classified every feature by measurement scale, because scale decides the summary statistic, the plot and the encoder (Han et al., 2022); Table 5 gives each type. Categorical features are nominal codes, summarised by mode and level count, except mine_size_band, whose five employee bands are ordinal. The modal nature of injury, sprain or strain, covers 32.4% of rows, and OCCUPATION has 193 levels, which motivated rare-level pooling. Integer-coded weekday and month were also treated as categorical, since their code values carry no magnitude. Type corrections converted numeric text, kept zero-padded codes such as MINE_ID as strings and parsed HHMM clock fields as integers (Section 3.2).</w:t>
      </w:r>
    </w:p>
    <w:p>
      <w:r>
        <w:rPr>
          <w:rFonts w:ascii="Times New Roman" w:hAnsi="Times New Roman"/>
          <w:sz w:val="24"/>
        </w:rPr>
        <w:t>The target lost_time (Section 1.2) is close to balanced, with negatives outnumbering positives by 1.06 to one (Figure 1). The majority-class baseline, predicting no lost time for every case, is correct for 51.4% of cases yet finds none, so accuracy is reported but not used for selection. Resampling methods such as SMOTE target minority classes too rare to learn (He and Garcia, 2009), and this target is not one. The cost gap between a missed lost-time case and an unnecessary review is handled by the decision threshold instead (Section 3.6).</w:t>
      </w:r>
    </w:p>
    <w:p>
      <w:pPr>
        <w:keepNext/>
        <w:jc w:val="center"/>
      </w:pPr>
      <w:r>
        <w:drawing>
          <wp:inline xmlns:a="http://schemas.openxmlformats.org/drawingml/2006/main" xmlns:pic="http://schemas.openxmlformats.org/drawingml/2006/picture">
            <wp:extent cx="3474719" cy="2606040"/>
            <wp:docPr id="1" name="Picture 1" descr="Figure 1. Counts and shares of non-lost-time and lost-time cases for all 101,609 in-scope rows before the split, drawn as a bar chart because two class sizes are compared. Source: author's analysis of MSHA open data." title="Figure 1"/>
            <wp:cNvGraphicFramePr>
              <a:graphicFrameLocks noChangeAspect="1"/>
            </wp:cNvGraphicFramePr>
            <a:graphic>
              <a:graphicData uri="http://schemas.openxmlformats.org/drawingml/2006/picture">
                <pic:pic>
                  <pic:nvPicPr>
                    <pic:cNvPr id="0" name="F02_target_distribution.png"/>
                    <pic:cNvPicPr/>
                  </pic:nvPicPr>
                  <pic:blipFill>
                    <a:blip r:embed="rId11"/>
                    <a:stretch>
                      <a:fillRect/>
                    </a:stretch>
                  </pic:blipFill>
                  <pic:spPr>
                    <a:xfrm>
                      <a:off x="0" y="0"/>
                      <a:ext cx="3474719" cy="2606040"/>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Counts and shares of non-lost-time and lost-time cases for all 101,609 in-scope rows before the split, drawn as a bar chart because two class sizes are compared. Source: author's analysis of MSHA open data.</w:t>
      </w:r>
    </w:p>
    <w:p>
      <w:pPr>
        <w:pStyle w:val="Heading2"/>
      </w:pPr>
      <w:r>
        <w:rPr>
          <w:rFonts w:ascii="Times New Roman" w:hAnsi="Times New Roman"/>
          <w:b/>
          <w:color w:val="000000"/>
          <w:sz w:val="28"/>
        </w:rPr>
        <w:t>2.3 Descriptive statistics and distributions</w:t>
      </w:r>
    </w:p>
    <w:p>
      <w:r>
        <w:rPr>
          <w:rFonts w:ascii="Times New Roman" w:hAnsi="Times New Roman"/>
          <w:sz w:val="24"/>
        </w:rPr>
        <w:t>Table 6 covers the numeric features with the strongest target association or most extreme shape, and Table 22 in Appendix A covers the rest. Measures of centrality diverge under right skew, and total experience has a mean of 9.8 years, a median of 6.0 and a trimmed mean between them. The mean assumes symmetry and is pulled up by long careers, the median ignores how far the tail reaches, and the trimmed mean discards a fifth of the rows to resist both (Bruce et al., 2020). I chose the median as the imputation centre for skewed features. A mean fill would inflate the tenure of unrecorded rows, which are lost-time more often (Section 3.4), so the bias would fall on the costliest misses.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Sample statistics of 12 of the 20 numeric features on the 81,289 training rows; the trimmed mean cuts 10% from each tail, variance and SD (sample standard deviation) use the n - 1 denominator, prev_hours is in thousands of employee-hours, and skewness is read against the bands below 0.5 symmetric, 0.5 to 1 moderate and above 1 high. Source: author's analysis of MSHA open data.</w:t>
      </w:r>
    </w:p>
    <w:tbl>
      <w:tblPr>
        <w:tblStyle w:val="TableGrid"/>
        <w:tblW w:type="auto" w:w="0"/>
        <w:jc w:val="center"/>
        <w:tblLook w:firstColumn="1" w:firstRow="1" w:lastColumn="0" w:lastRow="0" w:noHBand="0" w:noVBand="1" w:val="04A0"/>
      </w:tblPr>
      <w:tblGrid>
        <w:gridCol w:w="694"/>
        <w:gridCol w:w="694"/>
        <w:gridCol w:w="694"/>
        <w:gridCol w:w="694"/>
        <w:gridCol w:w="694"/>
        <w:gridCol w:w="694"/>
        <w:gridCol w:w="694"/>
        <w:gridCol w:w="694"/>
        <w:gridCol w:w="694"/>
        <w:gridCol w:w="694"/>
        <w:gridCol w:w="694"/>
        <w:gridCol w:w="694"/>
        <w:gridCol w:w="694"/>
      </w:tblGrid>
      <w:tr>
        <w:tc>
          <w:tcPr>
            <w:tcW w:type="dxa" w:w="694"/>
            <w:shd w:val="clear" w:color="auto" w:fill="E7E6E6"/>
          </w:tcPr>
          <w:p>
            <w:pPr>
              <w:jc w:val="left"/>
            </w:pPr>
            <w:r>
              <w:rPr>
                <w:b/>
              </w:rPr>
            </w:r>
            <w:r>
              <w:rPr>
                <w:rFonts w:ascii="Times New Roman" w:hAnsi="Times New Roman"/>
                <w:b/>
                <w:sz w:val="22"/>
              </w:rPr>
              <w:t>Feature (unit)</w:t>
            </w:r>
          </w:p>
        </w:tc>
        <w:tc>
          <w:tcPr>
            <w:tcW w:type="dxa" w:w="694"/>
            <w:shd w:val="clear" w:color="auto" w:fill="E7E6E6"/>
          </w:tcPr>
          <w:p>
            <w:pPr>
              <w:jc w:val="left"/>
            </w:pPr>
            <w:r>
              <w:rPr>
                <w:b/>
              </w:rPr>
            </w:r>
            <w:r>
              <w:rPr>
                <w:rFonts w:ascii="Times New Roman" w:hAnsi="Times New Roman"/>
                <w:b/>
                <w:sz w:val="22"/>
              </w:rPr>
              <w:t>Missing %</w:t>
            </w:r>
          </w:p>
        </w:tc>
        <w:tc>
          <w:tcPr>
            <w:tcW w:type="dxa" w:w="694"/>
            <w:shd w:val="clear" w:color="auto" w:fill="E7E6E6"/>
          </w:tcPr>
          <w:p>
            <w:pPr>
              <w:jc w:val="left"/>
            </w:pPr>
            <w:r>
              <w:rPr>
                <w:b/>
              </w:rPr>
            </w:r>
            <w:r>
              <w:rPr>
                <w:rFonts w:ascii="Times New Roman" w:hAnsi="Times New Roman"/>
                <w:b/>
                <w:sz w:val="22"/>
              </w:rPr>
              <w:t>Mean</w:t>
            </w:r>
          </w:p>
        </w:tc>
        <w:tc>
          <w:tcPr>
            <w:tcW w:type="dxa" w:w="694"/>
            <w:shd w:val="clear" w:color="auto" w:fill="E7E6E6"/>
          </w:tcPr>
          <w:p>
            <w:pPr>
              <w:jc w:val="left"/>
            </w:pPr>
            <w:r>
              <w:rPr>
                <w:b/>
              </w:rPr>
            </w:r>
            <w:r>
              <w:rPr>
                <w:rFonts w:ascii="Times New Roman" w:hAnsi="Times New Roman"/>
                <w:b/>
                <w:sz w:val="22"/>
              </w:rPr>
              <w:t>Median</w:t>
            </w:r>
          </w:p>
        </w:tc>
        <w:tc>
          <w:tcPr>
            <w:tcW w:type="dxa" w:w="694"/>
            <w:shd w:val="clear" w:color="auto" w:fill="E7E6E6"/>
          </w:tcPr>
          <w:p>
            <w:pPr>
              <w:jc w:val="left"/>
            </w:pPr>
            <w:r>
              <w:rPr>
                <w:b/>
              </w:rPr>
            </w:r>
            <w:r>
              <w:rPr>
                <w:rFonts w:ascii="Times New Roman" w:hAnsi="Times New Roman"/>
                <w:b/>
                <w:sz w:val="22"/>
              </w:rPr>
              <w:t>Trimmed mean</w:t>
            </w:r>
          </w:p>
        </w:tc>
        <w:tc>
          <w:tcPr>
            <w:tcW w:type="dxa" w:w="694"/>
            <w:shd w:val="clear" w:color="auto" w:fill="E7E6E6"/>
          </w:tcPr>
          <w:p>
            <w:pPr>
              <w:jc w:val="left"/>
            </w:pPr>
            <w:r>
              <w:rPr>
                <w:b/>
              </w:rPr>
            </w:r>
            <w:r>
              <w:rPr>
                <w:rFonts w:ascii="Times New Roman" w:hAnsi="Times New Roman"/>
                <w:b/>
                <w:sz w:val="22"/>
              </w:rPr>
              <w:t>Variance</w:t>
            </w:r>
          </w:p>
        </w:tc>
        <w:tc>
          <w:tcPr>
            <w:tcW w:type="dxa" w:w="694"/>
            <w:shd w:val="clear" w:color="auto" w:fill="E7E6E6"/>
          </w:tcPr>
          <w:p>
            <w:pPr>
              <w:jc w:val="left"/>
            </w:pPr>
            <w:r>
              <w:rPr>
                <w:b/>
              </w:rPr>
            </w:r>
            <w:r>
              <w:rPr>
                <w:rFonts w:ascii="Times New Roman" w:hAnsi="Times New Roman"/>
                <w:b/>
                <w:sz w:val="22"/>
              </w:rPr>
              <w:t>SD</w:t>
            </w:r>
          </w:p>
        </w:tc>
        <w:tc>
          <w:tcPr>
            <w:tcW w:type="dxa" w:w="694"/>
            <w:shd w:val="clear" w:color="auto" w:fill="E7E6E6"/>
          </w:tcPr>
          <w:p>
            <w:pPr>
              <w:jc w:val="left"/>
            </w:pPr>
            <w:r>
              <w:rPr>
                <w:b/>
              </w:rPr>
            </w:r>
            <w:r>
              <w:rPr>
                <w:rFonts w:ascii="Times New Roman" w:hAnsi="Times New Roman"/>
                <w:b/>
                <w:sz w:val="22"/>
              </w:rPr>
              <w:t>Min</w:t>
            </w:r>
          </w:p>
        </w:tc>
        <w:tc>
          <w:tcPr>
            <w:tcW w:type="dxa" w:w="694"/>
            <w:shd w:val="clear" w:color="auto" w:fill="E7E6E6"/>
          </w:tcPr>
          <w:p>
            <w:pPr>
              <w:jc w:val="left"/>
            </w:pPr>
            <w:r>
              <w:rPr>
                <w:b/>
              </w:rPr>
            </w:r>
            <w:r>
              <w:rPr>
                <w:rFonts w:ascii="Times New Roman" w:hAnsi="Times New Roman"/>
                <w:b/>
                <w:sz w:val="22"/>
              </w:rPr>
              <w:t>Q1</w:t>
            </w:r>
          </w:p>
        </w:tc>
        <w:tc>
          <w:tcPr>
            <w:tcW w:type="dxa" w:w="694"/>
            <w:shd w:val="clear" w:color="auto" w:fill="E7E6E6"/>
          </w:tcPr>
          <w:p>
            <w:pPr>
              <w:jc w:val="left"/>
            </w:pPr>
            <w:r>
              <w:rPr>
                <w:b/>
              </w:rPr>
            </w:r>
            <w:r>
              <w:rPr>
                <w:rFonts w:ascii="Times New Roman" w:hAnsi="Times New Roman"/>
                <w:b/>
                <w:sz w:val="22"/>
              </w:rPr>
              <w:t>Q3</w:t>
            </w:r>
          </w:p>
        </w:tc>
        <w:tc>
          <w:tcPr>
            <w:tcW w:type="dxa" w:w="694"/>
            <w:shd w:val="clear" w:color="auto" w:fill="E7E6E6"/>
          </w:tcPr>
          <w:p>
            <w:pPr>
              <w:jc w:val="left"/>
            </w:pPr>
            <w:r>
              <w:rPr>
                <w:b/>
              </w:rPr>
            </w:r>
            <w:r>
              <w:rPr>
                <w:rFonts w:ascii="Times New Roman" w:hAnsi="Times New Roman"/>
                <w:b/>
                <w:sz w:val="22"/>
              </w:rPr>
              <w:t>Max</w:t>
            </w:r>
          </w:p>
        </w:tc>
        <w:tc>
          <w:tcPr>
            <w:tcW w:type="dxa" w:w="694"/>
            <w:shd w:val="clear" w:color="auto" w:fill="E7E6E6"/>
          </w:tcPr>
          <w:p>
            <w:pPr>
              <w:jc w:val="left"/>
            </w:pPr>
            <w:r>
              <w:rPr>
                <w:b/>
              </w:rPr>
            </w:r>
            <w:r>
              <w:rPr>
                <w:rFonts w:ascii="Times New Roman" w:hAnsi="Times New Roman"/>
                <w:b/>
                <w:sz w:val="22"/>
              </w:rPr>
              <w:t>IQR</w:t>
            </w:r>
          </w:p>
        </w:tc>
        <w:tc>
          <w:tcPr>
            <w:tcW w:type="dxa" w:w="694"/>
            <w:shd w:val="clear" w:color="auto" w:fill="E7E6E6"/>
          </w:tcPr>
          <w:p>
            <w:pPr>
              <w:jc w:val="left"/>
            </w:pPr>
            <w:r>
              <w:rPr>
                <w:b/>
              </w:rPr>
            </w:r>
            <w:r>
              <w:rPr>
                <w:rFonts w:ascii="Times New Roman" w:hAnsi="Times New Roman"/>
                <w:b/>
                <w:sz w:val="22"/>
              </w:rPr>
              <w:t>Skewness</w:t>
            </w:r>
          </w:p>
        </w:tc>
      </w:tr>
      <w:tr>
        <w:tc>
          <w:tcPr>
            <w:tcW w:type="dxa" w:w="694"/>
          </w:tcPr>
          <w:p>
            <w:pPr>
              <w:spacing w:after="0"/>
              <w:jc w:val="left"/>
            </w:pPr>
            <w:r/>
            <w:r>
              <w:rPr>
                <w:rFonts w:ascii="Times New Roman" w:hAnsi="Times New Roman"/>
                <w:sz w:val="22"/>
              </w:rPr>
              <w:t>TOT_EXPER (years)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9.8</w:t>
            </w:r>
          </w:p>
        </w:tc>
        <w:tc>
          <w:tcPr>
            <w:tcW w:type="dxa" w:w="694"/>
          </w:tcPr>
          <w:p>
            <w:pPr>
              <w:spacing w:after="0"/>
              <w:jc w:val="left"/>
            </w:pPr>
            <w:r/>
            <w:r>
              <w:rPr>
                <w:rFonts w:ascii="Times New Roman" w:hAnsi="Times New Roman"/>
                <w:sz w:val="22"/>
              </w:rPr>
              <w:t>6.0</w:t>
            </w:r>
          </w:p>
        </w:tc>
        <w:tc>
          <w:tcPr>
            <w:tcW w:type="dxa" w:w="694"/>
          </w:tcPr>
          <w:p>
            <w:pPr>
              <w:spacing w:after="0"/>
              <w:jc w:val="left"/>
            </w:pPr>
            <w:r/>
            <w:r>
              <w:rPr>
                <w:rFonts w:ascii="Times New Roman" w:hAnsi="Times New Roman"/>
                <w:sz w:val="22"/>
              </w:rPr>
              <w:t>8.0</w:t>
            </w:r>
          </w:p>
        </w:tc>
        <w:tc>
          <w:tcPr>
            <w:tcW w:type="dxa" w:w="694"/>
          </w:tcPr>
          <w:p>
            <w:pPr>
              <w:spacing w:after="0"/>
              <w:jc w:val="left"/>
            </w:pPr>
            <w:r/>
            <w:r>
              <w:rPr>
                <w:rFonts w:ascii="Times New Roman" w:hAnsi="Times New Roman"/>
                <w:sz w:val="22"/>
              </w:rPr>
              <w:t>108.6</w:t>
            </w:r>
          </w:p>
        </w:tc>
        <w:tc>
          <w:tcPr>
            <w:tcW w:type="dxa" w:w="694"/>
          </w:tcPr>
          <w:p>
            <w:pPr>
              <w:spacing w:after="0"/>
              <w:jc w:val="left"/>
            </w:pPr>
            <w:r/>
            <w:r>
              <w:rPr>
                <w:rFonts w:ascii="Times New Roman" w:hAnsi="Times New Roman"/>
                <w:sz w:val="22"/>
              </w:rPr>
              <w:t>10.4</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1.9</w:t>
            </w:r>
          </w:p>
        </w:tc>
        <w:tc>
          <w:tcPr>
            <w:tcW w:type="dxa" w:w="694"/>
          </w:tcPr>
          <w:p>
            <w:pPr>
              <w:spacing w:after="0"/>
              <w:jc w:val="left"/>
            </w:pPr>
            <w:r/>
            <w:r>
              <w:rPr>
                <w:rFonts w:ascii="Times New Roman" w:hAnsi="Times New Roman"/>
                <w:sz w:val="22"/>
              </w:rPr>
              <w:t>14.4</w:t>
            </w:r>
          </w:p>
        </w:tc>
        <w:tc>
          <w:tcPr>
            <w:tcW w:type="dxa" w:w="694"/>
          </w:tcPr>
          <w:p>
            <w:pPr>
              <w:spacing w:after="0"/>
              <w:jc w:val="left"/>
            </w:pPr>
            <w:r/>
            <w:r>
              <w:rPr>
                <w:rFonts w:ascii="Times New Roman" w:hAnsi="Times New Roman"/>
                <w:sz w:val="22"/>
              </w:rPr>
              <w:t>60.0</w:t>
            </w:r>
          </w:p>
        </w:tc>
        <w:tc>
          <w:tcPr>
            <w:tcW w:type="dxa" w:w="694"/>
          </w:tcPr>
          <w:p>
            <w:pPr>
              <w:spacing w:after="0"/>
              <w:jc w:val="left"/>
            </w:pPr>
            <w:r/>
            <w:r>
              <w:rPr>
                <w:rFonts w:ascii="Times New Roman" w:hAnsi="Times New Roman"/>
                <w:sz w:val="22"/>
              </w:rPr>
              <w:t>12.5</w:t>
            </w:r>
          </w:p>
        </w:tc>
        <w:tc>
          <w:tcPr>
            <w:tcW w:type="dxa" w:w="694"/>
          </w:tcPr>
          <w:p>
            <w:pPr>
              <w:spacing w:after="0"/>
              <w:jc w:val="left"/>
            </w:pPr>
            <w:r/>
            <w:r>
              <w:rPr>
                <w:rFonts w:ascii="Times New Roman" w:hAnsi="Times New Roman"/>
                <w:sz w:val="22"/>
              </w:rPr>
              <w:t>1.37</w:t>
            </w:r>
          </w:p>
        </w:tc>
      </w:tr>
      <w:tr>
        <w:tc>
          <w:tcPr>
            <w:tcW w:type="dxa" w:w="694"/>
          </w:tcPr>
          <w:p>
            <w:pPr>
              <w:spacing w:after="0"/>
              <w:jc w:val="left"/>
            </w:pPr>
            <w:r/>
            <w:r>
              <w:rPr>
                <w:rFonts w:ascii="Times New Roman" w:hAnsi="Times New Roman"/>
                <w:sz w:val="22"/>
              </w:rPr>
              <w:t>log1p_tot_exper</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1.89</w:t>
            </w:r>
          </w:p>
        </w:tc>
        <w:tc>
          <w:tcPr>
            <w:tcW w:type="dxa" w:w="694"/>
          </w:tcPr>
          <w:p>
            <w:pPr>
              <w:spacing w:after="0"/>
              <w:jc w:val="left"/>
            </w:pPr>
            <w:r/>
            <w:r>
              <w:rPr>
                <w:rFonts w:ascii="Times New Roman" w:hAnsi="Times New Roman"/>
                <w:sz w:val="22"/>
              </w:rPr>
              <w:t>1.95</w:t>
            </w:r>
          </w:p>
        </w:tc>
        <w:tc>
          <w:tcPr>
            <w:tcW w:type="dxa" w:w="694"/>
          </w:tcPr>
          <w:p>
            <w:pPr>
              <w:spacing w:after="0"/>
              <w:jc w:val="left"/>
            </w:pPr>
            <w:r/>
            <w:r>
              <w:rPr>
                <w:rFonts w:ascii="Times New Roman" w:hAnsi="Times New Roman"/>
                <w:sz w:val="22"/>
              </w:rPr>
              <w:t>1.90</w:t>
            </w:r>
          </w:p>
        </w:tc>
        <w:tc>
          <w:tcPr>
            <w:tcW w:type="dxa" w:w="694"/>
          </w:tcPr>
          <w:p>
            <w:pPr>
              <w:spacing w:after="0"/>
              <w:jc w:val="left"/>
            </w:pPr>
            <w:r/>
            <w:r>
              <w:rPr>
                <w:rFonts w:ascii="Times New Roman" w:hAnsi="Times New Roman"/>
                <w:sz w:val="22"/>
              </w:rPr>
              <w:t>1.09</w:t>
            </w:r>
          </w:p>
        </w:tc>
        <w:tc>
          <w:tcPr>
            <w:tcW w:type="dxa" w:w="694"/>
          </w:tcPr>
          <w:p>
            <w:pPr>
              <w:spacing w:after="0"/>
              <w:jc w:val="left"/>
            </w:pPr>
            <w:r/>
            <w:r>
              <w:rPr>
                <w:rFonts w:ascii="Times New Roman" w:hAnsi="Times New Roman"/>
                <w:sz w:val="22"/>
              </w:rPr>
              <w:t>1.04</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1.07</w:t>
            </w:r>
          </w:p>
        </w:tc>
        <w:tc>
          <w:tcPr>
            <w:tcW w:type="dxa" w:w="694"/>
          </w:tcPr>
          <w:p>
            <w:pPr>
              <w:spacing w:after="0"/>
              <w:jc w:val="left"/>
            </w:pPr>
            <w:r/>
            <w:r>
              <w:rPr>
                <w:rFonts w:ascii="Times New Roman" w:hAnsi="Times New Roman"/>
                <w:sz w:val="22"/>
              </w:rPr>
              <w:t>2.74</w:t>
            </w:r>
          </w:p>
        </w:tc>
        <w:tc>
          <w:tcPr>
            <w:tcW w:type="dxa" w:w="694"/>
          </w:tcPr>
          <w:p>
            <w:pPr>
              <w:spacing w:after="0"/>
              <w:jc w:val="left"/>
            </w:pPr>
            <w:r/>
            <w:r>
              <w:rPr>
                <w:rFonts w:ascii="Times New Roman" w:hAnsi="Times New Roman"/>
                <w:sz w:val="22"/>
              </w:rPr>
              <w:t>4.11</w:t>
            </w:r>
          </w:p>
        </w:tc>
        <w:tc>
          <w:tcPr>
            <w:tcW w:type="dxa" w:w="694"/>
          </w:tcPr>
          <w:p>
            <w:pPr>
              <w:spacing w:after="0"/>
              <w:jc w:val="left"/>
            </w:pPr>
            <w:r/>
            <w:r>
              <w:rPr>
                <w:rFonts w:ascii="Times New Roman" w:hAnsi="Times New Roman"/>
                <w:sz w:val="22"/>
              </w:rPr>
              <w:t>1.66</w:t>
            </w:r>
          </w:p>
        </w:tc>
        <w:tc>
          <w:tcPr>
            <w:tcW w:type="dxa" w:w="694"/>
          </w:tcPr>
          <w:p>
            <w:pPr>
              <w:spacing w:after="0"/>
              <w:jc w:val="left"/>
            </w:pPr>
            <w:r/>
            <w:r>
              <w:rPr>
                <w:rFonts w:ascii="Times New Roman" w:hAnsi="Times New Roman"/>
                <w:sz w:val="22"/>
              </w:rPr>
              <w:t>-0.07</w:t>
            </w:r>
          </w:p>
        </w:tc>
      </w:tr>
      <w:tr>
        <w:tc>
          <w:tcPr>
            <w:tcW w:type="dxa" w:w="694"/>
          </w:tcPr>
          <w:p>
            <w:pPr>
              <w:spacing w:after="0"/>
              <w:jc w:val="left"/>
            </w:pPr>
            <w:r/>
            <w:r>
              <w:rPr>
                <w:rFonts w:ascii="Times New Roman" w:hAnsi="Times New Roman"/>
                <w:sz w:val="22"/>
              </w:rPr>
              <w:t>MINE_EXPER (years)</w:t>
            </w:r>
          </w:p>
        </w:tc>
        <w:tc>
          <w:tcPr>
            <w:tcW w:type="dxa" w:w="694"/>
          </w:tcPr>
          <w:p>
            <w:pPr>
              <w:spacing w:after="0"/>
              <w:jc w:val="left"/>
            </w:pPr>
            <w:r/>
            <w:r>
              <w:rPr>
                <w:rFonts w:ascii="Times New Roman" w:hAnsi="Times New Roman"/>
                <w:sz w:val="22"/>
              </w:rPr>
              <w:t>1.4</w:t>
            </w:r>
          </w:p>
        </w:tc>
        <w:tc>
          <w:tcPr>
            <w:tcW w:type="dxa" w:w="694"/>
          </w:tcPr>
          <w:p>
            <w:pPr>
              <w:spacing w:after="0"/>
              <w:jc w:val="left"/>
            </w:pPr>
            <w:r/>
            <w:r>
              <w:rPr>
                <w:rFonts w:ascii="Times New Roman" w:hAnsi="Times New Roman"/>
                <w:sz w:val="22"/>
              </w:rPr>
              <w:t>5.8</w:t>
            </w:r>
          </w:p>
        </w:tc>
        <w:tc>
          <w:tcPr>
            <w:tcW w:type="dxa" w:w="694"/>
          </w:tcPr>
          <w:p>
            <w:pPr>
              <w:spacing w:after="0"/>
              <w:jc w:val="left"/>
            </w:pPr>
            <w:r/>
            <w:r>
              <w:rPr>
                <w:rFonts w:ascii="Times New Roman" w:hAnsi="Times New Roman"/>
                <w:sz w:val="22"/>
              </w:rPr>
              <w:t>2.6</w:t>
            </w:r>
          </w:p>
        </w:tc>
        <w:tc>
          <w:tcPr>
            <w:tcW w:type="dxa" w:w="694"/>
          </w:tcPr>
          <w:p>
            <w:pPr>
              <w:spacing w:after="0"/>
              <w:jc w:val="left"/>
            </w:pPr>
            <w:r/>
            <w:r>
              <w:rPr>
                <w:rFonts w:ascii="Times New Roman" w:hAnsi="Times New Roman"/>
                <w:sz w:val="22"/>
              </w:rPr>
              <w:t>4.0</w:t>
            </w:r>
          </w:p>
        </w:tc>
        <w:tc>
          <w:tcPr>
            <w:tcW w:type="dxa" w:w="694"/>
          </w:tcPr>
          <w:p>
            <w:pPr>
              <w:spacing w:after="0"/>
              <w:jc w:val="left"/>
            </w:pPr>
            <w:r/>
            <w:r>
              <w:rPr>
                <w:rFonts w:ascii="Times New Roman" w:hAnsi="Times New Roman"/>
                <w:sz w:val="22"/>
              </w:rPr>
              <w:t>64.6</w:t>
            </w:r>
          </w:p>
        </w:tc>
        <w:tc>
          <w:tcPr>
            <w:tcW w:type="dxa" w:w="694"/>
          </w:tcPr>
          <w:p>
            <w:pPr>
              <w:spacing w:after="0"/>
              <w:jc w:val="left"/>
            </w:pPr>
            <w:r/>
            <w:r>
              <w:rPr>
                <w:rFonts w:ascii="Times New Roman" w:hAnsi="Times New Roman"/>
                <w:sz w:val="22"/>
              </w:rPr>
              <w:t>8.0</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0.7</w:t>
            </w:r>
          </w:p>
        </w:tc>
        <w:tc>
          <w:tcPr>
            <w:tcW w:type="dxa" w:w="694"/>
          </w:tcPr>
          <w:p>
            <w:pPr>
              <w:spacing w:after="0"/>
              <w:jc w:val="left"/>
            </w:pPr>
            <w:r/>
            <w:r>
              <w:rPr>
                <w:rFonts w:ascii="Times New Roman" w:hAnsi="Times New Roman"/>
                <w:sz w:val="22"/>
              </w:rPr>
              <w:t>7.5</w:t>
            </w:r>
          </w:p>
        </w:tc>
        <w:tc>
          <w:tcPr>
            <w:tcW w:type="dxa" w:w="694"/>
          </w:tcPr>
          <w:p>
            <w:pPr>
              <w:spacing w:after="0"/>
              <w:jc w:val="left"/>
            </w:pPr>
            <w:r/>
            <w:r>
              <w:rPr>
                <w:rFonts w:ascii="Times New Roman" w:hAnsi="Times New Roman"/>
                <w:sz w:val="22"/>
              </w:rPr>
              <w:t>58.0</w:t>
            </w:r>
          </w:p>
        </w:tc>
        <w:tc>
          <w:tcPr>
            <w:tcW w:type="dxa" w:w="694"/>
          </w:tcPr>
          <w:p>
            <w:pPr>
              <w:spacing w:after="0"/>
              <w:jc w:val="left"/>
            </w:pPr>
            <w:r/>
            <w:r>
              <w:rPr>
                <w:rFonts w:ascii="Times New Roman" w:hAnsi="Times New Roman"/>
                <w:sz w:val="22"/>
              </w:rPr>
              <w:t>6.8</w:t>
            </w:r>
          </w:p>
        </w:tc>
        <w:tc>
          <w:tcPr>
            <w:tcW w:type="dxa" w:w="694"/>
          </w:tcPr>
          <w:p>
            <w:pPr>
              <w:spacing w:after="0"/>
              <w:jc w:val="left"/>
            </w:pPr>
            <w:r/>
            <w:r>
              <w:rPr>
                <w:rFonts w:ascii="Times New Roman" w:hAnsi="Times New Roman"/>
                <w:sz w:val="22"/>
              </w:rPr>
              <w:t>2.25</w:t>
            </w:r>
          </w:p>
        </w:tc>
      </w:tr>
      <w:tr>
        <w:tc>
          <w:tcPr>
            <w:tcW w:type="dxa" w:w="694"/>
          </w:tcPr>
          <w:p>
            <w:pPr>
              <w:spacing w:after="0"/>
              <w:jc w:val="left"/>
            </w:pPr>
            <w:r/>
            <w:r>
              <w:rPr>
                <w:rFonts w:ascii="Times New Roman" w:hAnsi="Times New Roman"/>
                <w:sz w:val="22"/>
              </w:rPr>
              <w:t>JOB_EXPER (years)</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6.2</w:t>
            </w:r>
          </w:p>
        </w:tc>
        <w:tc>
          <w:tcPr>
            <w:tcW w:type="dxa" w:w="694"/>
          </w:tcPr>
          <w:p>
            <w:pPr>
              <w:spacing w:after="0"/>
              <w:jc w:val="left"/>
            </w:pPr>
            <w:r/>
            <w:r>
              <w:rPr>
                <w:rFonts w:ascii="Times New Roman" w:hAnsi="Times New Roman"/>
                <w:sz w:val="22"/>
              </w:rPr>
              <w:t>3.0</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65.0</w:t>
            </w:r>
          </w:p>
        </w:tc>
        <w:tc>
          <w:tcPr>
            <w:tcW w:type="dxa" w:w="694"/>
          </w:tcPr>
          <w:p>
            <w:pPr>
              <w:spacing w:after="0"/>
              <w:jc w:val="left"/>
            </w:pPr>
            <w:r/>
            <w:r>
              <w:rPr>
                <w:rFonts w:ascii="Times New Roman" w:hAnsi="Times New Roman"/>
                <w:sz w:val="22"/>
              </w:rPr>
              <w:t>8.1</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0.9</w:t>
            </w:r>
          </w:p>
        </w:tc>
        <w:tc>
          <w:tcPr>
            <w:tcW w:type="dxa" w:w="694"/>
          </w:tcPr>
          <w:p>
            <w:pPr>
              <w:spacing w:after="0"/>
              <w:jc w:val="left"/>
            </w:pPr>
            <w:r/>
            <w:r>
              <w:rPr>
                <w:rFonts w:ascii="Times New Roman" w:hAnsi="Times New Roman"/>
                <w:sz w:val="22"/>
              </w:rPr>
              <w:t>8.1</w:t>
            </w:r>
          </w:p>
        </w:tc>
        <w:tc>
          <w:tcPr>
            <w:tcW w:type="dxa" w:w="694"/>
          </w:tcPr>
          <w:p>
            <w:pPr>
              <w:spacing w:after="0"/>
              <w:jc w:val="left"/>
            </w:pPr>
            <w:r/>
            <w:r>
              <w:rPr>
                <w:rFonts w:ascii="Times New Roman" w:hAnsi="Times New Roman"/>
                <w:sz w:val="22"/>
              </w:rPr>
              <w:t>60.0</w:t>
            </w:r>
          </w:p>
        </w:tc>
        <w:tc>
          <w:tcPr>
            <w:tcW w:type="dxa" w:w="694"/>
          </w:tcPr>
          <w:p>
            <w:pPr>
              <w:spacing w:after="0"/>
              <w:jc w:val="left"/>
            </w:pPr>
            <w:r/>
            <w:r>
              <w:rPr>
                <w:rFonts w:ascii="Times New Roman" w:hAnsi="Times New Roman"/>
                <w:sz w:val="22"/>
              </w:rPr>
              <w:t>7.1</w:t>
            </w:r>
          </w:p>
        </w:tc>
        <w:tc>
          <w:tcPr>
            <w:tcW w:type="dxa" w:w="694"/>
          </w:tcPr>
          <w:p>
            <w:pPr>
              <w:spacing w:after="0"/>
              <w:jc w:val="left"/>
            </w:pPr>
            <w:r/>
            <w:r>
              <w:rPr>
                <w:rFonts w:ascii="Times New Roman" w:hAnsi="Times New Roman"/>
                <w:sz w:val="22"/>
              </w:rPr>
              <w:t>2.09</w:t>
            </w:r>
          </w:p>
        </w:tc>
      </w:tr>
      <w:tr>
        <w:tc>
          <w:tcPr>
            <w:tcW w:type="dxa" w:w="694"/>
          </w:tcPr>
          <w:p>
            <w:pPr>
              <w:spacing w:after="0"/>
              <w:jc w:val="left"/>
            </w:pPr>
            <w:r/>
            <w:r>
              <w:rPr>
                <w:rFonts w:ascii="Times New Roman" w:hAnsi="Times New Roman"/>
                <w:sz w:val="22"/>
              </w:rPr>
              <w:t>exper_ratio_mine (ratio)</w:t>
            </w:r>
          </w:p>
        </w:tc>
        <w:tc>
          <w:tcPr>
            <w:tcW w:type="dxa" w:w="694"/>
          </w:tcPr>
          <w:p>
            <w:pPr>
              <w:spacing w:after="0"/>
              <w:jc w:val="left"/>
            </w:pPr>
            <w:r/>
            <w:r>
              <w:rPr>
                <w:rFonts w:ascii="Times New Roman" w:hAnsi="Times New Roman"/>
                <w:sz w:val="22"/>
              </w:rPr>
              <w:t>1.7</w:t>
            </w:r>
          </w:p>
        </w:tc>
        <w:tc>
          <w:tcPr>
            <w:tcW w:type="dxa" w:w="694"/>
          </w:tcPr>
          <w:p>
            <w:pPr>
              <w:spacing w:after="0"/>
              <w:jc w:val="left"/>
            </w:pPr>
            <w:r/>
            <w:r>
              <w:rPr>
                <w:rFonts w:ascii="Times New Roman" w:hAnsi="Times New Roman"/>
                <w:sz w:val="22"/>
              </w:rPr>
              <w:t>0.72</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0.77</w:t>
            </w:r>
          </w:p>
        </w:tc>
        <w:tc>
          <w:tcPr>
            <w:tcW w:type="dxa" w:w="694"/>
          </w:tcPr>
          <w:p>
            <w:pPr>
              <w:spacing w:after="0"/>
              <w:jc w:val="left"/>
            </w:pPr>
            <w:r/>
            <w:r>
              <w:rPr>
                <w:rFonts w:ascii="Times New Roman" w:hAnsi="Times New Roman"/>
                <w:sz w:val="22"/>
              </w:rPr>
              <w:t>0.15</w:t>
            </w:r>
          </w:p>
        </w:tc>
        <w:tc>
          <w:tcPr>
            <w:tcW w:type="dxa" w:w="694"/>
          </w:tcPr>
          <w:p>
            <w:pPr>
              <w:spacing w:after="0"/>
              <w:jc w:val="left"/>
            </w:pPr>
            <w:r/>
            <w:r>
              <w:rPr>
                <w:rFonts w:ascii="Times New Roman" w:hAnsi="Times New Roman"/>
                <w:sz w:val="22"/>
              </w:rPr>
              <w:t>0.38</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0.33</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0.67</w:t>
            </w:r>
          </w:p>
        </w:tc>
        <w:tc>
          <w:tcPr>
            <w:tcW w:type="dxa" w:w="694"/>
          </w:tcPr>
          <w:p>
            <w:pPr>
              <w:spacing w:after="0"/>
              <w:jc w:val="left"/>
            </w:pPr>
            <w:r/>
            <w:r>
              <w:rPr>
                <w:rFonts w:ascii="Times New Roman" w:hAnsi="Times New Roman"/>
                <w:sz w:val="22"/>
              </w:rPr>
              <w:t>-0.83</w:t>
            </w:r>
          </w:p>
        </w:tc>
      </w:tr>
      <w:tr>
        <w:tc>
          <w:tcPr>
            <w:tcW w:type="dxa" w:w="694"/>
          </w:tcPr>
          <w:p>
            <w:pPr>
              <w:spacing w:after="0"/>
              <w:jc w:val="left"/>
            </w:pPr>
            <w:r/>
            <w:r>
              <w:rPr>
                <w:rFonts w:ascii="Times New Roman" w:hAnsi="Times New Roman"/>
                <w:sz w:val="22"/>
              </w:rPr>
              <w:t>hours_into_shift (hours)</w:t>
            </w:r>
          </w:p>
        </w:tc>
        <w:tc>
          <w:tcPr>
            <w:tcW w:type="dxa" w:w="694"/>
          </w:tcPr>
          <w:p>
            <w:pPr>
              <w:spacing w:after="0"/>
              <w:jc w:val="left"/>
            </w:pPr>
            <w:r/>
            <w:r>
              <w:rPr>
                <w:rFonts w:ascii="Times New Roman" w:hAnsi="Times New Roman"/>
                <w:sz w:val="22"/>
              </w:rPr>
              <w:t>3.8</w:t>
            </w:r>
          </w:p>
        </w:tc>
        <w:tc>
          <w:tcPr>
            <w:tcW w:type="dxa" w:w="694"/>
          </w:tcPr>
          <w:p>
            <w:pPr>
              <w:spacing w:after="0"/>
              <w:jc w:val="left"/>
            </w:pPr>
            <w:r/>
            <w:r>
              <w:rPr>
                <w:rFonts w:ascii="Times New Roman" w:hAnsi="Times New Roman"/>
                <w:sz w:val="22"/>
              </w:rPr>
              <w:t>4.8</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4.7</w:t>
            </w:r>
          </w:p>
        </w:tc>
        <w:tc>
          <w:tcPr>
            <w:tcW w:type="dxa" w:w="694"/>
          </w:tcPr>
          <w:p>
            <w:pPr>
              <w:spacing w:after="0"/>
              <w:jc w:val="left"/>
            </w:pPr>
            <w:r/>
            <w:r>
              <w:rPr>
                <w:rFonts w:ascii="Times New Roman" w:hAnsi="Times New Roman"/>
                <w:sz w:val="22"/>
              </w:rPr>
              <w:t>8.4</w:t>
            </w:r>
          </w:p>
        </w:tc>
        <w:tc>
          <w:tcPr>
            <w:tcW w:type="dxa" w:w="694"/>
          </w:tcPr>
          <w:p>
            <w:pPr>
              <w:spacing w:after="0"/>
              <w:jc w:val="left"/>
            </w:pPr>
            <w:r/>
            <w:r>
              <w:rPr>
                <w:rFonts w:ascii="Times New Roman" w:hAnsi="Times New Roman"/>
                <w:sz w:val="22"/>
              </w:rPr>
              <w:t>2.9</w:t>
            </w:r>
          </w:p>
        </w:tc>
        <w:tc>
          <w:tcPr>
            <w:tcW w:type="dxa" w:w="694"/>
          </w:tcPr>
          <w:p>
            <w:pPr>
              <w:spacing w:after="0"/>
              <w:jc w:val="left"/>
            </w:pPr>
            <w:r/>
            <w:r>
              <w:rPr>
                <w:rFonts w:ascii="Times New Roman" w:hAnsi="Times New Roman"/>
                <w:sz w:val="22"/>
              </w:rPr>
              <w:t>0.0</w:t>
            </w:r>
          </w:p>
        </w:tc>
        <w:tc>
          <w:tcPr>
            <w:tcW w:type="dxa" w:w="694"/>
          </w:tcPr>
          <w:p>
            <w:pPr>
              <w:spacing w:after="0"/>
              <w:jc w:val="left"/>
            </w:pPr>
            <w:r/>
            <w:r>
              <w:rPr>
                <w:rFonts w:ascii="Times New Roman" w:hAnsi="Times New Roman"/>
                <w:sz w:val="22"/>
              </w:rPr>
              <w:t>2.5</w:t>
            </w:r>
          </w:p>
        </w:tc>
        <w:tc>
          <w:tcPr>
            <w:tcW w:type="dxa" w:w="694"/>
          </w:tcPr>
          <w:p>
            <w:pPr>
              <w:spacing w:after="0"/>
              <w:jc w:val="left"/>
            </w:pPr>
            <w:r/>
            <w:r>
              <w:rPr>
                <w:rFonts w:ascii="Times New Roman" w:hAnsi="Times New Roman"/>
                <w:sz w:val="22"/>
              </w:rPr>
              <w:t>7.0</w:t>
            </w:r>
          </w:p>
        </w:tc>
        <w:tc>
          <w:tcPr>
            <w:tcW w:type="dxa" w:w="694"/>
          </w:tcPr>
          <w:p>
            <w:pPr>
              <w:spacing w:after="0"/>
              <w:jc w:val="left"/>
            </w:pPr>
            <w:r/>
            <w:r>
              <w:rPr>
                <w:rFonts w:ascii="Times New Roman" w:hAnsi="Times New Roman"/>
                <w:sz w:val="22"/>
              </w:rPr>
              <w:t>16.0</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0.42</w:t>
            </w:r>
          </w:p>
        </w:tc>
      </w:tr>
      <w:tr>
        <w:tc>
          <w:tcPr>
            <w:tcW w:type="dxa" w:w="694"/>
          </w:tcPr>
          <w:p>
            <w:pPr>
              <w:spacing w:after="0"/>
              <w:jc w:val="left"/>
            </w:pPr>
            <w:r/>
            <w:r>
              <w:rPr>
                <w:rFonts w:ascii="Times New Roman" w:hAnsi="Times New Roman"/>
                <w:sz w:val="22"/>
              </w:rPr>
              <w:t>longitude (degrees)</w:t>
            </w:r>
          </w:p>
        </w:tc>
        <w:tc>
          <w:tcPr>
            <w:tcW w:type="dxa" w:w="694"/>
          </w:tcPr>
          <w:p>
            <w:pPr>
              <w:spacing w:after="0"/>
              <w:jc w:val="left"/>
            </w:pPr>
            <w:r/>
            <w:r>
              <w:rPr>
                <w:rFonts w:ascii="Times New Roman" w:hAnsi="Times New Roman"/>
                <w:sz w:val="22"/>
              </w:rPr>
              <w:t>0.2</w:t>
            </w:r>
          </w:p>
        </w:tc>
        <w:tc>
          <w:tcPr>
            <w:tcW w:type="dxa" w:w="694"/>
          </w:tcPr>
          <w:p>
            <w:pPr>
              <w:spacing w:after="0"/>
              <w:jc w:val="left"/>
            </w:pPr>
            <w:r/>
            <w:r>
              <w:rPr>
                <w:rFonts w:ascii="Times New Roman" w:hAnsi="Times New Roman"/>
                <w:sz w:val="22"/>
              </w:rPr>
              <w:t>-92.6</w:t>
            </w:r>
          </w:p>
        </w:tc>
        <w:tc>
          <w:tcPr>
            <w:tcW w:type="dxa" w:w="694"/>
          </w:tcPr>
          <w:p>
            <w:pPr>
              <w:spacing w:after="0"/>
              <w:jc w:val="left"/>
            </w:pPr>
            <w:r/>
            <w:r>
              <w:rPr>
                <w:rFonts w:ascii="Times New Roman" w:hAnsi="Times New Roman"/>
                <w:sz w:val="22"/>
              </w:rPr>
              <w:t>-87.5</w:t>
            </w:r>
          </w:p>
        </w:tc>
        <w:tc>
          <w:tcPr>
            <w:tcW w:type="dxa" w:w="694"/>
          </w:tcPr>
          <w:p>
            <w:pPr>
              <w:spacing w:after="0"/>
              <w:jc w:val="left"/>
            </w:pPr>
            <w:r/>
            <w:r>
              <w:rPr>
                <w:rFonts w:ascii="Times New Roman" w:hAnsi="Times New Roman"/>
                <w:sz w:val="22"/>
              </w:rPr>
              <w:t>-90.9</w:t>
            </w:r>
          </w:p>
        </w:tc>
        <w:tc>
          <w:tcPr>
            <w:tcW w:type="dxa" w:w="694"/>
          </w:tcPr>
          <w:p>
            <w:pPr>
              <w:spacing w:after="0"/>
              <w:jc w:val="left"/>
            </w:pPr>
            <w:r/>
            <w:r>
              <w:rPr>
                <w:rFonts w:ascii="Times New Roman" w:hAnsi="Times New Roman"/>
                <w:sz w:val="22"/>
              </w:rPr>
              <w:t>217.9</w:t>
            </w:r>
          </w:p>
        </w:tc>
        <w:tc>
          <w:tcPr>
            <w:tcW w:type="dxa" w:w="694"/>
          </w:tcPr>
          <w:p>
            <w:pPr>
              <w:spacing w:after="0"/>
              <w:jc w:val="left"/>
            </w:pPr>
            <w:r/>
            <w:r>
              <w:rPr>
                <w:rFonts w:ascii="Times New Roman" w:hAnsi="Times New Roman"/>
                <w:sz w:val="22"/>
              </w:rPr>
              <w:t>14.8</w:t>
            </w:r>
          </w:p>
        </w:tc>
        <w:tc>
          <w:tcPr>
            <w:tcW w:type="dxa" w:w="694"/>
          </w:tcPr>
          <w:p>
            <w:pPr>
              <w:spacing w:after="0"/>
              <w:jc w:val="left"/>
            </w:pPr>
            <w:r/>
            <w:r>
              <w:rPr>
                <w:rFonts w:ascii="Times New Roman" w:hAnsi="Times New Roman"/>
                <w:sz w:val="22"/>
              </w:rPr>
              <w:t>-166.6</w:t>
            </w:r>
          </w:p>
        </w:tc>
        <w:tc>
          <w:tcPr>
            <w:tcW w:type="dxa" w:w="694"/>
          </w:tcPr>
          <w:p>
            <w:pPr>
              <w:spacing w:after="0"/>
              <w:jc w:val="left"/>
            </w:pPr>
            <w:r/>
            <w:r>
              <w:rPr>
                <w:rFonts w:ascii="Times New Roman" w:hAnsi="Times New Roman"/>
                <w:sz w:val="22"/>
              </w:rPr>
              <w:t>-104.0</w:t>
            </w:r>
          </w:p>
        </w:tc>
        <w:tc>
          <w:tcPr>
            <w:tcW w:type="dxa" w:w="694"/>
          </w:tcPr>
          <w:p>
            <w:pPr>
              <w:spacing w:after="0"/>
              <w:jc w:val="left"/>
            </w:pPr>
            <w:r/>
            <w:r>
              <w:rPr>
                <w:rFonts w:ascii="Times New Roman" w:hAnsi="Times New Roman"/>
                <w:sz w:val="22"/>
              </w:rPr>
              <w:t>-81.5</w:t>
            </w:r>
          </w:p>
        </w:tc>
        <w:tc>
          <w:tcPr>
            <w:tcW w:type="dxa" w:w="694"/>
          </w:tcPr>
          <w:p>
            <w:pPr>
              <w:spacing w:after="0"/>
              <w:jc w:val="left"/>
            </w:pPr>
            <w:r/>
            <w:r>
              <w:rPr>
                <w:rFonts w:ascii="Times New Roman" w:hAnsi="Times New Roman"/>
                <w:sz w:val="22"/>
              </w:rPr>
              <w:t>-64.9</w:t>
            </w:r>
          </w:p>
        </w:tc>
        <w:tc>
          <w:tcPr>
            <w:tcW w:type="dxa" w:w="694"/>
          </w:tcPr>
          <w:p>
            <w:pPr>
              <w:spacing w:after="0"/>
              <w:jc w:val="left"/>
            </w:pPr>
            <w:r/>
            <w:r>
              <w:rPr>
                <w:rFonts w:ascii="Times New Roman" w:hAnsi="Times New Roman"/>
                <w:sz w:val="22"/>
              </w:rPr>
              <w:t>22.5</w:t>
            </w:r>
          </w:p>
        </w:tc>
        <w:tc>
          <w:tcPr>
            <w:tcW w:type="dxa" w:w="694"/>
          </w:tcPr>
          <w:p>
            <w:pPr>
              <w:spacing w:after="0"/>
              <w:jc w:val="left"/>
            </w:pPr>
            <w:r/>
            <w:r>
              <w:rPr>
                <w:rFonts w:ascii="Times New Roman" w:hAnsi="Times New Roman"/>
                <w:sz w:val="22"/>
              </w:rPr>
              <w:t>-1.20</w:t>
            </w:r>
          </w:p>
        </w:tc>
      </w:tr>
      <w:tr>
        <w:tc>
          <w:tcPr>
            <w:tcW w:type="dxa" w:w="694"/>
          </w:tcPr>
          <w:p>
            <w:pPr>
              <w:spacing w:after="0"/>
              <w:jc w:val="left"/>
            </w:pPr>
            <w:r/>
            <w:r>
              <w:rPr>
                <w:rFonts w:ascii="Times New Roman" w:hAnsi="Times New Roman"/>
                <w:sz w:val="22"/>
              </w:rPr>
              <w:t>prev_hours (thousand hours)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612.7</w:t>
            </w:r>
          </w:p>
        </w:tc>
        <w:tc>
          <w:tcPr>
            <w:tcW w:type="dxa" w:w="694"/>
          </w:tcPr>
          <w:p>
            <w:pPr>
              <w:spacing w:after="0"/>
              <w:jc w:val="left"/>
            </w:pPr>
            <w:r/>
            <w:r>
              <w:rPr>
                <w:rFonts w:ascii="Times New Roman" w:hAnsi="Times New Roman"/>
                <w:sz w:val="22"/>
              </w:rPr>
              <w:t>247.0</w:t>
            </w:r>
          </w:p>
        </w:tc>
        <w:tc>
          <w:tcPr>
            <w:tcW w:type="dxa" w:w="694"/>
          </w:tcPr>
          <w:p>
            <w:pPr>
              <w:spacing w:after="0"/>
              <w:jc w:val="left"/>
            </w:pPr>
            <w:r/>
            <w:r>
              <w:rPr>
                <w:rFonts w:ascii="Times New Roman" w:hAnsi="Times New Roman"/>
                <w:sz w:val="22"/>
              </w:rPr>
              <w:t>413.6</w:t>
            </w:r>
          </w:p>
        </w:tc>
        <w:tc>
          <w:tcPr>
            <w:tcW w:type="dxa" w:w="694"/>
          </w:tcPr>
          <w:p>
            <w:pPr>
              <w:spacing w:after="0"/>
              <w:jc w:val="left"/>
            </w:pPr>
            <w:r/>
            <w:r>
              <w:rPr>
                <w:rFonts w:ascii="Times New Roman" w:hAnsi="Times New Roman"/>
                <w:sz w:val="22"/>
              </w:rPr>
              <w:t>1,044,971</w:t>
            </w:r>
          </w:p>
        </w:tc>
        <w:tc>
          <w:tcPr>
            <w:tcW w:type="dxa" w:w="694"/>
          </w:tcPr>
          <w:p>
            <w:pPr>
              <w:spacing w:after="0"/>
              <w:jc w:val="left"/>
            </w:pPr>
            <w:r/>
            <w:r>
              <w:rPr>
                <w:rFonts w:ascii="Times New Roman" w:hAnsi="Times New Roman"/>
                <w:sz w:val="22"/>
              </w:rPr>
              <w:t>1,022.2</w:t>
            </w:r>
          </w:p>
        </w:tc>
        <w:tc>
          <w:tcPr>
            <w:tcW w:type="dxa" w:w="694"/>
          </w:tcPr>
          <w:p>
            <w:pPr>
              <w:spacing w:after="0"/>
              <w:jc w:val="left"/>
            </w:pPr>
            <w:r/>
            <w:r>
              <w:rPr>
                <w:rFonts w:ascii="Times New Roman" w:hAnsi="Times New Roman"/>
                <w:sz w:val="22"/>
              </w:rPr>
              <w:t>0.001</w:t>
            </w:r>
          </w:p>
        </w:tc>
        <w:tc>
          <w:tcPr>
            <w:tcW w:type="dxa" w:w="694"/>
          </w:tcPr>
          <w:p>
            <w:pPr>
              <w:spacing w:after="0"/>
              <w:jc w:val="left"/>
            </w:pPr>
            <w:r/>
            <w:r>
              <w:rPr>
                <w:rFonts w:ascii="Times New Roman" w:hAnsi="Times New Roman"/>
                <w:sz w:val="22"/>
              </w:rPr>
              <w:t>69.6</w:t>
            </w:r>
          </w:p>
        </w:tc>
        <w:tc>
          <w:tcPr>
            <w:tcW w:type="dxa" w:w="694"/>
          </w:tcPr>
          <w:p>
            <w:pPr>
              <w:spacing w:after="0"/>
              <w:jc w:val="left"/>
            </w:pPr>
            <w:r/>
            <w:r>
              <w:rPr>
                <w:rFonts w:ascii="Times New Roman" w:hAnsi="Times New Roman"/>
                <w:sz w:val="22"/>
              </w:rPr>
              <w:t>829.6</w:t>
            </w:r>
          </w:p>
        </w:tc>
        <w:tc>
          <w:tcPr>
            <w:tcW w:type="dxa" w:w="694"/>
          </w:tcPr>
          <w:p>
            <w:pPr>
              <w:spacing w:after="0"/>
              <w:jc w:val="left"/>
            </w:pPr>
            <w:r/>
            <w:r>
              <w:rPr>
                <w:rFonts w:ascii="Times New Roman" w:hAnsi="Times New Roman"/>
                <w:sz w:val="22"/>
              </w:rPr>
              <w:t>7,735.3</w:t>
            </w:r>
          </w:p>
        </w:tc>
        <w:tc>
          <w:tcPr>
            <w:tcW w:type="dxa" w:w="694"/>
          </w:tcPr>
          <w:p>
            <w:pPr>
              <w:spacing w:after="0"/>
              <w:jc w:val="left"/>
            </w:pPr>
            <w:r/>
            <w:r>
              <w:rPr>
                <w:rFonts w:ascii="Times New Roman" w:hAnsi="Times New Roman"/>
                <w:sz w:val="22"/>
              </w:rPr>
              <w:t>760.0</w:t>
            </w:r>
          </w:p>
        </w:tc>
        <w:tc>
          <w:tcPr>
            <w:tcW w:type="dxa" w:w="694"/>
          </w:tcPr>
          <w:p>
            <w:pPr>
              <w:spacing w:after="0"/>
              <w:jc w:val="left"/>
            </w:pPr>
            <w:r/>
            <w:r>
              <w:rPr>
                <w:rFonts w:ascii="Times New Roman" w:hAnsi="Times New Roman"/>
                <w:sz w:val="22"/>
              </w:rPr>
              <w:t>4.27</w:t>
            </w:r>
          </w:p>
        </w:tc>
      </w:tr>
      <w:tr>
        <w:tc>
          <w:tcPr>
            <w:tcW w:type="dxa" w:w="694"/>
          </w:tcPr>
          <w:p>
            <w:pPr>
              <w:spacing w:after="0"/>
              <w:jc w:val="left"/>
            </w:pPr>
            <w:r/>
            <w:r>
              <w:rPr>
                <w:rFonts w:ascii="Times New Roman" w:hAnsi="Times New Roman"/>
                <w:sz w:val="22"/>
              </w:rPr>
              <w:t>prev_employees (persons)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281.6</w:t>
            </w:r>
          </w:p>
        </w:tc>
        <w:tc>
          <w:tcPr>
            <w:tcW w:type="dxa" w:w="694"/>
          </w:tcPr>
          <w:p>
            <w:pPr>
              <w:spacing w:after="0"/>
              <w:jc w:val="left"/>
            </w:pPr>
            <w:r/>
            <w:r>
              <w:rPr>
                <w:rFonts w:ascii="Times New Roman" w:hAnsi="Times New Roman"/>
                <w:sz w:val="22"/>
              </w:rPr>
              <w:t>113.0</w:t>
            </w:r>
          </w:p>
        </w:tc>
        <w:tc>
          <w:tcPr>
            <w:tcW w:type="dxa" w:w="694"/>
          </w:tcPr>
          <w:p>
            <w:pPr>
              <w:spacing w:after="0"/>
              <w:jc w:val="left"/>
            </w:pPr>
            <w:r/>
            <w:r>
              <w:rPr>
                <w:rFonts w:ascii="Times New Roman" w:hAnsi="Times New Roman"/>
                <w:sz w:val="22"/>
              </w:rPr>
              <w:t>186.4</w:t>
            </w:r>
          </w:p>
        </w:tc>
        <w:tc>
          <w:tcPr>
            <w:tcW w:type="dxa" w:w="694"/>
          </w:tcPr>
          <w:p>
            <w:pPr>
              <w:spacing w:after="0"/>
              <w:jc w:val="left"/>
            </w:pPr>
            <w:r/>
            <w:r>
              <w:rPr>
                <w:rFonts w:ascii="Times New Roman" w:hAnsi="Times New Roman"/>
                <w:sz w:val="22"/>
              </w:rPr>
              <w:t>239,644</w:t>
            </w:r>
          </w:p>
        </w:tc>
        <w:tc>
          <w:tcPr>
            <w:tcW w:type="dxa" w:w="694"/>
          </w:tcPr>
          <w:p>
            <w:pPr>
              <w:spacing w:after="0"/>
              <w:jc w:val="left"/>
            </w:pPr>
            <w:r/>
            <w:r>
              <w:rPr>
                <w:rFonts w:ascii="Times New Roman" w:hAnsi="Times New Roman"/>
                <w:sz w:val="22"/>
              </w:rPr>
              <w:t>489.5</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33</w:t>
            </w:r>
          </w:p>
        </w:tc>
        <w:tc>
          <w:tcPr>
            <w:tcW w:type="dxa" w:w="694"/>
          </w:tcPr>
          <w:p>
            <w:pPr>
              <w:spacing w:after="0"/>
              <w:jc w:val="left"/>
            </w:pPr>
            <w:r/>
            <w:r>
              <w:rPr>
                <w:rFonts w:ascii="Times New Roman" w:hAnsi="Times New Roman"/>
                <w:sz w:val="22"/>
              </w:rPr>
              <w:t>367</w:t>
            </w:r>
          </w:p>
        </w:tc>
        <w:tc>
          <w:tcPr>
            <w:tcW w:type="dxa" w:w="694"/>
          </w:tcPr>
          <w:p>
            <w:pPr>
              <w:spacing w:after="0"/>
              <w:jc w:val="left"/>
            </w:pPr>
            <w:r/>
            <w:r>
              <w:rPr>
                <w:rFonts w:ascii="Times New Roman" w:hAnsi="Times New Roman"/>
                <w:sz w:val="22"/>
              </w:rPr>
              <w:t>3,837</w:t>
            </w:r>
          </w:p>
        </w:tc>
        <w:tc>
          <w:tcPr>
            <w:tcW w:type="dxa" w:w="694"/>
          </w:tcPr>
          <w:p>
            <w:pPr>
              <w:spacing w:after="0"/>
              <w:jc w:val="left"/>
            </w:pPr>
            <w:r/>
            <w:r>
              <w:rPr>
                <w:rFonts w:ascii="Times New Roman" w:hAnsi="Times New Roman"/>
                <w:sz w:val="22"/>
              </w:rPr>
              <w:t>334</w:t>
            </w:r>
          </w:p>
        </w:tc>
        <w:tc>
          <w:tcPr>
            <w:tcW w:type="dxa" w:w="694"/>
          </w:tcPr>
          <w:p>
            <w:pPr>
              <w:spacing w:after="0"/>
              <w:jc w:val="left"/>
            </w:pPr>
            <w:r/>
            <w:r>
              <w:rPr>
                <w:rFonts w:ascii="Times New Roman" w:hAnsi="Times New Roman"/>
                <w:sz w:val="22"/>
              </w:rPr>
              <w:t>4.59</w:t>
            </w:r>
          </w:p>
        </w:tc>
      </w:tr>
      <w:tr>
        <w:tc>
          <w:tcPr>
            <w:tcW w:type="dxa" w:w="694"/>
          </w:tcPr>
          <w:p>
            <w:pPr>
              <w:spacing w:after="0"/>
              <w:jc w:val="left"/>
            </w:pPr>
            <w:r/>
            <w:r>
              <w:rPr>
                <w:rFonts w:ascii="Times New Roman" w:hAnsi="Times New Roman"/>
                <w:sz w:val="22"/>
              </w:rPr>
              <w:t>prev_incidents (count)</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15.8</w:t>
            </w:r>
          </w:p>
        </w:tc>
        <w:tc>
          <w:tcPr>
            <w:tcW w:type="dxa" w:w="694"/>
          </w:tcPr>
          <w:p>
            <w:pPr>
              <w:spacing w:after="0"/>
              <w:jc w:val="left"/>
            </w:pPr>
            <w:r/>
            <w:r>
              <w:rPr>
                <w:rFonts w:ascii="Times New Roman" w:hAnsi="Times New Roman"/>
                <w:sz w:val="22"/>
              </w:rPr>
              <w:t>6.0</w:t>
            </w:r>
          </w:p>
        </w:tc>
        <w:tc>
          <w:tcPr>
            <w:tcW w:type="dxa" w:w="694"/>
          </w:tcPr>
          <w:p>
            <w:pPr>
              <w:spacing w:after="0"/>
              <w:jc w:val="left"/>
            </w:pPr>
            <w:r/>
            <w:r>
              <w:rPr>
                <w:rFonts w:ascii="Times New Roman" w:hAnsi="Times New Roman"/>
                <w:sz w:val="22"/>
              </w:rPr>
              <w:t>9.9</w:t>
            </w:r>
          </w:p>
        </w:tc>
        <w:tc>
          <w:tcPr>
            <w:tcW w:type="dxa" w:w="694"/>
          </w:tcPr>
          <w:p>
            <w:pPr>
              <w:spacing w:after="0"/>
              <w:jc w:val="left"/>
            </w:pPr>
            <w:r/>
            <w:r>
              <w:rPr>
                <w:rFonts w:ascii="Times New Roman" w:hAnsi="Times New Roman"/>
                <w:sz w:val="22"/>
              </w:rPr>
              <w:t>667.0</w:t>
            </w:r>
          </w:p>
        </w:tc>
        <w:tc>
          <w:tcPr>
            <w:tcW w:type="dxa" w:w="694"/>
          </w:tcPr>
          <w:p>
            <w:pPr>
              <w:spacing w:after="0"/>
              <w:jc w:val="left"/>
            </w:pPr>
            <w:r/>
            <w:r>
              <w:rPr>
                <w:rFonts w:ascii="Times New Roman" w:hAnsi="Times New Roman"/>
                <w:sz w:val="22"/>
              </w:rPr>
              <w:t>25.8</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19</w:t>
            </w:r>
          </w:p>
        </w:tc>
        <w:tc>
          <w:tcPr>
            <w:tcW w:type="dxa" w:w="694"/>
          </w:tcPr>
          <w:p>
            <w:pPr>
              <w:spacing w:after="0"/>
              <w:jc w:val="left"/>
            </w:pPr>
            <w:r/>
            <w:r>
              <w:rPr>
                <w:rFonts w:ascii="Times New Roman" w:hAnsi="Times New Roman"/>
                <w:sz w:val="22"/>
              </w:rPr>
              <w:t>190</w:t>
            </w:r>
          </w:p>
        </w:tc>
        <w:tc>
          <w:tcPr>
            <w:tcW w:type="dxa" w:w="694"/>
          </w:tcPr>
          <w:p>
            <w:pPr>
              <w:spacing w:after="0"/>
              <w:jc w:val="left"/>
            </w:pPr>
            <w:r/>
            <w:r>
              <w:rPr>
                <w:rFonts w:ascii="Times New Roman" w:hAnsi="Times New Roman"/>
                <w:sz w:val="22"/>
              </w:rPr>
              <w:t>18</w:t>
            </w:r>
          </w:p>
        </w:tc>
        <w:tc>
          <w:tcPr>
            <w:tcW w:type="dxa" w:w="694"/>
          </w:tcPr>
          <w:p>
            <w:pPr>
              <w:spacing w:after="0"/>
              <w:jc w:val="left"/>
            </w:pPr>
            <w:r/>
            <w:r>
              <w:rPr>
                <w:rFonts w:ascii="Times New Roman" w:hAnsi="Times New Roman"/>
                <w:sz w:val="22"/>
              </w:rPr>
              <w:t>3.11</w:t>
            </w:r>
          </w:p>
        </w:tc>
      </w:tr>
      <w:tr>
        <w:tc>
          <w:tcPr>
            <w:tcW w:type="dxa" w:w="694"/>
          </w:tcPr>
          <w:p>
            <w:pPr>
              <w:spacing w:after="0"/>
              <w:jc w:val="left"/>
            </w:pPr>
            <w:r/>
            <w:r>
              <w:rPr>
                <w:rFonts w:ascii="Times New Roman" w:hAnsi="Times New Roman"/>
                <w:sz w:val="22"/>
              </w:rPr>
              <w:t>prev_lost_time_rate_200k (log1p)</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0.86</w:t>
            </w:r>
          </w:p>
        </w:tc>
        <w:tc>
          <w:tcPr>
            <w:tcW w:type="dxa" w:w="694"/>
          </w:tcPr>
          <w:p>
            <w:pPr>
              <w:spacing w:after="0"/>
              <w:jc w:val="left"/>
            </w:pPr>
            <w:r/>
            <w:r>
              <w:rPr>
                <w:rFonts w:ascii="Times New Roman" w:hAnsi="Times New Roman"/>
                <w:sz w:val="22"/>
              </w:rPr>
              <w:t>0.79</w:t>
            </w:r>
          </w:p>
        </w:tc>
        <w:tc>
          <w:tcPr>
            <w:tcW w:type="dxa" w:w="694"/>
          </w:tcPr>
          <w:p>
            <w:pPr>
              <w:spacing w:after="0"/>
              <w:jc w:val="left"/>
            </w:pPr>
            <w:r/>
            <w:r>
              <w:rPr>
                <w:rFonts w:ascii="Times New Roman" w:hAnsi="Times New Roman"/>
                <w:sz w:val="22"/>
              </w:rPr>
              <w:t>0.78</w:t>
            </w:r>
          </w:p>
        </w:tc>
        <w:tc>
          <w:tcPr>
            <w:tcW w:type="dxa" w:w="694"/>
          </w:tcPr>
          <w:p>
            <w:pPr>
              <w:spacing w:after="0"/>
              <w:jc w:val="left"/>
            </w:pPr>
            <w:r/>
            <w:r>
              <w:rPr>
                <w:rFonts w:ascii="Times New Roman" w:hAnsi="Times New Roman"/>
                <w:sz w:val="22"/>
              </w:rPr>
              <w:t>0.65</w:t>
            </w:r>
          </w:p>
        </w:tc>
        <w:tc>
          <w:tcPr>
            <w:tcW w:type="dxa" w:w="694"/>
          </w:tcPr>
          <w:p>
            <w:pPr>
              <w:spacing w:after="0"/>
              <w:jc w:val="left"/>
            </w:pPr>
            <w:r/>
            <w:r>
              <w:rPr>
                <w:rFonts w:ascii="Times New Roman" w:hAnsi="Times New Roman"/>
                <w:sz w:val="22"/>
              </w:rPr>
              <w:t>0.81</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1.46</w:t>
            </w:r>
          </w:p>
        </w:tc>
        <w:tc>
          <w:tcPr>
            <w:tcW w:type="dxa" w:w="694"/>
          </w:tcPr>
          <w:p>
            <w:pPr>
              <w:spacing w:after="0"/>
              <w:jc w:val="left"/>
            </w:pPr>
            <w:r/>
            <w:r>
              <w:rPr>
                <w:rFonts w:ascii="Times New Roman" w:hAnsi="Times New Roman"/>
                <w:sz w:val="22"/>
              </w:rPr>
              <w:t>3.93</w:t>
            </w:r>
          </w:p>
        </w:tc>
        <w:tc>
          <w:tcPr>
            <w:tcW w:type="dxa" w:w="694"/>
          </w:tcPr>
          <w:p>
            <w:pPr>
              <w:spacing w:after="0"/>
              <w:jc w:val="left"/>
            </w:pPr>
            <w:r/>
            <w:r>
              <w:rPr>
                <w:rFonts w:ascii="Times New Roman" w:hAnsi="Times New Roman"/>
                <w:sz w:val="22"/>
              </w:rPr>
              <w:t>1.46</w:t>
            </w:r>
          </w:p>
        </w:tc>
        <w:tc>
          <w:tcPr>
            <w:tcW w:type="dxa" w:w="694"/>
          </w:tcPr>
          <w:p>
            <w:pPr>
              <w:spacing w:after="0"/>
              <w:jc w:val="left"/>
            </w:pPr>
            <w:r/>
            <w:r>
              <w:rPr>
                <w:rFonts w:ascii="Times New Roman" w:hAnsi="Times New Roman"/>
                <w:sz w:val="22"/>
              </w:rPr>
              <w:t>0.60</w:t>
            </w:r>
          </w:p>
        </w:tc>
      </w:tr>
      <w:tr>
        <w:tc>
          <w:tcPr>
            <w:tcW w:type="dxa" w:w="694"/>
          </w:tcPr>
          <w:p>
            <w:pPr>
              <w:spacing w:after="0"/>
              <w:jc w:val="left"/>
            </w:pPr>
            <w:r/>
            <w:r>
              <w:rPr>
                <w:rFonts w:ascii="Times New Roman" w:hAnsi="Times New Roman"/>
                <w:sz w:val="22"/>
              </w:rPr>
              <w:t>prev_lost_time_share (ratio)</w:t>
            </w:r>
          </w:p>
        </w:tc>
        <w:tc>
          <w:tcPr>
            <w:tcW w:type="dxa" w:w="694"/>
          </w:tcPr>
          <w:p>
            <w:pPr>
              <w:spacing w:after="0"/>
              <w:jc w:val="left"/>
            </w:pPr>
            <w:r/>
            <w:r>
              <w:rPr>
                <w:rFonts w:ascii="Times New Roman" w:hAnsi="Times New Roman"/>
                <w:sz w:val="22"/>
              </w:rPr>
              <w:t>19.8</w:t>
            </w:r>
          </w:p>
        </w:tc>
        <w:tc>
          <w:tcPr>
            <w:tcW w:type="dxa" w:w="694"/>
          </w:tcPr>
          <w:p>
            <w:pPr>
              <w:spacing w:after="0"/>
              <w:jc w:val="left"/>
            </w:pPr>
            <w:r/>
            <w:r>
              <w:rPr>
                <w:rFonts w:ascii="Times New Roman" w:hAnsi="Times New Roman"/>
                <w:sz w:val="22"/>
              </w:rPr>
              <w:t>0.48</w:t>
            </w:r>
          </w:p>
        </w:tc>
        <w:tc>
          <w:tcPr>
            <w:tcW w:type="dxa" w:w="694"/>
          </w:tcPr>
          <w:p>
            <w:pPr>
              <w:spacing w:after="0"/>
              <w:jc w:val="left"/>
            </w:pPr>
            <w:r/>
            <w:r>
              <w:rPr>
                <w:rFonts w:ascii="Times New Roman" w:hAnsi="Times New Roman"/>
                <w:sz w:val="22"/>
              </w:rPr>
              <w:t>0.50</w:t>
            </w:r>
          </w:p>
        </w:tc>
        <w:tc>
          <w:tcPr>
            <w:tcW w:type="dxa" w:w="694"/>
          </w:tcPr>
          <w:p>
            <w:pPr>
              <w:spacing w:after="0"/>
              <w:jc w:val="left"/>
            </w:pPr>
            <w:r/>
            <w:r>
              <w:rPr>
                <w:rFonts w:ascii="Times New Roman" w:hAnsi="Times New Roman"/>
                <w:sz w:val="22"/>
              </w:rPr>
              <w:t>0.48</w:t>
            </w:r>
          </w:p>
        </w:tc>
        <w:tc>
          <w:tcPr>
            <w:tcW w:type="dxa" w:w="694"/>
          </w:tcPr>
          <w:p>
            <w:pPr>
              <w:spacing w:after="0"/>
              <w:jc w:val="left"/>
            </w:pPr>
            <w:r/>
            <w:r>
              <w:rPr>
                <w:rFonts w:ascii="Times New Roman" w:hAnsi="Times New Roman"/>
                <w:sz w:val="22"/>
              </w:rPr>
              <w:t>0.11</w:t>
            </w:r>
          </w:p>
        </w:tc>
        <w:tc>
          <w:tcPr>
            <w:tcW w:type="dxa" w:w="694"/>
          </w:tcPr>
          <w:p>
            <w:pPr>
              <w:spacing w:after="0"/>
              <w:jc w:val="left"/>
            </w:pPr>
            <w:r/>
            <w:r>
              <w:rPr>
                <w:rFonts w:ascii="Times New Roman" w:hAnsi="Times New Roman"/>
                <w:sz w:val="22"/>
              </w:rPr>
              <w:t>0.33</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0.22</w:t>
            </w:r>
          </w:p>
        </w:tc>
        <w:tc>
          <w:tcPr>
            <w:tcW w:type="dxa" w:w="694"/>
          </w:tcPr>
          <w:p>
            <w:pPr>
              <w:spacing w:after="0"/>
              <w:jc w:val="left"/>
            </w:pPr>
            <w:r/>
            <w:r>
              <w:rPr>
                <w:rFonts w:ascii="Times New Roman" w:hAnsi="Times New Roman"/>
                <w:sz w:val="22"/>
              </w:rPr>
              <w:t>0.75</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0.53</w:t>
            </w:r>
          </w:p>
        </w:tc>
        <w:tc>
          <w:tcPr>
            <w:tcW w:type="dxa" w:w="694"/>
          </w:tcPr>
          <w:p>
            <w:pPr>
              <w:spacing w:after="0"/>
              <w:jc w:val="left"/>
            </w:pPr>
            <w:r/>
            <w:r>
              <w:rPr>
                <w:rFonts w:ascii="Times New Roman" w:hAnsi="Times New Roman"/>
                <w:sz w:val="22"/>
              </w:rPr>
              <w:t>0.01</w:t>
            </w:r>
          </w:p>
        </w:tc>
      </w:tr>
    </w:tbl>
    <w:p>
      <w:pPr>
        <w:spacing w:after="80"/>
      </w:pPr>
    </w:p>
    <w:p>
      <w:r>
        <w:rPr>
          <w:rFonts w:ascii="Times New Roman" w:hAnsi="Times New Roman"/>
          <w:sz w:val="24"/>
        </w:rPr>
        <w:t>Variance, a measure of variability, is in squared units, so the table adds the sample standard deviation in original units. For prev_hours it exceeds the mean, so a few very large mines dominate the spread. The standard deviation assumes symmetric spread, whereas the interquartile range (IQR) covers the middle half of the rows and assumes no shape (Han et al., 2022). I used the IQR for skewed features and outlier fences. Mines with 200 or more employees supply 36.7% of training rows, and treating their exposure as error would discard the insurer's largest group of cases.</w:t>
      </w:r>
    </w:p>
    <w:p>
      <w:r>
        <w:rPr>
          <w:rFonts w:ascii="Times New Roman" w:hAnsi="Times New Roman"/>
          <w:sz w:val="24"/>
        </w:rPr>
        <w:t>The skewness columns of Table 6 and Table 22 put nine of the 20 numeric features in the high band above 1 in absolute value, with prev_employees the most skewed continuous measure. A log1p transform assumes positive values with multiplicative spread. A Yeo-Johnson transform fits its exponent but is harder to interpret, and raw values suit only trees, which split on rank order (Kuhn and Johnson, 2019). I added log1p versions of total experience and previous-year hours beside the raw columns.</w:t>
      </w:r>
    </w:p>
    <w:p>
      <w:r>
        <w:rPr>
          <w:rFonts w:ascii="Times New Roman" w:hAnsi="Times New Roman"/>
          <w:sz w:val="24"/>
        </w:rPr>
        <w:t>Normality was checked with Q-Q plots of six features (Figure 2). Total experience bends away from the reference line at both ends, its log1p version follows the line except at its bounds, and prev_lost_time_share has point masses at both extremes. A Shapiro-Wilk test would reject normality for trivial departures at about 80,000 rows; a Q-Q plot shows where a distribution departs (Bruce et al., 2020). Pearson's r is pulled by tail points, so Spearman's rank correlation is reported beside it. Gaussian naive Bayes probabilities are likely to be miscalibrated, which would move a cost-based threshold and the review workload.</w:t>
      </w:r>
    </w:p>
    <w:p>
      <w:pPr>
        <w:keepNext/>
        <w:jc w:val="center"/>
      </w:pPr>
      <w:r>
        <w:drawing>
          <wp:inline xmlns:a="http://schemas.openxmlformats.org/drawingml/2006/main" xmlns:pic="http://schemas.openxmlformats.org/drawingml/2006/picture">
            <wp:extent cx="5486400" cy="4067218"/>
            <wp:docPr id="2" name="Picture 2" descr="Figure 2. 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 title="Figure 2"/>
            <wp:cNvGraphicFramePr>
              <a:graphicFrameLocks noChangeAspect="1"/>
            </wp:cNvGraphicFramePr>
            <a:graphic>
              <a:graphicData uri="http://schemas.openxmlformats.org/drawingml/2006/picture">
                <pic:pic>
                  <pic:nvPicPr>
                    <pic:cNvPr id="0" name="F09_qq_plots.png"/>
                    <pic:cNvPicPr/>
                  </pic:nvPicPr>
                  <pic:blipFill>
                    <a:blip r:embed="rId12"/>
                    <a:stretch>
                      <a:fillRect/>
                    </a:stretch>
                  </pic:blipFill>
                  <pic:spPr>
                    <a:xfrm>
                      <a:off x="0" y="0"/>
                      <a:ext cx="5486400" cy="406721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w:t>
      </w:r>
    </w:p>
    <w:p>
      <w:pPr>
        <w:pStyle w:val="Heading2"/>
      </w:pPr>
      <w:r>
        <w:rPr>
          <w:rFonts w:ascii="Times New Roman" w:hAnsi="Times New Roman"/>
          <w:b/>
          <w:color w:val="000000"/>
          <w:sz w:val="28"/>
        </w:rPr>
        <w:t>2.4 Correlation and association</w:t>
      </w:r>
    </w:p>
    <w:p>
      <w:r>
        <w:rPr>
          <w:rFonts w:ascii="Times New Roman" w:hAnsi="Times New Roman"/>
          <w:sz w:val="24"/>
        </w:rPr>
        <w:t>The correlation matrix of the 20 numeric features was computed with Pearson's r for linear and Spearman's rank correlation for monotone association (Figure 3). The two disagree most for log1p_prev_hours against prev_employees, 0.645 against 0.994, because the relation is monotone but curved. Pearson assumes linearity and reacts to extreme points, whereas Spearman assumes only monotonicity (Han et al., 2022). I therefore read redundancy from Spearman, since a Pearson-only reading would understate it. Redundant size measures let logistic-regression coefficients trade weight from one refit to the next, which would make the reasons the application shows beside each flagged claim unstable.</w:t>
      </w:r>
    </w:p>
    <w:p>
      <w:pPr>
        <w:keepNext/>
        <w:jc w:val="center"/>
      </w:pPr>
      <w:r>
        <w:drawing>
          <wp:inline xmlns:a="http://schemas.openxmlformats.org/drawingml/2006/main" xmlns:pic="http://schemas.openxmlformats.org/drawingml/2006/picture">
            <wp:extent cx="5733288" cy="3320213"/>
            <wp:docPr id="3" name="Picture 3" descr="Figure 3. Pearson (left) and Spearman (right) correlation matrices of the 20 numeric features on the training split, drawn as heatmaps on one diverging scale centred at zero so that the two coefficients can be compared cell by cell. Source: author's analysis of MSHA open data." title="Figure 3"/>
            <wp:cNvGraphicFramePr>
              <a:graphicFrameLocks noChangeAspect="1"/>
            </wp:cNvGraphicFramePr>
            <a:graphic>
              <a:graphicData uri="http://schemas.openxmlformats.org/drawingml/2006/picture">
                <pic:pic>
                  <pic:nvPicPr>
                    <pic:cNvPr id="0" name="F06_correlation_heatmaps.png"/>
                    <pic:cNvPicPr/>
                  </pic:nvPicPr>
                  <pic:blipFill>
                    <a:blip r:embed="rId13"/>
                    <a:stretch>
                      <a:fillRect/>
                    </a:stretch>
                  </pic:blipFill>
                  <pic:spPr>
                    <a:xfrm>
                      <a:off x="0" y="0"/>
                      <a:ext cx="5733288" cy="3320213"/>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Pearson (left) and Spearman (right) correlation matrices of the 20 numeric features on the training split, drawn as heatmaps on one diverging scale centred at zero so that the two coefficients can be compared cell by cell. Source: author's analysis of MSHA open data.</w:t>
      </w:r>
    </w:p>
    <w:p>
      <w:r>
        <w:rPr>
          <w:rFonts w:ascii="Times New Roman" w:hAnsi="Times New Roman"/>
          <w:sz w:val="24"/>
        </w:rPr>
        <w:t>Point-biserial r, Pearson's r with one dichotomous variable, ranked the numeric features against the target, and bias-corrected Cramer's V, which corresponds to the Phi coefficient for two levels, ranked the categorical features (Table 7). The leaders are prev_lost_time_share at r = 0.292 and NATURE_INJURY_CD at V = 0.391, far below the 0.95 level at which I would suspect leakage. Mutual information would capture non-monotone effects but carries no sign, and chi-square p-values cannot rank features when trivial effects are significant at this sample size (Tan et al., 2019). Total experience and shift start hour also enter the top ten, consistent with Yedla et al. (2020).</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Association of the numeric features (point-biserial r, top 10 by absolute value) and the categorical features (bias-corrected Cramer's V, top 10, number of levels in brackets) with the lost-time target, and the numeric features whose variance inflation factor exceeds 5 with their most correlated partner, all on the 81,289 training rows; every listed r and V has p &lt; 0.001.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2"/>
              </w:rPr>
              <w:t>Rank</w:t>
            </w:r>
          </w:p>
        </w:tc>
        <w:tc>
          <w:tcPr>
            <w:tcW w:type="dxa" w:w="1128"/>
            <w:shd w:val="clear" w:color="auto" w:fill="E7E6E6"/>
          </w:tcPr>
          <w:p>
            <w:pPr>
              <w:jc w:val="left"/>
            </w:pPr>
            <w:r>
              <w:rPr>
                <w:b/>
              </w:rPr>
            </w:r>
            <w:r>
              <w:rPr>
                <w:rFonts w:ascii="Times New Roman" w:hAnsi="Times New Roman"/>
                <w:b/>
                <w:sz w:val="22"/>
              </w:rPr>
              <w:t>Numeric feature</w:t>
            </w:r>
          </w:p>
        </w:tc>
        <w:tc>
          <w:tcPr>
            <w:tcW w:type="dxa" w:w="1128"/>
            <w:shd w:val="clear" w:color="auto" w:fill="E7E6E6"/>
          </w:tcPr>
          <w:p>
            <w:pPr>
              <w:jc w:val="left"/>
            </w:pPr>
            <w:r>
              <w:rPr>
                <w:b/>
              </w:rPr>
            </w:r>
            <w:r>
              <w:rPr>
                <w:rFonts w:ascii="Times New Roman" w:hAnsi="Times New Roman"/>
                <w:b/>
                <w:sz w:val="22"/>
              </w:rPr>
              <w:t>r</w:t>
            </w:r>
          </w:p>
        </w:tc>
        <w:tc>
          <w:tcPr>
            <w:tcW w:type="dxa" w:w="1128"/>
            <w:shd w:val="clear" w:color="auto" w:fill="E7E6E6"/>
          </w:tcPr>
          <w:p>
            <w:pPr>
              <w:jc w:val="left"/>
            </w:pPr>
            <w:r>
              <w:rPr>
                <w:b/>
              </w:rPr>
            </w:r>
            <w:r>
              <w:rPr>
                <w:rFonts w:ascii="Times New Roman" w:hAnsi="Times New Roman"/>
                <w:b/>
                <w:sz w:val="22"/>
              </w:rPr>
              <w:t>Categorical feature (levels)</w:t>
            </w:r>
          </w:p>
        </w:tc>
        <w:tc>
          <w:tcPr>
            <w:tcW w:type="dxa" w:w="1128"/>
            <w:shd w:val="clear" w:color="auto" w:fill="E7E6E6"/>
          </w:tcPr>
          <w:p>
            <w:pPr>
              <w:jc w:val="left"/>
            </w:pPr>
            <w:r>
              <w:rPr>
                <w:b/>
              </w:rPr>
            </w:r>
            <w:r>
              <w:rPr>
                <w:rFonts w:ascii="Times New Roman" w:hAnsi="Times New Roman"/>
                <w:b/>
                <w:sz w:val="22"/>
              </w:rPr>
              <w:t>V</w:t>
            </w:r>
          </w:p>
        </w:tc>
        <w:tc>
          <w:tcPr>
            <w:tcW w:type="dxa" w:w="1128"/>
            <w:shd w:val="clear" w:color="auto" w:fill="E7E6E6"/>
          </w:tcPr>
          <w:p>
            <w:pPr>
              <w:jc w:val="left"/>
            </w:pPr>
            <w:r>
              <w:rPr>
                <w:b/>
              </w:rPr>
            </w:r>
            <w:r>
              <w:rPr>
                <w:rFonts w:ascii="Times New Roman" w:hAnsi="Times New Roman"/>
                <w:b/>
                <w:sz w:val="22"/>
              </w:rPr>
              <w:t>Feature with VIF &gt; 5</w:t>
            </w:r>
          </w:p>
        </w:tc>
        <w:tc>
          <w:tcPr>
            <w:tcW w:type="dxa" w:w="1128"/>
            <w:shd w:val="clear" w:color="auto" w:fill="E7E6E6"/>
          </w:tcPr>
          <w:p>
            <w:pPr>
              <w:jc w:val="left"/>
            </w:pPr>
            <w:r>
              <w:rPr>
                <w:b/>
              </w:rPr>
            </w:r>
            <w:r>
              <w:rPr>
                <w:rFonts w:ascii="Times New Roman" w:hAnsi="Times New Roman"/>
                <w:b/>
                <w:sz w:val="22"/>
              </w:rPr>
              <w:t>VIF</w:t>
            </w:r>
          </w:p>
        </w:tc>
        <w:tc>
          <w:tcPr>
            <w:tcW w:type="dxa" w:w="1128"/>
            <w:shd w:val="clear" w:color="auto" w:fill="E7E6E6"/>
          </w:tcPr>
          <w:p>
            <w:pPr>
              <w:jc w:val="left"/>
            </w:pPr>
            <w:r>
              <w:rPr>
                <w:b/>
              </w:rPr>
            </w:r>
            <w:r>
              <w:rPr>
                <w:rFonts w:ascii="Times New Roman" w:hAnsi="Times New Roman"/>
                <w:b/>
                <w:sz w:val="22"/>
              </w:rPr>
              <w:t>Partner (Pearson r)</w:t>
            </w:r>
          </w:p>
        </w:tc>
      </w:tr>
      <w:tr>
        <w:tc>
          <w:tcPr>
            <w:tcW w:type="dxa" w:w="1128"/>
          </w:tcPr>
          <w:p>
            <w:pPr>
              <w:spacing w:after="0"/>
              <w:jc w:val="left"/>
            </w:pPr>
            <w:r/>
            <w:r>
              <w:rPr>
                <w:rFonts w:ascii="Times New Roman" w:hAnsi="Times New Roman"/>
                <w:sz w:val="22"/>
              </w:rPr>
              <w:t>1</w:t>
            </w:r>
          </w:p>
        </w:tc>
        <w:tc>
          <w:tcPr>
            <w:tcW w:type="dxa" w:w="1128"/>
          </w:tcPr>
          <w:p>
            <w:pPr>
              <w:spacing w:after="0"/>
              <w:jc w:val="left"/>
            </w:pPr>
            <w:r/>
            <w:r>
              <w:rPr>
                <w:rFonts w:ascii="Times New Roman" w:hAnsi="Times New Roman"/>
                <w:sz w:val="22"/>
              </w:rPr>
              <w:t>prev_lost_time_share</w:t>
            </w:r>
          </w:p>
        </w:tc>
        <w:tc>
          <w:tcPr>
            <w:tcW w:type="dxa" w:w="1128"/>
          </w:tcPr>
          <w:p>
            <w:pPr>
              <w:spacing w:after="0"/>
              <w:jc w:val="left"/>
            </w:pPr>
            <w:r/>
            <w:r>
              <w:rPr>
                <w:rFonts w:ascii="Times New Roman" w:hAnsi="Times New Roman"/>
                <w:sz w:val="22"/>
              </w:rPr>
              <w:t>0.292</w:t>
            </w:r>
          </w:p>
        </w:tc>
        <w:tc>
          <w:tcPr>
            <w:tcW w:type="dxa" w:w="1128"/>
          </w:tcPr>
          <w:p>
            <w:pPr>
              <w:spacing w:after="0"/>
              <w:jc w:val="left"/>
            </w:pPr>
            <w:r/>
            <w:r>
              <w:rPr>
                <w:rFonts w:ascii="Times New Roman" w:hAnsi="Times New Roman"/>
                <w:sz w:val="22"/>
              </w:rPr>
              <w:t>NATURE_INJURY_CD (27)</w:t>
            </w:r>
          </w:p>
        </w:tc>
        <w:tc>
          <w:tcPr>
            <w:tcW w:type="dxa" w:w="1128"/>
          </w:tcPr>
          <w:p>
            <w:pPr>
              <w:spacing w:after="0"/>
              <w:jc w:val="left"/>
            </w:pPr>
            <w:r/>
            <w:r>
              <w:rPr>
                <w:rFonts w:ascii="Times New Roman" w:hAnsi="Times New Roman"/>
                <w:sz w:val="22"/>
              </w:rPr>
              <w:t>0.391</w:t>
            </w:r>
          </w:p>
        </w:tc>
        <w:tc>
          <w:tcPr>
            <w:tcW w:type="dxa" w:w="1128"/>
          </w:tcPr>
          <w:p>
            <w:pPr>
              <w:spacing w:after="0"/>
              <w:jc w:val="left"/>
            </w:pPr>
            <w:r/>
            <w:r>
              <w:rPr>
                <w:rFonts w:ascii="Times New Roman" w:hAnsi="Times New Roman"/>
                <w:sz w:val="22"/>
              </w:rPr>
              <w:t>prev_hours</w:t>
            </w:r>
          </w:p>
        </w:tc>
        <w:tc>
          <w:tcPr>
            <w:tcW w:type="dxa" w:w="1128"/>
          </w:tcPr>
          <w:p>
            <w:pPr>
              <w:spacing w:after="0"/>
              <w:jc w:val="left"/>
            </w:pPr>
            <w:r/>
            <w:r>
              <w:rPr>
                <w:rFonts w:ascii="Times New Roman" w:hAnsi="Times New Roman"/>
                <w:sz w:val="22"/>
              </w:rPr>
              <w:t>176.4</w:t>
            </w:r>
          </w:p>
        </w:tc>
        <w:tc>
          <w:tcPr>
            <w:tcW w:type="dxa" w:w="1128"/>
          </w:tcPr>
          <w:p>
            <w:pPr>
              <w:spacing w:after="0"/>
              <w:jc w:val="left"/>
            </w:pPr>
            <w:r/>
            <w:r>
              <w:rPr>
                <w:rFonts w:ascii="Times New Roman" w:hAnsi="Times New Roman"/>
                <w:sz w:val="22"/>
              </w:rPr>
              <w:t>prev_employees (0.996)</w:t>
            </w:r>
          </w:p>
        </w:tc>
      </w:tr>
      <w:tr>
        <w:tc>
          <w:tcPr>
            <w:tcW w:type="dxa" w:w="1128"/>
          </w:tcPr>
          <w:p>
            <w:pPr>
              <w:spacing w:after="0"/>
              <w:jc w:val="left"/>
            </w:pPr>
            <w:r/>
            <w:r>
              <w:rPr>
                <w:rFonts w:ascii="Times New Roman" w:hAnsi="Times New Roman"/>
                <w:sz w:val="22"/>
              </w:rPr>
              <w:t>2</w:t>
            </w:r>
          </w:p>
        </w:tc>
        <w:tc>
          <w:tcPr>
            <w:tcW w:type="dxa" w:w="1128"/>
          </w:tcPr>
          <w:p>
            <w:pPr>
              <w:spacing w:after="0"/>
              <w:jc w:val="left"/>
            </w:pPr>
            <w:r/>
            <w:r>
              <w:rPr>
                <w:rFonts w:ascii="Times New Roman" w:hAnsi="Times New Roman"/>
                <w:sz w:val="22"/>
              </w:rPr>
              <w:t>prev_lost_time_rate_200k</w:t>
            </w:r>
          </w:p>
        </w:tc>
        <w:tc>
          <w:tcPr>
            <w:tcW w:type="dxa" w:w="1128"/>
          </w:tcPr>
          <w:p>
            <w:pPr>
              <w:spacing w:after="0"/>
              <w:jc w:val="left"/>
            </w:pPr>
            <w:r/>
            <w:r>
              <w:rPr>
                <w:rFonts w:ascii="Times New Roman" w:hAnsi="Times New Roman"/>
                <w:sz w:val="22"/>
              </w:rPr>
              <w:t>0.205</w:t>
            </w:r>
          </w:p>
        </w:tc>
        <w:tc>
          <w:tcPr>
            <w:tcW w:type="dxa" w:w="1128"/>
          </w:tcPr>
          <w:p>
            <w:pPr>
              <w:spacing w:after="0"/>
              <w:jc w:val="left"/>
            </w:pPr>
            <w:r/>
            <w:r>
              <w:rPr>
                <w:rFonts w:ascii="Times New Roman" w:hAnsi="Times New Roman"/>
                <w:sz w:val="22"/>
              </w:rPr>
              <w:t>INJ_BODY_PART_CD (46)</w:t>
            </w:r>
          </w:p>
        </w:tc>
        <w:tc>
          <w:tcPr>
            <w:tcW w:type="dxa" w:w="1128"/>
          </w:tcPr>
          <w:p>
            <w:pPr>
              <w:spacing w:after="0"/>
              <w:jc w:val="left"/>
            </w:pPr>
            <w:r/>
            <w:r>
              <w:rPr>
                <w:rFonts w:ascii="Times New Roman" w:hAnsi="Times New Roman"/>
                <w:sz w:val="22"/>
              </w:rPr>
              <w:t>0.364</w:t>
            </w:r>
          </w:p>
        </w:tc>
        <w:tc>
          <w:tcPr>
            <w:tcW w:type="dxa" w:w="1128"/>
          </w:tcPr>
          <w:p>
            <w:pPr>
              <w:spacing w:after="0"/>
              <w:jc w:val="left"/>
            </w:pPr>
            <w:r/>
            <w:r>
              <w:rPr>
                <w:rFonts w:ascii="Times New Roman" w:hAnsi="Times New Roman"/>
                <w:sz w:val="22"/>
              </w:rPr>
              <w:t>prev_employees</w:t>
            </w:r>
          </w:p>
        </w:tc>
        <w:tc>
          <w:tcPr>
            <w:tcW w:type="dxa" w:w="1128"/>
          </w:tcPr>
          <w:p>
            <w:pPr>
              <w:spacing w:after="0"/>
              <w:jc w:val="left"/>
            </w:pPr>
            <w:r/>
            <w:r>
              <w:rPr>
                <w:rFonts w:ascii="Times New Roman" w:hAnsi="Times New Roman"/>
                <w:sz w:val="22"/>
              </w:rPr>
              <w:t>164.8</w:t>
            </w:r>
          </w:p>
        </w:tc>
        <w:tc>
          <w:tcPr>
            <w:tcW w:type="dxa" w:w="1128"/>
          </w:tcPr>
          <w:p>
            <w:pPr>
              <w:spacing w:after="0"/>
              <w:jc w:val="left"/>
            </w:pPr>
            <w:r/>
            <w:r>
              <w:rPr>
                <w:rFonts w:ascii="Times New Roman" w:hAnsi="Times New Roman"/>
                <w:sz w:val="22"/>
              </w:rPr>
              <w:t>prev_hours (0.996)</w:t>
            </w:r>
          </w:p>
        </w:tc>
      </w:tr>
      <w:tr>
        <w:tc>
          <w:tcPr>
            <w:tcW w:type="dxa" w:w="1128"/>
          </w:tcPr>
          <w:p>
            <w:pPr>
              <w:spacing w:after="0"/>
              <w:jc w:val="left"/>
            </w:pPr>
            <w:r/>
            <w:r>
              <w:rPr>
                <w:rFonts w:ascii="Times New Roman" w:hAnsi="Times New Roman"/>
                <w:sz w:val="22"/>
              </w:rPr>
              <w:t>3</w:t>
            </w:r>
          </w:p>
        </w:tc>
        <w:tc>
          <w:tcPr>
            <w:tcW w:type="dxa" w:w="1128"/>
          </w:tcPr>
          <w:p>
            <w:pPr>
              <w:spacing w:after="0"/>
              <w:jc w:val="left"/>
            </w:pPr>
            <w:r/>
            <w:r>
              <w:rPr>
                <w:rFonts w:ascii="Times New Roman" w:hAnsi="Times New Roman"/>
                <w:sz w:val="22"/>
              </w:rPr>
              <w:t>longitude</w:t>
            </w:r>
          </w:p>
        </w:tc>
        <w:tc>
          <w:tcPr>
            <w:tcW w:type="dxa" w:w="1128"/>
          </w:tcPr>
          <w:p>
            <w:pPr>
              <w:spacing w:after="0"/>
              <w:jc w:val="left"/>
            </w:pPr>
            <w:r/>
            <w:r>
              <w:rPr>
                <w:rFonts w:ascii="Times New Roman" w:hAnsi="Times New Roman"/>
                <w:sz w:val="22"/>
              </w:rPr>
              <w:t>0.135</w:t>
            </w:r>
          </w:p>
        </w:tc>
        <w:tc>
          <w:tcPr>
            <w:tcW w:type="dxa" w:w="1128"/>
          </w:tcPr>
          <w:p>
            <w:pPr>
              <w:spacing w:after="0"/>
              <w:jc w:val="left"/>
            </w:pPr>
            <w:r/>
            <w:r>
              <w:rPr>
                <w:rFonts w:ascii="Times New Roman" w:hAnsi="Times New Roman"/>
                <w:sz w:val="22"/>
              </w:rPr>
              <w:t>INJURY_SOURCE_CD (124)</w:t>
            </w:r>
          </w:p>
        </w:tc>
        <w:tc>
          <w:tcPr>
            <w:tcW w:type="dxa" w:w="1128"/>
          </w:tcPr>
          <w:p>
            <w:pPr>
              <w:spacing w:after="0"/>
              <w:jc w:val="left"/>
            </w:pPr>
            <w:r/>
            <w:r>
              <w:rPr>
                <w:rFonts w:ascii="Times New Roman" w:hAnsi="Times New Roman"/>
                <w:sz w:val="22"/>
              </w:rPr>
              <w:t>0.311</w:t>
            </w:r>
          </w:p>
        </w:tc>
        <w:tc>
          <w:tcPr>
            <w:tcW w:type="dxa" w:w="1128"/>
          </w:tcPr>
          <w:p>
            <w:pPr>
              <w:spacing w:after="0"/>
              <w:jc w:val="left"/>
            </w:pPr>
            <w:r/>
            <w:r>
              <w:rPr>
                <w:rFonts w:ascii="Times New Roman" w:hAnsi="Times New Roman"/>
                <w:sz w:val="22"/>
              </w:rPr>
              <w:t>prev_lost_time_rate_200k</w:t>
            </w:r>
          </w:p>
        </w:tc>
        <w:tc>
          <w:tcPr>
            <w:tcW w:type="dxa" w:w="1128"/>
          </w:tcPr>
          <w:p>
            <w:pPr>
              <w:spacing w:after="0"/>
              <w:jc w:val="left"/>
            </w:pPr>
            <w:r/>
            <w:r>
              <w:rPr>
                <w:rFonts w:ascii="Times New Roman" w:hAnsi="Times New Roman"/>
                <w:sz w:val="22"/>
              </w:rPr>
              <w:t>8.3</w:t>
            </w:r>
          </w:p>
        </w:tc>
        <w:tc>
          <w:tcPr>
            <w:tcW w:type="dxa" w:w="1128"/>
          </w:tcPr>
          <w:p>
            <w:pPr>
              <w:spacing w:after="0"/>
              <w:jc w:val="left"/>
            </w:pPr>
            <w:r/>
            <w:r>
              <w:rPr>
                <w:rFonts w:ascii="Times New Roman" w:hAnsi="Times New Roman"/>
                <w:sz w:val="22"/>
              </w:rPr>
              <w:t>prev_lost_time_share (0.772)</w:t>
            </w:r>
          </w:p>
        </w:tc>
      </w:tr>
      <w:tr>
        <w:tc>
          <w:tcPr>
            <w:tcW w:type="dxa" w:w="1128"/>
          </w:tcPr>
          <w:p>
            <w:pPr>
              <w:spacing w:after="0"/>
              <w:jc w:val="left"/>
            </w:pPr>
            <w:r/>
            <w:r>
              <w:rPr>
                <w:rFonts w:ascii="Times New Roman" w:hAnsi="Times New Roman"/>
                <w:sz w:val="22"/>
              </w:rPr>
              <w:t>4</w:t>
            </w:r>
          </w:p>
        </w:tc>
        <w:tc>
          <w:tcPr>
            <w:tcW w:type="dxa" w:w="1128"/>
          </w:tcPr>
          <w:p>
            <w:pPr>
              <w:spacing w:after="0"/>
              <w:jc w:val="left"/>
            </w:pPr>
            <w:r/>
            <w:r>
              <w:rPr>
                <w:rFonts w:ascii="Times New Roman" w:hAnsi="Times New Roman"/>
                <w:sz w:val="22"/>
              </w:rPr>
              <w:t>prev_incidents</w:t>
            </w:r>
          </w:p>
        </w:tc>
        <w:tc>
          <w:tcPr>
            <w:tcW w:type="dxa" w:w="1128"/>
          </w:tcPr>
          <w:p>
            <w:pPr>
              <w:spacing w:after="0"/>
              <w:jc w:val="left"/>
            </w:pPr>
            <w:r/>
            <w:r>
              <w:rPr>
                <w:rFonts w:ascii="Times New Roman" w:hAnsi="Times New Roman"/>
                <w:sz w:val="22"/>
              </w:rPr>
              <w:t>0.099</w:t>
            </w:r>
          </w:p>
        </w:tc>
        <w:tc>
          <w:tcPr>
            <w:tcW w:type="dxa" w:w="1128"/>
          </w:tcPr>
          <w:p>
            <w:pPr>
              <w:spacing w:after="0"/>
              <w:jc w:val="left"/>
            </w:pPr>
            <w:r/>
            <w:r>
              <w:rPr>
                <w:rFonts w:ascii="Times New Roman" w:hAnsi="Times New Roman"/>
                <w:sz w:val="22"/>
              </w:rPr>
              <w:t>ACCIDENT_TYPE_CD (41)</w:t>
            </w:r>
          </w:p>
        </w:tc>
        <w:tc>
          <w:tcPr>
            <w:tcW w:type="dxa" w:w="1128"/>
          </w:tcPr>
          <w:p>
            <w:pPr>
              <w:spacing w:after="0"/>
              <w:jc w:val="left"/>
            </w:pPr>
            <w:r/>
            <w:r>
              <w:rPr>
                <w:rFonts w:ascii="Times New Roman" w:hAnsi="Times New Roman"/>
                <w:sz w:val="22"/>
              </w:rPr>
              <w:t>0.282</w:t>
            </w:r>
          </w:p>
        </w:tc>
        <w:tc>
          <w:tcPr>
            <w:tcW w:type="dxa" w:w="1128"/>
          </w:tcPr>
          <w:p>
            <w:pPr>
              <w:spacing w:after="0"/>
              <w:jc w:val="left"/>
            </w:pPr>
            <w:r/>
            <w:r>
              <w:rPr>
                <w:rFonts w:ascii="Times New Roman" w:hAnsi="Times New Roman"/>
                <w:sz w:val="22"/>
              </w:rPr>
              <w:t>TOT_EXPER</w:t>
            </w:r>
          </w:p>
        </w:tc>
        <w:tc>
          <w:tcPr>
            <w:tcW w:type="dxa" w:w="1128"/>
          </w:tcPr>
          <w:p>
            <w:pPr>
              <w:spacing w:after="0"/>
              <w:jc w:val="left"/>
            </w:pPr>
            <w:r/>
            <w:r>
              <w:rPr>
                <w:rFonts w:ascii="Times New Roman" w:hAnsi="Times New Roman"/>
                <w:sz w:val="22"/>
              </w:rPr>
              <w:t>7.5</w:t>
            </w:r>
          </w:p>
        </w:tc>
        <w:tc>
          <w:tcPr>
            <w:tcW w:type="dxa" w:w="1128"/>
          </w:tcPr>
          <w:p>
            <w:pPr>
              <w:spacing w:after="0"/>
              <w:jc w:val="left"/>
            </w:pPr>
            <w:r/>
            <w:r>
              <w:rPr>
                <w:rFonts w:ascii="Times New Roman" w:hAnsi="Times New Roman"/>
                <w:sz w:val="22"/>
              </w:rPr>
              <w:t>log1p_tot_exper (0.895)</w:t>
            </w:r>
          </w:p>
        </w:tc>
      </w:tr>
      <w:tr>
        <w:tc>
          <w:tcPr>
            <w:tcW w:type="dxa" w:w="1128"/>
          </w:tcPr>
          <w:p>
            <w:pPr>
              <w:spacing w:after="0"/>
              <w:jc w:val="left"/>
            </w:pPr>
            <w:r/>
            <w:r>
              <w:rPr>
                <w:rFonts w:ascii="Times New Roman" w:hAnsi="Times New Roman"/>
                <w:sz w:val="22"/>
              </w:rPr>
              <w:t>5</w:t>
            </w:r>
          </w:p>
        </w:tc>
        <w:tc>
          <w:tcPr>
            <w:tcW w:type="dxa" w:w="1128"/>
          </w:tcPr>
          <w:p>
            <w:pPr>
              <w:spacing w:after="0"/>
              <w:jc w:val="left"/>
            </w:pPr>
            <w:r/>
            <w:r>
              <w:rPr>
                <w:rFonts w:ascii="Times New Roman" w:hAnsi="Times New Roman"/>
                <w:sz w:val="22"/>
              </w:rPr>
              <w:t>exper_ratio_mine</w:t>
            </w:r>
          </w:p>
        </w:tc>
        <w:tc>
          <w:tcPr>
            <w:tcW w:type="dxa" w:w="1128"/>
          </w:tcPr>
          <w:p>
            <w:pPr>
              <w:spacing w:after="0"/>
              <w:jc w:val="left"/>
            </w:pPr>
            <w:r/>
            <w:r>
              <w:rPr>
                <w:rFonts w:ascii="Times New Roman" w:hAnsi="Times New Roman"/>
                <w:sz w:val="22"/>
              </w:rPr>
              <w:t>-0.096</w:t>
            </w:r>
          </w:p>
        </w:tc>
        <w:tc>
          <w:tcPr>
            <w:tcW w:type="dxa" w:w="1128"/>
          </w:tcPr>
          <w:p>
            <w:pPr>
              <w:spacing w:after="0"/>
              <w:jc w:val="left"/>
            </w:pPr>
            <w:r/>
            <w:r>
              <w:rPr>
                <w:rFonts w:ascii="Times New Roman" w:hAnsi="Times New Roman"/>
                <w:sz w:val="22"/>
              </w:rPr>
              <w:t>FIPS_STATE_CD (54)</w:t>
            </w:r>
          </w:p>
        </w:tc>
        <w:tc>
          <w:tcPr>
            <w:tcW w:type="dxa" w:w="1128"/>
          </w:tcPr>
          <w:p>
            <w:pPr>
              <w:spacing w:after="0"/>
              <w:jc w:val="left"/>
            </w:pPr>
            <w:r/>
            <w:r>
              <w:rPr>
                <w:rFonts w:ascii="Times New Roman" w:hAnsi="Times New Roman"/>
                <w:sz w:val="22"/>
              </w:rPr>
              <w:t>0.243</w:t>
            </w:r>
          </w:p>
        </w:tc>
        <w:tc>
          <w:tcPr>
            <w:tcW w:type="dxa" w:w="1128"/>
          </w:tcPr>
          <w:p>
            <w:pPr>
              <w:spacing w:after="0"/>
              <w:jc w:val="left"/>
            </w:pPr>
            <w:r/>
            <w:r>
              <w:rPr>
                <w:rFonts w:ascii="Times New Roman" w:hAnsi="Times New Roman"/>
                <w:sz w:val="22"/>
              </w:rPr>
              <w:t>log1p_tot_exper</w:t>
            </w:r>
          </w:p>
        </w:tc>
        <w:tc>
          <w:tcPr>
            <w:tcW w:type="dxa" w:w="1128"/>
          </w:tcPr>
          <w:p>
            <w:pPr>
              <w:spacing w:after="0"/>
              <w:jc w:val="left"/>
            </w:pPr>
            <w:r/>
            <w:r>
              <w:rPr>
                <w:rFonts w:ascii="Times New Roman" w:hAnsi="Times New Roman"/>
                <w:sz w:val="22"/>
              </w:rPr>
              <w:t>6.0</w:t>
            </w:r>
          </w:p>
        </w:tc>
        <w:tc>
          <w:tcPr>
            <w:tcW w:type="dxa" w:w="1128"/>
          </w:tcPr>
          <w:p>
            <w:pPr>
              <w:spacing w:after="0"/>
              <w:jc w:val="left"/>
            </w:pPr>
            <w:r/>
            <w:r>
              <w:rPr>
                <w:rFonts w:ascii="Times New Roman" w:hAnsi="Times New Roman"/>
                <w:sz w:val="22"/>
              </w:rPr>
              <w:t>TOT_EXPER (0.895)</w:t>
            </w:r>
          </w:p>
        </w:tc>
      </w:tr>
      <w:tr>
        <w:tc>
          <w:tcPr>
            <w:tcW w:type="dxa" w:w="1128"/>
          </w:tcPr>
          <w:p>
            <w:pPr>
              <w:spacing w:after="0"/>
              <w:jc w:val="left"/>
            </w:pPr>
            <w:r/>
            <w:r>
              <w:rPr>
                <w:rFonts w:ascii="Times New Roman" w:hAnsi="Times New Roman"/>
                <w:sz w:val="22"/>
              </w:rPr>
              <w:t>6</w:t>
            </w:r>
          </w:p>
        </w:tc>
        <w:tc>
          <w:tcPr>
            <w:tcW w:type="dxa" w:w="1128"/>
          </w:tcPr>
          <w:p>
            <w:pPr>
              <w:spacing w:after="0"/>
              <w:jc w:val="left"/>
            </w:pPr>
            <w:r/>
            <w:r>
              <w:rPr>
                <w:rFonts w:ascii="Times New Roman" w:hAnsi="Times New Roman"/>
                <w:sz w:val="22"/>
              </w:rPr>
              <w:t>exper_ratio_job</w:t>
            </w:r>
          </w:p>
        </w:tc>
        <w:tc>
          <w:tcPr>
            <w:tcW w:type="dxa" w:w="1128"/>
          </w:tcPr>
          <w:p>
            <w:pPr>
              <w:spacing w:after="0"/>
              <w:jc w:val="left"/>
            </w:pPr>
            <w:r/>
            <w:r>
              <w:rPr>
                <w:rFonts w:ascii="Times New Roman" w:hAnsi="Times New Roman"/>
                <w:sz w:val="22"/>
              </w:rPr>
              <w:t>-0.083</w:t>
            </w:r>
          </w:p>
        </w:tc>
        <w:tc>
          <w:tcPr>
            <w:tcW w:type="dxa" w:w="1128"/>
          </w:tcPr>
          <w:p>
            <w:pPr>
              <w:spacing w:after="0"/>
              <w:jc w:val="left"/>
            </w:pPr>
            <w:r/>
            <w:r>
              <w:rPr>
                <w:rFonts w:ascii="Times New Roman" w:hAnsi="Times New Roman"/>
                <w:sz w:val="22"/>
              </w:rPr>
              <w:t>PRIMARY_CANVASS (5)</w:t>
            </w:r>
          </w:p>
        </w:tc>
        <w:tc>
          <w:tcPr>
            <w:tcW w:type="dxa" w:w="1128"/>
          </w:tcPr>
          <w:p>
            <w:pPr>
              <w:spacing w:after="0"/>
              <w:jc w:val="left"/>
            </w:pPr>
            <w:r/>
            <w:r>
              <w:rPr>
                <w:rFonts w:ascii="Times New Roman" w:hAnsi="Times New Roman"/>
                <w:sz w:val="22"/>
              </w:rPr>
              <w:t>0.239</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7</w:t>
            </w:r>
          </w:p>
        </w:tc>
        <w:tc>
          <w:tcPr>
            <w:tcW w:type="dxa" w:w="1128"/>
          </w:tcPr>
          <w:p>
            <w:pPr>
              <w:spacing w:after="0"/>
              <w:jc w:val="left"/>
            </w:pPr>
            <w:r/>
            <w:r>
              <w:rPr>
                <w:rFonts w:ascii="Times New Roman" w:hAnsi="Times New Roman"/>
                <w:sz w:val="22"/>
              </w:rPr>
              <w:t>prev_incident_rate_200k</w:t>
            </w:r>
          </w:p>
        </w:tc>
        <w:tc>
          <w:tcPr>
            <w:tcW w:type="dxa" w:w="1128"/>
          </w:tcPr>
          <w:p>
            <w:pPr>
              <w:spacing w:after="0"/>
              <w:jc w:val="left"/>
            </w:pPr>
            <w:r/>
            <w:r>
              <w:rPr>
                <w:rFonts w:ascii="Times New Roman" w:hAnsi="Times New Roman"/>
                <w:sz w:val="22"/>
              </w:rPr>
              <w:t>0.073</w:t>
            </w:r>
          </w:p>
        </w:tc>
        <w:tc>
          <w:tcPr>
            <w:tcW w:type="dxa" w:w="1128"/>
          </w:tcPr>
          <w:p>
            <w:pPr>
              <w:spacing w:after="0"/>
              <w:jc w:val="left"/>
            </w:pPr>
            <w:r/>
            <w:r>
              <w:rPr>
                <w:rFonts w:ascii="Times New Roman" w:hAnsi="Times New Roman"/>
                <w:sz w:val="22"/>
              </w:rPr>
              <w:t>COAL_METAL_IND (2)</w:t>
            </w:r>
          </w:p>
        </w:tc>
        <w:tc>
          <w:tcPr>
            <w:tcW w:type="dxa" w:w="1128"/>
          </w:tcPr>
          <w:p>
            <w:pPr>
              <w:spacing w:after="0"/>
              <w:jc w:val="left"/>
            </w:pPr>
            <w:r/>
            <w:r>
              <w:rPr>
                <w:rFonts w:ascii="Times New Roman" w:hAnsi="Times New Roman"/>
                <w:sz w:val="22"/>
              </w:rPr>
              <w:t>0.237</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8</w:t>
            </w:r>
          </w:p>
        </w:tc>
        <w:tc>
          <w:tcPr>
            <w:tcW w:type="dxa" w:w="1128"/>
          </w:tcPr>
          <w:p>
            <w:pPr>
              <w:spacing w:after="0"/>
              <w:jc w:val="left"/>
            </w:pPr>
            <w:r/>
            <w:r>
              <w:rPr>
                <w:rFonts w:ascii="Times New Roman" w:hAnsi="Times New Roman"/>
                <w:sz w:val="22"/>
              </w:rPr>
              <w:t>log1p_tot_exper</w:t>
            </w:r>
          </w:p>
        </w:tc>
        <w:tc>
          <w:tcPr>
            <w:tcW w:type="dxa" w:w="1128"/>
          </w:tcPr>
          <w:p>
            <w:pPr>
              <w:spacing w:after="0"/>
              <w:jc w:val="left"/>
            </w:pPr>
            <w:r/>
            <w:r>
              <w:rPr>
                <w:rFonts w:ascii="Times New Roman" w:hAnsi="Times New Roman"/>
                <w:sz w:val="22"/>
              </w:rPr>
              <w:t>0.068</w:t>
            </w:r>
          </w:p>
        </w:tc>
        <w:tc>
          <w:tcPr>
            <w:tcW w:type="dxa" w:w="1128"/>
          </w:tcPr>
          <w:p>
            <w:pPr>
              <w:spacing w:after="0"/>
              <w:jc w:val="left"/>
            </w:pPr>
            <w:r/>
            <w:r>
              <w:rPr>
                <w:rFonts w:ascii="Times New Roman" w:hAnsi="Times New Roman"/>
                <w:sz w:val="22"/>
              </w:rPr>
              <w:t>ACTIVITY_CD (96)</w:t>
            </w:r>
          </w:p>
        </w:tc>
        <w:tc>
          <w:tcPr>
            <w:tcW w:type="dxa" w:w="1128"/>
          </w:tcPr>
          <w:p>
            <w:pPr>
              <w:spacing w:after="0"/>
              <w:jc w:val="left"/>
            </w:pPr>
            <w:r/>
            <w:r>
              <w:rPr>
                <w:rFonts w:ascii="Times New Roman" w:hAnsi="Times New Roman"/>
                <w:sz w:val="22"/>
              </w:rPr>
              <w:t>0.225</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9</w:t>
            </w:r>
          </w:p>
        </w:tc>
        <w:tc>
          <w:tcPr>
            <w:tcW w:type="dxa" w:w="1128"/>
          </w:tcPr>
          <w:p>
            <w:pPr>
              <w:spacing w:after="0"/>
              <w:jc w:val="left"/>
            </w:pPr>
            <w:r/>
            <w:r>
              <w:rPr>
                <w:rFonts w:ascii="Times New Roman" w:hAnsi="Times New Roman"/>
                <w:sz w:val="22"/>
              </w:rPr>
              <w:t>TOT_EXPER</w:t>
            </w:r>
          </w:p>
        </w:tc>
        <w:tc>
          <w:tcPr>
            <w:tcW w:type="dxa" w:w="1128"/>
          </w:tcPr>
          <w:p>
            <w:pPr>
              <w:spacing w:after="0"/>
              <w:jc w:val="left"/>
            </w:pPr>
            <w:r/>
            <w:r>
              <w:rPr>
                <w:rFonts w:ascii="Times New Roman" w:hAnsi="Times New Roman"/>
                <w:sz w:val="22"/>
              </w:rPr>
              <w:t>0.060</w:t>
            </w:r>
          </w:p>
        </w:tc>
        <w:tc>
          <w:tcPr>
            <w:tcW w:type="dxa" w:w="1128"/>
          </w:tcPr>
          <w:p>
            <w:pPr>
              <w:spacing w:after="0"/>
              <w:jc w:val="left"/>
            </w:pPr>
            <w:r/>
            <w:r>
              <w:rPr>
                <w:rFonts w:ascii="Times New Roman" w:hAnsi="Times New Roman"/>
                <w:sz w:val="22"/>
              </w:rPr>
              <w:t>CLASSIFICATION_CD (21)</w:t>
            </w:r>
          </w:p>
        </w:tc>
        <w:tc>
          <w:tcPr>
            <w:tcW w:type="dxa" w:w="1128"/>
          </w:tcPr>
          <w:p>
            <w:pPr>
              <w:spacing w:after="0"/>
              <w:jc w:val="left"/>
            </w:pPr>
            <w:r/>
            <w:r>
              <w:rPr>
                <w:rFonts w:ascii="Times New Roman" w:hAnsi="Times New Roman"/>
                <w:sz w:val="22"/>
              </w:rPr>
              <w:t>0.217</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10</w:t>
            </w:r>
          </w:p>
        </w:tc>
        <w:tc>
          <w:tcPr>
            <w:tcW w:type="dxa" w:w="1128"/>
          </w:tcPr>
          <w:p>
            <w:pPr>
              <w:spacing w:after="0"/>
              <w:jc w:val="left"/>
            </w:pPr>
            <w:r/>
            <w:r>
              <w:rPr>
                <w:rFonts w:ascii="Times New Roman" w:hAnsi="Times New Roman"/>
                <w:sz w:val="22"/>
              </w:rPr>
              <w:t>shift_begin_hour</w:t>
            </w:r>
          </w:p>
        </w:tc>
        <w:tc>
          <w:tcPr>
            <w:tcW w:type="dxa" w:w="1128"/>
          </w:tcPr>
          <w:p>
            <w:pPr>
              <w:spacing w:after="0"/>
              <w:jc w:val="left"/>
            </w:pPr>
            <w:r/>
            <w:r>
              <w:rPr>
                <w:rFonts w:ascii="Times New Roman" w:hAnsi="Times New Roman"/>
                <w:sz w:val="22"/>
              </w:rPr>
              <w:t>0.058</w:t>
            </w:r>
          </w:p>
        </w:tc>
        <w:tc>
          <w:tcPr>
            <w:tcW w:type="dxa" w:w="1128"/>
          </w:tcPr>
          <w:p>
            <w:pPr>
              <w:spacing w:after="0"/>
              <w:jc w:val="left"/>
            </w:pPr>
            <w:r/>
            <w:r>
              <w:rPr>
                <w:rFonts w:ascii="Times New Roman" w:hAnsi="Times New Roman"/>
                <w:sz w:val="22"/>
              </w:rPr>
              <w:t>OCCUPATION (193)</w:t>
            </w:r>
          </w:p>
        </w:tc>
        <w:tc>
          <w:tcPr>
            <w:tcW w:type="dxa" w:w="1128"/>
          </w:tcPr>
          <w:p>
            <w:pPr>
              <w:spacing w:after="0"/>
              <w:jc w:val="left"/>
            </w:pPr>
            <w:r/>
            <w:r>
              <w:rPr>
                <w:rFonts w:ascii="Times New Roman" w:hAnsi="Times New Roman"/>
                <w:sz w:val="22"/>
              </w:rPr>
              <w:t>0.215</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bl>
    <w:p>
      <w:pPr>
        <w:spacing w:after="80"/>
      </w:pPr>
    </w:p>
    <w:p>
      <w:r>
        <w:rPr>
          <w:rFonts w:ascii="Times New Roman" w:hAnsi="Times New Roman"/>
          <w:sz w:val="24"/>
        </w:rPr>
        <w:t>Multicollinearity is worst for mine size. Previous-year hours and employees correlate at r = 0.996, both with a variance inflation factor (VIF) above 160, and Table 7 lists three more features with a high VIF. In logistic regression this inflates coefficient variance and destabilises signs (Hosmer et al., 2013). In naive Bayes it breaks conditional independence, so size evidence is counted twice and posteriors become overconfident, although the ranking can survive (Domingos and Pazzani, 1997). Dropping one column assumes it adds nothing, and principal components give up interpretable features. I kept both, under the L2 penalty in logistic regression, and did not interpret the pair's coefficients. Overconfident probabilities would misplace the threshold, so calibration is checked in Section 4.</w:t>
      </w:r>
    </w:p>
    <w:p>
      <w:pPr>
        <w:pStyle w:val="Heading2"/>
      </w:pPr>
      <w:r>
        <w:rPr>
          <w:rFonts w:ascii="Times New Roman" w:hAnsi="Times New Roman"/>
          <w:b/>
          <w:color w:val="000000"/>
          <w:sz w:val="28"/>
        </w:rPr>
        <w:t>2.5 Visual analysis and plot justification</w:t>
      </w:r>
    </w:p>
    <w:p>
      <w:r>
        <w:rPr>
          <w:rFonts w:ascii="Times New Roman" w:hAnsi="Times New Roman"/>
          <w:sz w:val="24"/>
        </w:rPr>
        <w:t>Figures were drawn with Matplotlib (Hunter, 2007) and seaborn (Waskom, 2021). Bars in Figure 1 compare two counts by length, which reads more accurately than pie angles. The heatmaps in Figure 3 share one diverging scale but miss interactions and categorical features, covered by Figure 7. I did not plot a full scatter matrix of the 20 numeric features, because 190 panels would be unreadable.</w:t>
      </w:r>
    </w:p>
    <w:p>
      <w:r>
        <w:rPr>
          <w:rFonts w:ascii="Times New Roman" w:hAnsi="Times New Roman"/>
          <w:sz w:val="24"/>
        </w:rPr>
        <w:t>Figure 4 overlays class-wise density histograms and kernel density curves, because density puts unequal classes on one scale. All panels share 30 bins, since the Freedman-Diaconis rule would set between one bin for the capped victim count and 274 for hours per employee. Experience is often recorded in whole years, which gives the log-experience histogram regular spikes, a comb that the 60-bin panel in Figure 9 repeats. The classes overlap except on the previous-year lost-time share, where non-lost-time cases pile up at zero. Box plots (Figure 5) give the medians and quartiles that skewed features need; lost-time cases have the higher median lost-time share and lie further east, near the Appalachian coal fields.</w:t>
      </w:r>
    </w:p>
    <w:p>
      <w:pPr>
        <w:keepNext/>
        <w:jc w:val="center"/>
      </w:pPr>
      <w:r>
        <w:drawing>
          <wp:inline xmlns:a="http://schemas.openxmlformats.org/drawingml/2006/main" xmlns:pic="http://schemas.openxmlformats.org/drawingml/2006/picture">
            <wp:extent cx="5733288" cy="7239528"/>
            <wp:docPr id="4" name="Picture 4" descr="Figure 4. Density histograms (30 bins) with kernel density estimates of the 20 numeric features by outcome class on all 81,289 training rows, drawn as densities so that classes of unequal size share one scale. Source: author's analysis of MSHA open data." title="Figure 4"/>
            <wp:cNvGraphicFramePr>
              <a:graphicFrameLocks noChangeAspect="1"/>
            </wp:cNvGraphicFramePr>
            <a:graphic>
              <a:graphicData uri="http://schemas.openxmlformats.org/drawingml/2006/picture">
                <pic:pic>
                  <pic:nvPicPr>
                    <pic:cNvPr id="0" name="F03_histograms.png"/>
                    <pic:cNvPicPr/>
                  </pic:nvPicPr>
                  <pic:blipFill>
                    <a:blip r:embed="rId14"/>
                    <a:stretch>
                      <a:fillRect/>
                    </a:stretch>
                  </pic:blipFill>
                  <pic:spPr>
                    <a:xfrm>
                      <a:off x="0" y="0"/>
                      <a:ext cx="5733288" cy="723952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Density histograms (30 bins) with kernel density estimates of the 20 numeric features by outcome class on all 81,289 training rows, drawn as densities so that classes of unequal size share one scale. Source: author's analysis of MSHA open data.</w:t>
      </w:r>
    </w:p>
    <w:p>
      <w:pPr>
        <w:keepNext/>
        <w:jc w:val="center"/>
      </w:pPr>
      <w:r>
        <w:drawing>
          <wp:inline xmlns:a="http://schemas.openxmlformats.org/drawingml/2006/main" xmlns:pic="http://schemas.openxmlformats.org/drawingml/2006/picture">
            <wp:extent cx="5733288" cy="7493939"/>
            <wp:docPr id="5" name="Picture 5" descr="Figure 5. Box plots of the 20 numeric features by outcome class on all 81,289 training rows, with whiskers at 1.5 times the IQR and outlier points omitted, chosen because medians and quartiles are the comparison that skewed features need. Source: author's analysis of MSHA open data." title="Figure 5"/>
            <wp:cNvGraphicFramePr>
              <a:graphicFrameLocks noChangeAspect="1"/>
            </wp:cNvGraphicFramePr>
            <a:graphic>
              <a:graphicData uri="http://schemas.openxmlformats.org/drawingml/2006/picture">
                <pic:pic>
                  <pic:nvPicPr>
                    <pic:cNvPr id="0" name="F04_class_boxplots.png"/>
                    <pic:cNvPicPr/>
                  </pic:nvPicPr>
                  <pic:blipFill>
                    <a:blip r:embed="rId15"/>
                    <a:stretch>
                      <a:fillRect/>
                    </a:stretch>
                  </pic:blipFill>
                  <pic:spPr>
                    <a:xfrm>
                      <a:off x="0" y="0"/>
                      <a:ext cx="5733288" cy="7493939"/>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Box plots of the 20 numeric features by outcome class on all 81,289 training rows, with whiskers at 1.5 times the IQR and outlier points omitted, chosen because medians and quartiles are the comparison that skewed features need. Source: author's analysis of MSHA open data.</w:t>
      </w:r>
    </w:p>
    <w:p>
      <w:r>
        <w:rPr>
          <w:rFonts w:ascii="Times New Roman" w:hAnsi="Times New Roman"/>
          <w:sz w:val="24"/>
        </w:rPr>
        <w:t>The corner pair plot (Figure 6) draws the five features most correlated with the target on 5,000 seeded rows to avoid overplotting; the lost-time history measures fan out together and the classes mix in every panel. Figure 7 plots lost-time rates per level for the eight categorical features with the highest V, since a rate shows how far a level moves the probability. Cuts and lacerations sit near 18% against 48.6% overall, coal mines above it, and printed sizes flag thin data.</w:t>
      </w:r>
    </w:p>
    <w:p>
      <w:pPr>
        <w:keepNext/>
        <w:jc w:val="center"/>
      </w:pPr>
      <w:r>
        <w:drawing>
          <wp:inline xmlns:a="http://schemas.openxmlformats.org/drawingml/2006/main" xmlns:pic="http://schemas.openxmlformats.org/drawingml/2006/picture">
            <wp:extent cx="5303520" cy="5223736"/>
            <wp:docPr id="6" name="Picture 6" descr="Figure 6. Corner pair plot of the five numeric features with the largest absolute point-biserial correlation, for 5,000 seeded training rows without missing values, coloured by outcome to show pairwise structure and class overlap. Source: author's analysis of MSHA open data." title="Figure 6"/>
            <wp:cNvGraphicFramePr>
              <a:graphicFrameLocks noChangeAspect="1"/>
            </wp:cNvGraphicFramePr>
            <a:graphic>
              <a:graphicData uri="http://schemas.openxmlformats.org/drawingml/2006/picture">
                <pic:pic>
                  <pic:nvPicPr>
                    <pic:cNvPr id="0" name="F05_pairplot_top.png"/>
                    <pic:cNvPicPr/>
                  </pic:nvPicPr>
                  <pic:blipFill>
                    <a:blip r:embed="rId16"/>
                    <a:stretch>
                      <a:fillRect/>
                    </a:stretch>
                  </pic:blipFill>
                  <pic:spPr>
                    <a:xfrm>
                      <a:off x="0" y="0"/>
                      <a:ext cx="5303520" cy="5223736"/>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Corner pair plot of the five numeric features with the largest absolute point-biserial correlation, for 5,000 seeded training rows without missing values, coloured by outcome to show pairwise structure and class overlap. Source: author's analysis of MSHA open data.</w:t>
      </w:r>
    </w:p>
    <w:p>
      <w:pPr>
        <w:keepNext/>
        <w:jc w:val="center"/>
      </w:pPr>
      <w:r>
        <w:drawing>
          <wp:inline xmlns:a="http://schemas.openxmlformats.org/drawingml/2006/main" xmlns:pic="http://schemas.openxmlformats.org/drawingml/2006/picture">
            <wp:extent cx="4663440" cy="7789362"/>
            <wp:docPr id="7" name="Picture 7" descr="Figure 7. 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 title="Figure 7"/>
            <wp:cNvGraphicFramePr>
              <a:graphicFrameLocks noChangeAspect="1"/>
            </wp:cNvGraphicFramePr>
            <a:graphic>
              <a:graphicData uri="http://schemas.openxmlformats.org/drawingml/2006/picture">
                <pic:pic>
                  <pic:nvPicPr>
                    <pic:cNvPr id="0" name="F07_categorical_vs_target.png"/>
                    <pic:cNvPicPr/>
                  </pic:nvPicPr>
                  <pic:blipFill>
                    <a:blip r:embed="rId17"/>
                    <a:stretch>
                      <a:fillRect/>
                    </a:stretch>
                  </pic:blipFill>
                  <pic:spPr>
                    <a:xfrm>
                      <a:off x="0" y="0"/>
                      <a:ext cx="4663440" cy="7789362"/>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w:t>
      </w:r>
    </w:p>
    <w:p>
      <w:r>
        <w:rPr>
          <w:rFonts w:ascii="Times New Roman" w:hAnsi="Times New Roman"/>
          <w:sz w:val="24"/>
        </w:rPr>
        <w:t>Because imputation is decided per column, Figure 8 ranks the most incomplete columns as bars; underground, equipment and contractor gaps are structural, and one indicator covers the 985 rows missing all exposure columns (Section 3.4). In Figure 9, IQR fences flag 4,020 raw experience values and Z-score fences 714, because the tail inflates the standard deviation. After log1p neither rule flags any experience value, and Section 3.5 kept these long careers.</w:t>
      </w:r>
    </w:p>
    <w:p>
      <w:pPr>
        <w:keepNext/>
        <w:jc w:val="center"/>
      </w:pPr>
      <w:r>
        <w:drawing>
          <wp:inline xmlns:a="http://schemas.openxmlformats.org/drawingml/2006/main" xmlns:pic="http://schemas.openxmlformats.org/drawingml/2006/picture">
            <wp:extent cx="5120639" cy="6557451"/>
            <wp:docPr id="8" name="Picture 8" descr="Figure 8. Percentage of missing values in the 30 most incomplete columns of the joined base table on the training rows, ranked as bars so that structural and sporadic gaps can be told apart. Source: author's analysis of MSHA open data." title="Figure 8"/>
            <wp:cNvGraphicFramePr>
              <a:graphicFrameLocks noChangeAspect="1"/>
            </wp:cNvGraphicFramePr>
            <a:graphic>
              <a:graphicData uri="http://schemas.openxmlformats.org/drawingml/2006/picture">
                <pic:pic>
                  <pic:nvPicPr>
                    <pic:cNvPr id="0" name="F08_missingness.png"/>
                    <pic:cNvPicPr/>
                  </pic:nvPicPr>
                  <pic:blipFill>
                    <a:blip r:embed="rId18"/>
                    <a:stretch>
                      <a:fillRect/>
                    </a:stretch>
                  </pic:blipFill>
                  <pic:spPr>
                    <a:xfrm>
                      <a:off x="0" y="0"/>
                      <a:ext cx="5120639" cy="6557451"/>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Percentage of missing values in the 30 most incomplete columns of the joined base table on the training rows, ranked as bars so that structural and sporadic gaps can be told apart. Source: author's analysis of MSHA open data.</w:t>
      </w:r>
    </w:p>
    <w:p>
      <w:pPr>
        <w:keepNext/>
        <w:jc w:val="center"/>
      </w:pPr>
      <w:r>
        <w:drawing>
          <wp:inline xmlns:a="http://schemas.openxmlformats.org/drawingml/2006/main" xmlns:pic="http://schemas.openxmlformats.org/drawingml/2006/picture">
            <wp:extent cx="5733288" cy="3823635"/>
            <wp:docPr id="9" name="Picture 9" descr="Figure 9. 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 title="Figure 9"/>
            <wp:cNvGraphicFramePr>
              <a:graphicFrameLocks noChangeAspect="1"/>
            </wp:cNvGraphicFramePr>
            <a:graphic>
              <a:graphicData uri="http://schemas.openxmlformats.org/drawingml/2006/picture">
                <pic:pic>
                  <pic:nvPicPr>
                    <pic:cNvPr id="0" name="F10_outlier_fences.png"/>
                    <pic:cNvPicPr/>
                  </pic:nvPicPr>
                  <pic:blipFill>
                    <a:blip r:embed="rId19"/>
                    <a:stretch>
                      <a:fillRect/>
                    </a:stretch>
                  </pic:blipFill>
                  <pic:spPr>
                    <a:xfrm>
                      <a:off x="0" y="0"/>
                      <a:ext cx="5733288" cy="382363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w:t>
      </w:r>
    </w:p>
    <w:p>
      <w:r>
        <w:rPr>
          <w:rFonts w:ascii="Times New Roman" w:hAnsi="Times New Roman"/>
          <w:sz w:val="24"/>
        </w:rPr>
        <w:t>Two principal components of the standardised numeric features, explaining 18.5% and 16.1% of the variance, show whether the classes separate linearly (Figure 10). The classes overlap throughout, although a plane holding a third of the variance cannot rule out separation in more dimensions.</w:t>
      </w:r>
    </w:p>
    <w:p>
      <w:pPr>
        <w:keepNext/>
        <w:jc w:val="center"/>
      </w:pPr>
      <w:r>
        <w:drawing>
          <wp:inline xmlns:a="http://schemas.openxmlformats.org/drawingml/2006/main" xmlns:pic="http://schemas.openxmlformats.org/drawingml/2006/picture">
            <wp:extent cx="4206240" cy="3636361"/>
            <wp:docPr id="10" name="Picture 10" descr="Figure 10. First two principal components of the 20 median-imputed and standardised numeric features, fitted on the training split with 5,000 seeded points shown and coloured by outcome, used to check for linear class separation in two dimensions. Source: author's analysis of MSHA open data." title="Figure 10"/>
            <wp:cNvGraphicFramePr>
              <a:graphicFrameLocks noChangeAspect="1"/>
            </wp:cNvGraphicFramePr>
            <a:graphic>
              <a:graphicData uri="http://schemas.openxmlformats.org/drawingml/2006/picture">
                <pic:pic>
                  <pic:nvPicPr>
                    <pic:cNvPr id="0" name="F11_pca_projection.png"/>
                    <pic:cNvPicPr/>
                  </pic:nvPicPr>
                  <pic:blipFill>
                    <a:blip r:embed="rId20"/>
                    <a:stretch>
                      <a:fillRect/>
                    </a:stretch>
                  </pic:blipFill>
                  <pic:spPr>
                    <a:xfrm>
                      <a:off x="0" y="0"/>
                      <a:ext cx="4206240" cy="3636361"/>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First two principal components of the 20 median-imputed and standardised numeric features, fitted on the training split with 5,000 seeded points shown and coloured by outcome, used to check for linear class separation in two dimensions. Source: author's analysis of MSHA open data.</w:t>
      </w:r>
    </w:p>
    <w:p>
      <w:r>
        <w:br w:type="page"/>
      </w:r>
    </w:p>
    <w:p>
      <w:pPr>
        <w:pStyle w:val="Heading1"/>
      </w:pPr>
      <w:r>
        <w:rPr>
          <w:rFonts w:ascii="Times New Roman" w:hAnsi="Times New Roman"/>
          <w:b/>
          <w:color w:val="000000"/>
          <w:sz w:val="32"/>
        </w:rPr>
        <w:t>3 Dataset preparation</w:t>
      </w:r>
    </w:p>
    <w:p>
      <w:pPr>
        <w:pStyle w:val="Heading2"/>
      </w:pPr>
      <w:r>
        <w:rPr>
          <w:rFonts w:ascii="Times New Roman" w:hAnsi="Times New Roman"/>
          <w:b/>
          <w:color w:val="000000"/>
          <w:sz w:val="28"/>
        </w:rPr>
        <w:t>3.1 Summary</w:t>
      </w:r>
    </w:p>
    <w:p>
      <w:r>
        <w:rPr>
          <w:rFonts w:ascii="Times New Roman" w:hAnsi="Times New Roman"/>
          <w:sz w:val="24"/>
        </w:rPr>
        <w:t>Preparation followed the order of Table 8, whose last column gives the shape after each step, and Figure 11 draws the same flow. Type-safe loading read every Accidents row as text, and scope filtering kept 101,609 in-scope reports. Integration added the Mines and previous-year production tables with asserted row counts, the error rules blanked or recoded impossible values, and the duplicate audit removed nothing. Feature engineering and the leakage audit left the features of Table 5, and the mine-year grouped split held out a fifth of the rows for testing, without resampling. Imputation, outlier handling, encoding and scaling then turned the training split into an 81,289 x 552 matrix. All learned transformations are fitted on the training split only inside a scikit-learn Pipeline with ColumnTransformer (Pedregosa et al., 2011).</w:t>
      </w:r>
    </w:p>
    <w:p>
      <w:pPr>
        <w:keepNext/>
        <w:jc w:val="center"/>
      </w:pPr>
      <w:r>
        <w:drawing>
          <wp:inline xmlns:a="http://schemas.openxmlformats.org/drawingml/2006/main" xmlns:pic="http://schemas.openxmlformats.org/drawingml/2006/picture">
            <wp:extent cx="5733288" cy="4095206"/>
            <wp:docPr id="11" name="Picture 11" descr="Figure 11. 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 title="Figure 11"/>
            <wp:cNvGraphicFramePr>
              <a:graphicFrameLocks noChangeAspect="1"/>
            </wp:cNvGraphicFramePr>
            <a:graphic>
              <a:graphicData uri="http://schemas.openxmlformats.org/drawingml/2006/picture">
                <pic:pic>
                  <pic:nvPicPr>
                    <pic:cNvPr id="0" name="F01_pipeline.png"/>
                    <pic:cNvPicPr/>
                  </pic:nvPicPr>
                  <pic:blipFill>
                    <a:blip r:embed="rId21"/>
                    <a:stretch>
                      <a:fillRect/>
                    </a:stretch>
                  </pic:blipFill>
                  <pic:spPr>
                    <a:xfrm>
                      <a:off x="0" y="0"/>
                      <a:ext cx="5733288" cy="4095206"/>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w:t>
      </w:r>
    </w:p>
    <w:p>
      <w:pPr>
        <w:pStyle w:val="Heading2"/>
      </w:pPr>
      <w:r>
        <w:rPr>
          <w:rFonts w:ascii="Times New Roman" w:hAnsi="Times New Roman"/>
          <w:b/>
          <w:color w:val="000000"/>
          <w:sz w:val="28"/>
        </w:rPr>
        <w:t>3.2 Integration and error correction</w:t>
      </w:r>
    </w:p>
    <w:p>
      <w:r>
        <w:rPr>
          <w:rFonts w:ascii="Times New Roman" w:hAnsi="Times New Roman"/>
          <w:sz w:val="24"/>
        </w:rPr>
        <w:t>I read every column as text, because type inference would strip the leading zeros from MINE_ID, and asserted every join's row count (Table 4). The error rules learn nothing, so they ran on all rows before the split. Job experience exceeded total experience on 3,731 rows by a median of six years, too much for rounding (Table 8). Clipping assumes the job field is overstated and a swap assumes a data-entry exchange; I set the value to missing with a flag, because neither assumption can be checked (Han et al., 2022). A blank stops invented tenure from moving a case across the review threshold.</w:t>
      </w:r>
    </w:p>
    <w:p>
      <w:pPr>
        <w:pStyle w:val="Heading2"/>
      </w:pPr>
      <w:r>
        <w:rPr>
          <w:rFonts w:ascii="Times New Roman" w:hAnsi="Times New Roman"/>
          <w:b/>
          <w:color w:val="000000"/>
          <w:sz w:val="28"/>
        </w:rPr>
        <w:t>3.3 Duplicates and multi-victim accidents</w:t>
      </w:r>
    </w:p>
    <w:p>
      <w:r>
        <w:rPr>
          <w:rFonts w:ascii="Times New Roman" w:hAnsi="Times New Roman"/>
          <w:sz w:val="24"/>
        </w:rPr>
        <w:t>No row is an exact duplicate, and five rows match only when the document number, closing document and narrative are ignored (Table 8). Dropping them assumes double filing; keeping them assumes distinct victims, as MSHA requires one Form 7000-1 per injured person (Mine Safety and Health Administration, no date). Collapsing the 2,614 same-day multi-victim groups would make the accident the unit, although insurers reserve per claimant. I kept every row, one per claimant to reserve, and the grouped split keeps each same-day group on one side.</w:t>
      </w:r>
    </w:p>
    <w:p>
      <w:pPr>
        <w:pStyle w:val="Heading2"/>
      </w:pPr>
      <w:r>
        <w:rPr>
          <w:rFonts w:ascii="Times New Roman" w:hAnsi="Times New Roman"/>
          <w:b/>
          <w:color w:val="000000"/>
          <w:sz w:val="28"/>
        </w:rPr>
        <w:t>3.4 Missing values</w:t>
      </w:r>
    </w:p>
    <w:p>
      <w:r>
        <w:rPr>
          <w:rFonts w:ascii="Times New Roman" w:hAnsi="Times New Roman"/>
          <w:sz w:val="24"/>
        </w:rPr>
        <w:t>Numeric gaps are small except for the previous-year lost-time share, absent on 19.8% of training rows (Figure 8). Blank-experience reports are lost-time in 59.3% of training cases against 48.5% of recorded ones, so the gaps are not missing completely at random (MCAR). Blank experience clusters in early years (Table 8), consistent with missing at random (MAR) given year and mine (Rubin, 1976). The lost-time share is structurally undefined (zero over zero) at mines without a previous-year case.</w:t>
      </w:r>
    </w:p>
    <w:p>
      <w:r>
        <w:rPr>
          <w:rFonts w:ascii="Times New Roman" w:hAnsi="Times New Roman"/>
          <w:sz w:val="24"/>
        </w:rPr>
        <w:t>Listwise deletion needs MCAR, mean imputation presumes symmetry, and KNNImputer or IterativeImputer, which predict gaps from other features, would invent histories for quiet mines (van Buuren, 2018). I chose SimpleImputer with the median for skewed numerics plus seven explicit indicators, since add_indicator would repeat one flag across six co-missing exposure columns. Structural placeholders became their own level and other categorical gaps a constant "missing" level, since most_frequent would place surface accidents underground. Columns over 60% blank, other than structural placeholders, were dropped. The indicators carry the higher lost-time rate of unrecorded reports into the score, so fewer such cases go unreviewed.</w:t>
      </w:r>
    </w:p>
    <w:p>
      <w:pPr>
        <w:pStyle w:val="Heading2"/>
      </w:pPr>
      <w:r>
        <w:rPr>
          <w:rFonts w:ascii="Times New Roman" w:hAnsi="Times New Roman"/>
          <w:b/>
          <w:color w:val="000000"/>
          <w:sz w:val="28"/>
        </w:rPr>
        <w:t>3.5 Outliers</w:t>
      </w:r>
    </w:p>
    <w:p>
      <w:r>
        <w:rPr>
          <w:rFonts w:ascii="Times New Roman" w:hAnsi="Times New Roman"/>
          <w:sz w:val="24"/>
        </w:rPr>
        <w:t>Total experience has a skewness of 1.37 and previous-year hours 4.27 (Table 6). Right skew inflates the standard deviation behind the Z-score rule and puts its lower fence below zero. Tukey's IQR fences rest on quartiles (Tukey, 1977) but assume symmetric tails, so at this skew they flag over five times as many experience rows as the Z-score rule (Figure 9), all plausible veteran careers. I kept the values, added log1p versions and left clipping as an application option. Lagged rates were winsorised, since at the smallest mines a single case gives an extreme rate. Linear, distance-based and Gaussian models react to such extremes, while tree splits use only rank.</w:t>
      </w:r>
    </w:p>
    <w:p>
      <w:pPr>
        <w:pStyle w:val="Heading2"/>
      </w:pPr>
      <w:r>
        <w:rPr>
          <w:rFonts w:ascii="Times New Roman" w:hAnsi="Times New Roman"/>
          <w:b/>
          <w:color w:val="000000"/>
          <w:sz w:val="28"/>
        </w:rPr>
        <w:t>3.6 Instance selection and class balance</w:t>
      </w:r>
    </w:p>
    <w:p>
      <w:r>
        <w:rPr>
          <w:rFonts w:ascii="Times New Roman" w:hAnsi="Times New Roman"/>
          <w:sz w:val="24"/>
        </w:rPr>
        <w:t>Scope filtering was the only instance selection and left a training prevalence of 48.6% (Table 8). SMOTE inside the folds assumes interpolated neighbours are plausible cases, which fails for one-hot codes (Chawla et al., 2002; Lemaitre et al., 2017), and under- or over-sampling discards or repeats rows. I applied no resampling, searched class_weight for logistic regression and left the cost asymmetry to an out-of-fold threshold tuned in Section 4. The test set was never resampled. Resampling would also bias the probabilities that adjusters see and that set the cost-optimal threshold.</w:t>
      </w:r>
    </w:p>
    <w:p>
      <w:pPr>
        <w:pStyle w:val="Heading2"/>
      </w:pPr>
      <w:r>
        <w:rPr>
          <w:rFonts w:ascii="Times New Roman" w:hAnsi="Times New Roman"/>
          <w:b/>
          <w:color w:val="000000"/>
          <w:sz w:val="28"/>
        </w:rPr>
        <w:t>3.7 Feature engineering</w:t>
      </w:r>
    </w:p>
    <w:p>
      <w:r>
        <w:rPr>
          <w:rFonts w:ascii="Times New Roman" w:hAnsi="Times New Roman"/>
          <w:sz w:val="24"/>
        </w:rPr>
        <w:t>Every engineered feature uses fields known at filing (Table 5). Clock and calendar features give accident and shift-start hours, a night flag, hours into shift, weekday, weekend and month. Experience features add log1p of total experience, mine and job shares of the total and a new-to-mine flag. Exposure features give hours per employee and size bands, and history features turn previous-year cases filed before the accident date into rates per 200,000 hours and a lost-time share. Same-year hours were rejected because quarterly hours reports arrive after the quarter (Legal Information Institute, no date b), and accident-date counting because 1.9% of prior cases were filed after the accident (Table 8; Kaufman et al., 2012; Kuhn and Johnson, 2019). Leakage would overstate the test recall on which review capacity is planned.</w:t>
      </w:r>
    </w:p>
    <w:p>
      <w:pPr>
        <w:pStyle w:val="Heading2"/>
      </w:pPr>
      <w:r>
        <w:rPr>
          <w:rFonts w:ascii="Times New Roman" w:hAnsi="Times New Roman"/>
          <w:b/>
          <w:color w:val="000000"/>
          <w:sz w:val="28"/>
        </w:rPr>
        <w:t>3.8 Encoding and scaling</w:t>
      </w:r>
    </w:p>
    <w:p>
      <w:r>
        <w:rPr>
          <w:rFonts w:ascii="Times New Roman" w:hAnsi="Times New Roman"/>
          <w:sz w:val="24"/>
        </w:rPr>
        <w:t>Most categorical features are nominal codes with up to 193 levels (Table 8). Ordinal encoding assumes an order that linear models read as magnitude and target encoding needs fold-safe estimates, so I chose OneHotEncoder with handle_unknown="infrequent_if_exist" and a min_frequency of 0.1%, which pools rare and unseen levels. The ordered size band stayed one-hot, as its lost-time rate is not monotonic, and only the target was label-encoded. Under MinMaxScaler a few very large mines would squeeze most previous-year hours into the bottom tenth of the range, and Normalizer mixes units within a row. I applied StandardScaler to logistic regression, K-nearest neighbours (KNN), support vector machine (SVM), multilayer perceptron (MLP) and Gaussian naive Bayes and no scaler to the tree models, whose splits ignore monotone rescaling (Pedregosa et al., 2011). Unscaled hours would dominate distances, so KNN flags would follow mine size.</w:t>
      </w:r>
    </w:p>
    <w:p>
      <w:pPr>
        <w:pStyle w:val="Heading2"/>
      </w:pPr>
      <w:r>
        <w:rPr>
          <w:rFonts w:ascii="Times New Roman" w:hAnsi="Times New Roman"/>
          <w:b/>
          <w:color w:val="000000"/>
          <w:sz w:val="28"/>
        </w:rPr>
        <w:t>3.9 Train, validation and test split</w:t>
      </w:r>
    </w:p>
    <w:p>
      <w:r>
        <w:rPr>
          <w:rFonts w:ascii="Times New Roman" w:hAnsi="Times New Roman"/>
          <w:sz w:val="24"/>
        </w:rPr>
        <w:t>A stratified random split would treat rows as independent. Yet the mean label of later accidents in the same mine-year ranks a row with a ROC-AUC of 0.667, near the best planned feature (Table 8). Four numeric features, the coordinates and previous-year hours and employees, identify the mine-year for 99.9% of rows, so KNN and tree ensembles could memorise outcomes. Grouping by mine alone would test only unseen mines, yet 91.9% of reports from 2020 came from mines that had filed before.</w:t>
      </w:r>
    </w:p>
    <w:p>
      <w:r>
        <w:rPr>
          <w:rFonts w:ascii="Times New Roman" w:hAnsi="Times New Roman"/>
          <w:sz w:val="24"/>
        </w:rPr>
        <w:t>I held out one StratifiedGroupKFold fold of mine-year groups (random_state 42) as the test set, with five-fold StratifiedGroupKFold on the training rows for validation (Kohavi, 1995). Assertions confirm disjoint groups and prevalence within one percentage point of the whole. The insurer therefore sees recall on unseen mine-years, with temporal and mine-grouped splits as secondary checks.</w:t>
      </w:r>
    </w:p>
    <w:p>
      <w:pPr>
        <w:sectPr>
          <w:headerReference w:type="default" r:id="rId9"/>
          <w:footerReference w:type="default" r:id="rId10"/>
          <w:pgSz w:w="11906" w:h="16838"/>
          <w:pgMar w:top="1440" w:right="1440" w:bottom="1440" w:left="1440" w:header="720" w:footer="720" w:gutter="0"/>
          <w:cols w:space="720"/>
          <w:docGrid w:linePitch="360"/>
        </w:sectPr>
      </w:pP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Preprocessing decision log in execution order, giving for each step the problem found, the options considered, the choice and the data shape afterwards; counts in steps 1 to 9 refer to all 101,609 in-scope rows and counts in steps 10 to 14 to the 81,289 training rows of the grouped split unless a cell says otherwise, E codes name the error rules logged in reports/metrics/error_rules.csv, and a table is used so that every step is judged on the same six attributes. Source: author's analysis of MSHA open data.</w:t>
      </w:r>
    </w:p>
    <w:tbl>
      <w:tblPr>
        <w:tblStyle w:val="TableGrid"/>
        <w:tblW w:type="auto" w:w="0"/>
        <w:jc w:val="center"/>
        <w:tblLook w:firstColumn="1" w:firstRow="1" w:lastColumn="0" w:lastRow="0" w:noHBand="0" w:noVBand="1" w:val="04A0"/>
      </w:tblPr>
      <w:tblGrid>
        <w:gridCol w:w="2326"/>
        <w:gridCol w:w="2326"/>
        <w:gridCol w:w="2326"/>
        <w:gridCol w:w="2326"/>
        <w:gridCol w:w="2326"/>
        <w:gridCol w:w="2326"/>
      </w:tblGrid>
      <w:tr>
        <w:tc>
          <w:tcPr>
            <w:tcW w:type="dxa" w:w="2326"/>
            <w:shd w:val="clear" w:color="auto" w:fill="E7E6E6"/>
          </w:tcPr>
          <w:p>
            <w:pPr>
              <w:jc w:val="left"/>
            </w:pPr>
            <w:r>
              <w:rPr>
                <w:b/>
              </w:rPr>
            </w:r>
            <w:r>
              <w:rPr>
                <w:rFonts w:ascii="Times New Roman" w:hAnsi="Times New Roman"/>
                <w:b/>
                <w:sz w:val="22"/>
              </w:rPr>
              <w:t>Step</w:t>
            </w:r>
          </w:p>
        </w:tc>
        <w:tc>
          <w:tcPr>
            <w:tcW w:type="dxa" w:w="2326"/>
            <w:shd w:val="clear" w:color="auto" w:fill="E7E6E6"/>
          </w:tcPr>
          <w:p>
            <w:pPr>
              <w:jc w:val="left"/>
            </w:pPr>
            <w:r>
              <w:rPr>
                <w:b/>
              </w:rPr>
            </w:r>
            <w:r>
              <w:rPr>
                <w:rFonts w:ascii="Times New Roman" w:hAnsi="Times New Roman"/>
                <w:b/>
                <w:sz w:val="22"/>
              </w:rPr>
              <w:t>Problem found (evidence, count)</w:t>
            </w:r>
          </w:p>
        </w:tc>
        <w:tc>
          <w:tcPr>
            <w:tcW w:type="dxa" w:w="2326"/>
            <w:shd w:val="clear" w:color="auto" w:fill="E7E6E6"/>
          </w:tcPr>
          <w:p>
            <w:pPr>
              <w:jc w:val="left"/>
            </w:pPr>
            <w:r>
              <w:rPr>
                <w:b/>
              </w:rPr>
            </w:r>
            <w:r>
              <w:rPr>
                <w:rFonts w:ascii="Times New Roman" w:hAnsi="Times New Roman"/>
                <w:b/>
                <w:sz w:val="22"/>
              </w:rPr>
              <w:t>Options considered</w:t>
            </w:r>
          </w:p>
        </w:tc>
        <w:tc>
          <w:tcPr>
            <w:tcW w:type="dxa" w:w="2326"/>
            <w:shd w:val="clear" w:color="auto" w:fill="E7E6E6"/>
          </w:tcPr>
          <w:p>
            <w:pPr>
              <w:jc w:val="left"/>
            </w:pPr>
            <w:r>
              <w:rPr>
                <w:b/>
              </w:rPr>
            </w:r>
            <w:r>
              <w:rPr>
                <w:rFonts w:ascii="Times New Roman" w:hAnsi="Times New Roman"/>
                <w:b/>
                <w:sz w:val="22"/>
              </w:rPr>
              <w:t>Chosen</w:t>
            </w:r>
          </w:p>
        </w:tc>
        <w:tc>
          <w:tcPr>
            <w:tcW w:type="dxa" w:w="2326"/>
            <w:shd w:val="clear" w:color="auto" w:fill="E7E6E6"/>
          </w:tcPr>
          <w:p>
            <w:pPr>
              <w:jc w:val="left"/>
            </w:pPr>
            <w:r>
              <w:rPr>
                <w:b/>
              </w:rPr>
            </w:r>
            <w:r>
              <w:rPr>
                <w:rFonts w:ascii="Times New Roman" w:hAnsi="Times New Roman"/>
                <w:b/>
                <w:sz w:val="22"/>
              </w:rPr>
              <w:t>Why</w:t>
            </w:r>
          </w:p>
        </w:tc>
        <w:tc>
          <w:tcPr>
            <w:tcW w:type="dxa" w:w="2326"/>
            <w:shd w:val="clear" w:color="auto" w:fill="E7E6E6"/>
          </w:tcPr>
          <w:p>
            <w:pPr>
              <w:jc w:val="left"/>
            </w:pPr>
            <w:r>
              <w:rPr>
                <w:b/>
              </w:rPr>
            </w:r>
            <w:r>
              <w:rPr>
                <w:rFonts w:ascii="Times New Roman" w:hAnsi="Times New Roman"/>
                <w:b/>
                <w:sz w:val="22"/>
              </w:rPr>
              <w:t>Rows x cols after</w:t>
            </w:r>
          </w:p>
        </w:tc>
      </w:tr>
      <w:tr>
        <w:tc>
          <w:tcPr>
            <w:tcW w:type="dxa" w:w="2326"/>
          </w:tcPr>
          <w:p>
            <w:pPr>
              <w:spacing w:after="0"/>
              <w:jc w:val="left"/>
            </w:pPr>
            <w:r/>
            <w:r>
              <w:rPr>
                <w:rFonts w:ascii="Times New Roman" w:hAnsi="Times New Roman"/>
                <w:sz w:val="22"/>
              </w:rPr>
              <w:t>1 Load and type coercion</w:t>
            </w:r>
          </w:p>
        </w:tc>
        <w:tc>
          <w:tcPr>
            <w:tcW w:type="dxa" w:w="2326"/>
          </w:tcPr>
          <w:p>
            <w:pPr>
              <w:spacing w:after="0"/>
              <w:jc w:val="left"/>
            </w:pPr>
            <w:r/>
            <w:r>
              <w:rPr>
                <w:rFonts w:ascii="Times New Roman" w:hAnsi="Times New Roman"/>
                <w:sz w:val="22"/>
              </w:rPr>
              <w:t xml:space="preserve">Pipe-delimited latin-1 files fail strict UTF-8; codes such as MINE_ID are zero-padded text; placeholders </w:t>
            </w:r>
            <w:r>
              <w:rPr>
                <w:rFonts w:ascii="Consolas" w:hAnsi="Consolas"/>
                <w:sz w:val="22"/>
              </w:rPr>
              <w:t>?</w:t>
            </w:r>
            <w:r>
              <w:rPr>
                <w:rFonts w:ascii="Times New Roman" w:hAnsi="Times New Roman"/>
                <w:sz w:val="22"/>
              </w:rPr>
              <w:t xml:space="preserve">, </w:t>
            </w:r>
            <w:r>
              <w:rPr>
                <w:rFonts w:ascii="Consolas" w:hAnsi="Consolas"/>
                <w:sz w:val="22"/>
              </w:rPr>
              <w:t xml:space="preserve">? </w:t>
            </w:r>
            <w:r>
              <w:rPr>
                <w:rFonts w:ascii="Times New Roman" w:hAnsi="Times New Roman"/>
                <w:sz w:val="22"/>
              </w:rPr>
              <w:t xml:space="preserve">, </w:t>
            </w:r>
            <w:r>
              <w:rPr>
                <w:rFonts w:ascii="Consolas" w:hAnsi="Consolas"/>
                <w:sz w:val="22"/>
              </w:rPr>
              <w:t>NO VALUE FOUND</w:t>
            </w:r>
            <w:r>
              <w:rPr>
                <w:rFonts w:ascii="Times New Roman" w:hAnsi="Times New Roman"/>
                <w:sz w:val="22"/>
              </w:rPr>
              <w:t>; trailing spaces (E26, E27)</w:t>
            </w:r>
          </w:p>
        </w:tc>
        <w:tc>
          <w:tcPr>
            <w:tcW w:type="dxa" w:w="2326"/>
          </w:tcPr>
          <w:p>
            <w:pPr>
              <w:spacing w:after="0"/>
              <w:jc w:val="left"/>
            </w:pPr>
            <w:r/>
            <w:r>
              <w:rPr>
                <w:rFonts w:ascii="Times New Roman" w:hAnsi="Times New Roman"/>
                <w:sz w:val="22"/>
              </w:rPr>
              <w:t>pandas type inference; all columns as text, then explicit conversion</w:t>
            </w:r>
          </w:p>
        </w:tc>
        <w:tc>
          <w:tcPr>
            <w:tcW w:type="dxa" w:w="2326"/>
          </w:tcPr>
          <w:p>
            <w:pPr>
              <w:spacing w:after="0"/>
              <w:jc w:val="left"/>
            </w:pPr>
            <w:r/>
            <w:r>
              <w:rPr>
                <w:rFonts w:ascii="Times New Roman" w:hAnsi="Times New Roman"/>
                <w:sz w:val="22"/>
              </w:rPr>
              <w:t xml:space="preserve">Text read, </w:t>
            </w:r>
            <w:r>
              <w:rPr>
                <w:rFonts w:ascii="Consolas" w:hAnsi="Consolas"/>
                <w:sz w:val="22"/>
              </w:rPr>
              <w:t>str.strip()</w:t>
            </w:r>
            <w:r>
              <w:rPr>
                <w:rFonts w:ascii="Times New Roman" w:hAnsi="Times New Roman"/>
                <w:sz w:val="22"/>
              </w:rPr>
              <w:t xml:space="preserve">, placeholders to NaN, </w:t>
            </w:r>
            <w:r>
              <w:rPr>
                <w:rFonts w:ascii="Consolas" w:hAnsi="Consolas"/>
                <w:sz w:val="22"/>
              </w:rPr>
              <w:t>to_numeric</w:t>
            </w:r>
            <w:r>
              <w:rPr>
                <w:rFonts w:ascii="Times New Roman" w:hAnsi="Times New Roman"/>
                <w:sz w:val="22"/>
              </w:rPr>
              <w:t xml:space="preserve"> for numeric fields only</w:t>
            </w:r>
          </w:p>
        </w:tc>
        <w:tc>
          <w:tcPr>
            <w:tcW w:type="dxa" w:w="2326"/>
          </w:tcPr>
          <w:p>
            <w:pPr>
              <w:spacing w:after="0"/>
              <w:jc w:val="left"/>
            </w:pPr>
            <w:r/>
            <w:r>
              <w:rPr>
                <w:rFonts w:ascii="Times New Roman" w:hAnsi="Times New Roman"/>
                <w:sz w:val="22"/>
              </w:rPr>
              <w:t>Inference turns 0200024 into an integer and breaks the join</w:t>
            </w:r>
          </w:p>
        </w:tc>
        <w:tc>
          <w:tcPr>
            <w:tcW w:type="dxa" w:w="2326"/>
          </w:tcPr>
          <w:p>
            <w:pPr>
              <w:spacing w:after="0"/>
              <w:jc w:val="left"/>
            </w:pPr>
            <w:r/>
            <w:r>
              <w:rPr>
                <w:rFonts w:ascii="Times New Roman" w:hAnsi="Times New Roman"/>
                <w:sz w:val="22"/>
              </w:rPr>
              <w:t>275,220 x 57 (Accidents)</w:t>
            </w:r>
          </w:p>
        </w:tc>
      </w:tr>
      <w:tr>
        <w:tc>
          <w:tcPr>
            <w:tcW w:type="dxa" w:w="2326"/>
          </w:tcPr>
          <w:p>
            <w:pPr>
              <w:spacing w:after="0"/>
              <w:jc w:val="left"/>
            </w:pPr>
            <w:r/>
            <w:r>
              <w:rPr>
                <w:rFonts w:ascii="Times New Roman" w:hAnsi="Times New Roman"/>
                <w:sz w:val="22"/>
              </w:rPr>
              <w:t>2 Scope filter</w:t>
            </w:r>
          </w:p>
        </w:tc>
        <w:tc>
          <w:tcPr>
            <w:tcW w:type="dxa" w:w="2326"/>
          </w:tcPr>
          <w:p>
            <w:pPr>
              <w:spacing w:after="0"/>
              <w:jc w:val="left"/>
            </w:pPr>
            <w:r/>
            <w:r>
              <w:rPr>
                <w:rFonts w:ascii="Times New Roman" w:hAnsi="Times New Roman"/>
                <w:sz w:val="22"/>
              </w:rPr>
              <w:t>2026 partial and provisional (47.0% of its code 03/04 rows lack DAYS_LOST); experience blank on 20.1% of pre-2010 rows; codes 00 and 07-10 are not accident injuries to employees (19,932 rows in 2010-2025)</w:t>
            </w:r>
          </w:p>
        </w:tc>
        <w:tc>
          <w:tcPr>
            <w:tcW w:type="dxa" w:w="2326"/>
          </w:tcPr>
          <w:p>
            <w:pPr>
              <w:spacing w:after="0"/>
              <w:jc w:val="left"/>
            </w:pPr>
            <w:r/>
            <w:r>
              <w:rPr>
                <w:rFonts w:ascii="Times New Roman" w:hAnsi="Times New Roman"/>
                <w:sz w:val="22"/>
              </w:rPr>
              <w:t>All years and codes; years only; years and codes</w:t>
            </w:r>
          </w:p>
        </w:tc>
        <w:tc>
          <w:tcPr>
            <w:tcW w:type="dxa" w:w="2326"/>
          </w:tcPr>
          <w:p>
            <w:pPr>
              <w:spacing w:after="0"/>
              <w:jc w:val="left"/>
            </w:pPr>
            <w:r/>
            <w:r>
              <w:rPr>
                <w:rFonts w:ascii="Times New Roman" w:hAnsi="Times New Roman"/>
                <w:sz w:val="22"/>
              </w:rPr>
              <w:t>CAL_YR 2010-2025 and degree codes 01-06</w:t>
            </w:r>
          </w:p>
        </w:tc>
        <w:tc>
          <w:tcPr>
            <w:tcW w:type="dxa" w:w="2326"/>
          </w:tcPr>
          <w:p>
            <w:pPr>
              <w:spacing w:after="0"/>
              <w:jc w:val="left"/>
            </w:pPr>
            <w:r/>
            <w:r>
              <w:rPr>
                <w:rFonts w:ascii="Times New Roman" w:hAnsi="Times New Roman"/>
                <w:sz w:val="22"/>
              </w:rPr>
              <w:t>Complete label; one row is one injured worker</w:t>
            </w:r>
          </w:p>
        </w:tc>
        <w:tc>
          <w:tcPr>
            <w:tcW w:type="dxa" w:w="2326"/>
          </w:tcPr>
          <w:p>
            <w:pPr>
              <w:spacing w:after="0"/>
              <w:jc w:val="left"/>
            </w:pPr>
            <w:r/>
            <w:r>
              <w:rPr>
                <w:rFonts w:ascii="Times New Roman" w:hAnsi="Times New Roman"/>
                <w:sz w:val="22"/>
              </w:rPr>
              <w:t>101,609 x 57</w:t>
            </w:r>
          </w:p>
        </w:tc>
      </w:tr>
      <w:tr>
        <w:tc>
          <w:tcPr>
            <w:tcW w:type="dxa" w:w="2326"/>
          </w:tcPr>
          <w:p>
            <w:pPr>
              <w:spacing w:after="0"/>
              <w:jc w:val="left"/>
            </w:pPr>
            <w:r/>
            <w:r>
              <w:rPr>
                <w:rFonts w:ascii="Times New Roman" w:hAnsi="Times New Roman"/>
                <w:sz w:val="22"/>
              </w:rPr>
              <w:t>3 Integration (Mines, previous-year production, lagged cases)</w:t>
            </w:r>
          </w:p>
        </w:tc>
        <w:tc>
          <w:tcPr>
            <w:tcW w:type="dxa" w:w="2326"/>
          </w:tcPr>
          <w:p>
            <w:pPr>
              <w:spacing w:after="0"/>
              <w:jc w:val="left"/>
            </w:pPr>
            <w:r/>
            <w:r>
              <w:rPr>
                <w:rFonts w:ascii="Times New Roman" w:hAnsi="Times New Roman"/>
                <w:sz w:val="22"/>
              </w:rPr>
              <w:t>Production unique on MINE_ID, year and subunit (658,922 of 658,922); 1,206 rows without previous-year production (lost-time 53.7% vs 48.5%)</w:t>
            </w:r>
          </w:p>
        </w:tc>
        <w:tc>
          <w:tcPr>
            <w:tcW w:type="dxa" w:w="2326"/>
          </w:tcPr>
          <w:p>
            <w:pPr>
              <w:spacing w:after="0"/>
              <w:jc w:val="left"/>
            </w:pPr>
            <w:r/>
            <w:r>
              <w:rPr>
                <w:rFonts w:ascii="Times New Roman" w:hAnsi="Times New Roman"/>
                <w:sz w:val="22"/>
              </w:rPr>
              <w:t>Inner join; same-year left join; previous-year left join</w:t>
            </w:r>
          </w:p>
        </w:tc>
        <w:tc>
          <w:tcPr>
            <w:tcW w:type="dxa" w:w="2326"/>
          </w:tcPr>
          <w:p>
            <w:pPr>
              <w:spacing w:after="0"/>
              <w:jc w:val="left"/>
            </w:pPr>
            <w:r/>
            <w:r>
              <w:rPr>
                <w:rFonts w:ascii="Times New Roman" w:hAnsi="Times New Roman"/>
                <w:sz w:val="22"/>
              </w:rPr>
              <w:t xml:space="preserve">Left joins, </w:t>
            </w:r>
            <w:r>
              <w:rPr>
                <w:rFonts w:ascii="Consolas" w:hAnsi="Consolas"/>
                <w:sz w:val="22"/>
              </w:rPr>
              <w:t>validate="many_to_one"</w:t>
            </w:r>
            <w:r>
              <w:rPr>
                <w:rFonts w:ascii="Times New Roman" w:hAnsi="Times New Roman"/>
                <w:sz w:val="22"/>
              </w:rPr>
              <w:t>, indicator columns, asserted row counts; Mines matched 100.0%, previous-year production 98.8%; commodity flags agree on 100.0%</w:t>
            </w:r>
          </w:p>
        </w:tc>
        <w:tc>
          <w:tcPr>
            <w:tcW w:type="dxa" w:w="2326"/>
          </w:tcPr>
          <w:p>
            <w:pPr>
              <w:spacing w:after="0"/>
              <w:jc w:val="left"/>
            </w:pPr>
            <w:r/>
            <w:r>
              <w:rPr>
                <w:rFonts w:ascii="Times New Roman" w:hAnsi="Times New Roman"/>
                <w:sz w:val="22"/>
              </w:rPr>
              <w:t>Inner join drops new or idle mines; same-year hours are unreported at filing</w:t>
            </w:r>
          </w:p>
        </w:tc>
        <w:tc>
          <w:tcPr>
            <w:tcW w:type="dxa" w:w="2326"/>
          </w:tcPr>
          <w:p>
            <w:pPr>
              <w:spacing w:after="0"/>
              <w:jc w:val="left"/>
            </w:pPr>
            <w:r/>
            <w:r>
              <w:rPr>
                <w:rFonts w:ascii="Times New Roman" w:hAnsi="Times New Roman"/>
                <w:sz w:val="22"/>
              </w:rPr>
              <w:t>101,609 x 88</w:t>
            </w:r>
          </w:p>
        </w:tc>
      </w:tr>
      <w:tr>
        <w:tc>
          <w:tcPr>
            <w:tcW w:type="dxa" w:w="2326"/>
          </w:tcPr>
          <w:p>
            <w:pPr>
              <w:spacing w:after="0"/>
              <w:jc w:val="left"/>
            </w:pPr>
            <w:r/>
            <w:r>
              <w:rPr>
                <w:rFonts w:ascii="Times New Roman" w:hAnsi="Times New Roman"/>
                <w:sz w:val="22"/>
              </w:rPr>
              <w:t>4 Error rules for experience and victim count (E1-E4, E21)</w:t>
            </w:r>
          </w:p>
        </w:tc>
        <w:tc>
          <w:tcPr>
            <w:tcW w:type="dxa" w:w="2326"/>
          </w:tcPr>
          <w:p>
            <w:pPr>
              <w:spacing w:after="0"/>
              <w:jc w:val="left"/>
            </w:pPr>
            <w:r/>
            <w:r>
              <w:rPr>
                <w:rFonts w:ascii="Times New Roman" w:hAnsi="Times New Roman"/>
                <w:sz w:val="22"/>
              </w:rPr>
              <w:t>Job experience above total on 3,731 rows (median excess 6.0 years); mine experience above total on 83; any value above 60 years on 3; negative values 0; victim count above 10 on 33</w:t>
            </w:r>
          </w:p>
        </w:tc>
        <w:tc>
          <w:tcPr>
            <w:tcW w:type="dxa" w:w="2326"/>
          </w:tcPr>
          <w:p>
            <w:pPr>
              <w:spacing w:after="0"/>
              <w:jc w:val="left"/>
            </w:pPr>
            <w:r/>
            <w:r>
              <w:rPr>
                <w:rFonts w:ascii="Times New Roman" w:hAnsi="Times New Roman"/>
                <w:sz w:val="22"/>
              </w:rPr>
              <w:t>Clip to total; swap fields; drop rows; NaN with flag</w:t>
            </w:r>
          </w:p>
        </w:tc>
        <w:tc>
          <w:tcPr>
            <w:tcW w:type="dxa" w:w="2326"/>
          </w:tcPr>
          <w:p>
            <w:pPr>
              <w:spacing w:after="0"/>
              <w:jc w:val="left"/>
            </w:pPr>
            <w:r/>
            <w:r>
              <w:rPr>
                <w:rFonts w:ascii="Times New Roman" w:hAnsi="Times New Roman"/>
                <w:sz w:val="22"/>
              </w:rPr>
              <w:t xml:space="preserve">NaN plus </w:t>
            </w:r>
            <w:r>
              <w:rPr>
                <w:rFonts w:ascii="Consolas" w:hAnsi="Consolas"/>
                <w:sz w:val="22"/>
              </w:rPr>
              <w:t>exper_inconsistent</w:t>
            </w:r>
            <w:r>
              <w:rPr>
                <w:rFonts w:ascii="Times New Roman" w:hAnsi="Times New Roman"/>
                <w:sz w:val="22"/>
              </w:rPr>
              <w:t xml:space="preserve"> flag; assertion for negatives; victim count capped at 10</w:t>
            </w:r>
          </w:p>
        </w:tc>
        <w:tc>
          <w:tcPr>
            <w:tcW w:type="dxa" w:w="2326"/>
          </w:tcPr>
          <w:p>
            <w:pPr>
              <w:spacing w:after="0"/>
              <w:jc w:val="left"/>
            </w:pPr>
            <w:r/>
            <w:r>
              <w:rPr>
                <w:rFonts w:ascii="Times New Roman" w:hAnsi="Times New Roman"/>
                <w:sz w:val="22"/>
              </w:rPr>
              <w:t>A swap is plausible but unprovable, so clipping invents tenure; dropping loses 3.7% of rows</w:t>
            </w:r>
          </w:p>
        </w:tc>
        <w:tc>
          <w:tcPr>
            <w:tcW w:type="dxa" w:w="2326"/>
          </w:tcPr>
          <w:p>
            <w:pPr>
              <w:spacing w:after="0"/>
              <w:jc w:val="left"/>
            </w:pPr>
            <w:r/>
            <w:r>
              <w:rPr>
                <w:rFonts w:ascii="Times New Roman" w:hAnsi="Times New Roman"/>
                <w:sz w:val="22"/>
              </w:rPr>
              <w:t>101,609 rows, values only</w:t>
            </w:r>
          </w:p>
        </w:tc>
      </w:tr>
      <w:tr>
        <w:tc>
          <w:tcPr>
            <w:tcW w:type="dxa" w:w="2326"/>
          </w:tcPr>
          <w:p>
            <w:pPr>
              <w:spacing w:after="0"/>
              <w:jc w:val="left"/>
            </w:pPr>
            <w:r/>
            <w:r>
              <w:rPr>
                <w:rFonts w:ascii="Times New Roman" w:hAnsi="Times New Roman"/>
                <w:sz w:val="22"/>
              </w:rPr>
              <w:t>5 Error rules for times, places, dates and mine attributes (E5-E12, E22-E25)</w:t>
            </w:r>
          </w:p>
        </w:tc>
        <w:tc>
          <w:tcPr>
            <w:tcW w:type="dxa" w:w="2326"/>
          </w:tcPr>
          <w:p>
            <w:pPr>
              <w:spacing w:after="0"/>
              <w:jc w:val="left"/>
            </w:pPr>
            <w:r/>
            <w:r>
              <w:rPr>
                <w:rFonts w:ascii="Times New Roman" w:hAnsi="Times New Roman"/>
                <w:sz w:val="22"/>
              </w:rPr>
              <w:t>Accident time 9999 on 3,091 rows and 2400 on 326; shift start 9999 or blank on 519, 2400 on 1,833, three characters on 48; shift wraps midnight on 11,538; more than 16 h into shift on 662; invalid coordinates 3; 103(i) status dated after the accident or blank 22,368; previous-year hours below 2,000 on 764</w:t>
            </w:r>
          </w:p>
        </w:tc>
        <w:tc>
          <w:tcPr>
            <w:tcW w:type="dxa" w:w="2326"/>
          </w:tcPr>
          <w:p>
            <w:pPr>
              <w:spacing w:after="0"/>
              <w:jc w:val="left"/>
            </w:pPr>
            <w:r/>
            <w:r>
              <w:rPr>
                <w:rFonts w:ascii="Times New Roman" w:hAnsi="Times New Roman"/>
                <w:sz w:val="22"/>
              </w:rPr>
              <w:t>String slicing; drop rows; NaN or recode</w:t>
            </w:r>
          </w:p>
        </w:tc>
        <w:tc>
          <w:tcPr>
            <w:tcW w:type="dxa" w:w="2326"/>
          </w:tcPr>
          <w:p>
            <w:pPr>
              <w:spacing w:after="0"/>
              <w:jc w:val="left"/>
            </w:pPr>
            <w:r/>
            <w:r>
              <w:rPr>
                <w:rFonts w:ascii="Times New Roman" w:hAnsi="Times New Roman"/>
                <w:sz w:val="22"/>
              </w:rPr>
              <w:t>Integer HHMM parsing, 2400 to 00:00, 9999 to NaN, minute difference modulo 1,440, more than 16 h to NaN; coordinates outside the valid box to NaN; later-dated 103(i) status to "Unknown"; lagged rates winsorised at 50 per 200,000 h; dates asserted valid (0 failures)</w:t>
            </w:r>
          </w:p>
        </w:tc>
        <w:tc>
          <w:tcPr>
            <w:tcW w:type="dxa" w:w="2326"/>
          </w:tcPr>
          <w:p>
            <w:pPr>
              <w:spacing w:after="0"/>
              <w:jc w:val="left"/>
            </w:pPr>
            <w:r/>
            <w:r>
              <w:rPr>
                <w:rFonts w:ascii="Times New Roman" w:hAnsi="Times New Roman"/>
                <w:sz w:val="22"/>
              </w:rPr>
              <w:t>Each rule decodes a convention or blanks an impossible value without inventing data; counts logged in error_rules.csv</w:t>
            </w:r>
          </w:p>
        </w:tc>
        <w:tc>
          <w:tcPr>
            <w:tcW w:type="dxa" w:w="2326"/>
          </w:tcPr>
          <w:p>
            <w:pPr>
              <w:spacing w:after="0"/>
              <w:jc w:val="left"/>
            </w:pPr>
            <w:r/>
            <w:r>
              <w:rPr>
                <w:rFonts w:ascii="Times New Roman" w:hAnsi="Times New Roman"/>
                <w:sz w:val="22"/>
              </w:rPr>
              <w:t>101,609 x 96</w:t>
            </w:r>
          </w:p>
        </w:tc>
      </w:tr>
      <w:tr>
        <w:tc>
          <w:tcPr>
            <w:tcW w:type="dxa" w:w="2326"/>
          </w:tcPr>
          <w:p>
            <w:pPr>
              <w:spacing w:after="0"/>
              <w:jc w:val="left"/>
            </w:pPr>
            <w:r/>
            <w:r>
              <w:rPr>
                <w:rFonts w:ascii="Times New Roman" w:hAnsi="Times New Roman"/>
                <w:sz w:val="22"/>
              </w:rPr>
              <w:t>6 Duplicates and multi-victim accidents</w:t>
            </w:r>
          </w:p>
        </w:tc>
        <w:tc>
          <w:tcPr>
            <w:tcW w:type="dxa" w:w="2326"/>
          </w:tcPr>
          <w:p>
            <w:pPr>
              <w:spacing w:after="0"/>
              <w:jc w:val="left"/>
            </w:pPr>
            <w:r/>
            <w:r>
              <w:rPr>
                <w:rFonts w:ascii="Times New Roman" w:hAnsi="Times New Roman"/>
                <w:sz w:val="22"/>
              </w:rPr>
              <w:t>Exact duplicates 0; DOCUMENT_NO unique; 5 rows identical without DOCUMENT_NO, CLOSED_DOC_NO and NARRATIVE; 2,614 same-day mine groups hold 5,530 rows (883 with mixed labels)</w:t>
            </w:r>
          </w:p>
        </w:tc>
        <w:tc>
          <w:tcPr>
            <w:tcW w:type="dxa" w:w="2326"/>
          </w:tcPr>
          <w:p>
            <w:pPr>
              <w:spacing w:after="0"/>
              <w:jc w:val="left"/>
            </w:pPr>
            <w:r/>
            <w:r>
              <w:rPr>
                <w:rFonts w:ascii="Times New Roman" w:hAnsi="Times New Roman"/>
                <w:sz w:val="22"/>
              </w:rPr>
              <w:t>Drop near duplicates; one row per accident; keep</w:t>
            </w:r>
          </w:p>
        </w:tc>
        <w:tc>
          <w:tcPr>
            <w:tcW w:type="dxa" w:w="2326"/>
          </w:tcPr>
          <w:p>
            <w:pPr>
              <w:spacing w:after="0"/>
              <w:jc w:val="left"/>
            </w:pPr>
            <w:r/>
            <w:r>
              <w:rPr>
                <w:rFonts w:ascii="Times New Roman" w:hAnsi="Times New Roman"/>
                <w:sz w:val="22"/>
              </w:rPr>
              <w:t>Keep every row; same-day groups kept on one side of the split</w:t>
            </w:r>
          </w:p>
        </w:tc>
        <w:tc>
          <w:tcPr>
            <w:tcW w:type="dxa" w:w="2326"/>
          </w:tcPr>
          <w:p>
            <w:pPr>
              <w:spacing w:after="0"/>
              <w:jc w:val="left"/>
            </w:pPr>
            <w:r/>
            <w:r>
              <w:rPr>
                <w:rFonts w:ascii="Times New Roman" w:hAnsi="Times New Roman"/>
                <w:sz w:val="22"/>
              </w:rPr>
              <w:t>One Form 7000-1 per injured person, so the rows are distinct claimants</w:t>
            </w:r>
          </w:p>
        </w:tc>
        <w:tc>
          <w:tcPr>
            <w:tcW w:type="dxa" w:w="2326"/>
          </w:tcPr>
          <w:p>
            <w:pPr>
              <w:spacing w:after="0"/>
              <w:jc w:val="left"/>
            </w:pPr>
            <w:r/>
            <w:r>
              <w:rPr>
                <w:rFonts w:ascii="Times New Roman" w:hAnsi="Times New Roman"/>
                <w:sz w:val="22"/>
              </w:rPr>
              <w:t>101,609 x 96</w:t>
            </w:r>
          </w:p>
        </w:tc>
      </w:tr>
      <w:tr>
        <w:tc>
          <w:tcPr>
            <w:tcW w:type="dxa" w:w="2326"/>
          </w:tcPr>
          <w:p>
            <w:pPr>
              <w:spacing w:after="0"/>
              <w:jc w:val="left"/>
            </w:pPr>
            <w:r/>
            <w:r>
              <w:rPr>
                <w:rFonts w:ascii="Times New Roman" w:hAnsi="Times New Roman"/>
                <w:sz w:val="22"/>
              </w:rPr>
              <w:t>7 Leakage and sparse-column removal</w:t>
            </w:r>
          </w:p>
        </w:tc>
        <w:tc>
          <w:tcPr>
            <w:tcW w:type="dxa" w:w="2326"/>
          </w:tcPr>
          <w:p>
            <w:pPr>
              <w:spacing w:after="0"/>
              <w:jc w:val="left"/>
            </w:pPr>
            <w:r/>
            <w:r>
              <w:rPr>
                <w:rFonts w:ascii="Times New Roman" w:hAnsi="Times New Roman"/>
                <w:sz w:val="22"/>
              </w:rPr>
              <w:t>DAYS_LOST Cramer's V 0.955 with the target; CLOSED_DOC_NO present for 72.2% of positives vs 33.5% of negatives; Mines status date after the accident for 40.4% of rows; EQUIP_MODEL_NO 76.7% blank</w:t>
            </w:r>
          </w:p>
        </w:tc>
        <w:tc>
          <w:tcPr>
            <w:tcW w:type="dxa" w:w="2326"/>
          </w:tcPr>
          <w:p>
            <w:pPr>
              <w:spacing w:after="0"/>
              <w:jc w:val="left"/>
            </w:pPr>
            <w:r/>
            <w:r>
              <w:rPr>
                <w:rFonts w:ascii="Times New Roman" w:hAnsi="Times New Roman"/>
                <w:sz w:val="22"/>
              </w:rPr>
              <w:t>Keep with caveat; keep for EDA only; drop</w:t>
            </w:r>
          </w:p>
        </w:tc>
        <w:tc>
          <w:tcPr>
            <w:tcW w:type="dxa" w:w="2326"/>
          </w:tcPr>
          <w:p>
            <w:pPr>
              <w:spacing w:after="0"/>
              <w:jc w:val="left"/>
            </w:pPr>
            <w:r/>
            <w:r>
              <w:rPr>
                <w:rFonts w:ascii="Times New Roman" w:hAnsi="Times New Roman"/>
                <w:sz w:val="22"/>
              </w:rPr>
              <w:t>Drop outcome fields, snapshot attributes, identifiers and columns more than 60% missing</w:t>
            </w:r>
          </w:p>
        </w:tc>
        <w:tc>
          <w:tcPr>
            <w:tcW w:type="dxa" w:w="2326"/>
          </w:tcPr>
          <w:p>
            <w:pPr>
              <w:spacing w:after="0"/>
              <w:jc w:val="left"/>
            </w:pPr>
            <w:r/>
            <w:r>
              <w:rPr>
                <w:rFonts w:ascii="Times New Roman" w:hAnsi="Times New Roman"/>
                <w:sz w:val="22"/>
              </w:rPr>
              <w:t>Not known, or not reliable, when the form is filed</w:t>
            </w:r>
          </w:p>
        </w:tc>
        <w:tc>
          <w:tcPr>
            <w:tcW w:type="dxa" w:w="2326"/>
          </w:tcPr>
          <w:p>
            <w:pPr>
              <w:spacing w:after="0"/>
              <w:jc w:val="left"/>
            </w:pPr>
            <w:r/>
            <w:r>
              <w:rPr>
                <w:rFonts w:ascii="Times New Roman" w:hAnsi="Times New Roman"/>
                <w:sz w:val="22"/>
              </w:rPr>
              <w:t>101,609 rows</w:t>
            </w:r>
          </w:p>
        </w:tc>
      </w:tr>
      <w:tr>
        <w:tc>
          <w:tcPr>
            <w:tcW w:type="dxa" w:w="2326"/>
          </w:tcPr>
          <w:p>
            <w:pPr>
              <w:spacing w:after="0"/>
              <w:jc w:val="left"/>
            </w:pPr>
            <w:r/>
            <w:r>
              <w:rPr>
                <w:rFonts w:ascii="Times New Roman" w:hAnsi="Times New Roman"/>
                <w:sz w:val="22"/>
              </w:rPr>
              <w:t>8 Feature engineering</w:t>
            </w:r>
          </w:p>
        </w:tc>
        <w:tc>
          <w:tcPr>
            <w:tcW w:type="dxa" w:w="2326"/>
          </w:tcPr>
          <w:p>
            <w:pPr>
              <w:spacing w:after="0"/>
              <w:jc w:val="left"/>
            </w:pPr>
            <w:r/>
            <w:r>
              <w:rPr>
                <w:rFonts w:ascii="Times New Roman" w:hAnsi="Times New Roman"/>
                <w:sz w:val="22"/>
              </w:rPr>
              <w:t>Raw HHMM times, dates, counts and hours; 1.9% of previous-year cases filed after the row's accident date</w:t>
            </w:r>
          </w:p>
        </w:tc>
        <w:tc>
          <w:tcPr>
            <w:tcW w:type="dxa" w:w="2326"/>
          </w:tcPr>
          <w:p>
            <w:pPr>
              <w:spacing w:after="0"/>
              <w:jc w:val="left"/>
            </w:pPr>
            <w:r/>
            <w:r>
              <w:rPr>
                <w:rFonts w:ascii="Times New Roman" w:hAnsi="Times New Roman"/>
                <w:sz w:val="22"/>
              </w:rPr>
              <w:t>Raw fields; same-year exposure; previous-year counts cut at accident date; cut at filing date</w:t>
            </w:r>
          </w:p>
        </w:tc>
        <w:tc>
          <w:tcPr>
            <w:tcW w:type="dxa" w:w="2326"/>
          </w:tcPr>
          <w:p>
            <w:pPr>
              <w:spacing w:after="0"/>
              <w:jc w:val="left"/>
            </w:pPr>
            <w:r/>
            <w:r>
              <w:rPr>
                <w:rFonts w:ascii="Times New Roman" w:hAnsi="Times New Roman"/>
                <w:sz w:val="22"/>
              </w:rPr>
              <w:t>Clock, calendar, experience, report-flag, exposure, lagged-history, 103(i)-status, coordinate and missing-indicator features with the filing-date cut</w:t>
            </w:r>
          </w:p>
        </w:tc>
        <w:tc>
          <w:tcPr>
            <w:tcW w:type="dxa" w:w="2326"/>
          </w:tcPr>
          <w:p>
            <w:pPr>
              <w:spacing w:after="0"/>
              <w:jc w:val="left"/>
            </w:pPr>
            <w:r/>
            <w:r>
              <w:rPr>
                <w:rFonts w:ascii="Times New Roman" w:hAnsi="Times New Roman"/>
                <w:sz w:val="22"/>
              </w:rPr>
              <w:t>Every feature passes the known-at-filing check</w:t>
            </w:r>
          </w:p>
        </w:tc>
        <w:tc>
          <w:tcPr>
            <w:tcW w:type="dxa" w:w="2326"/>
          </w:tcPr>
          <w:p>
            <w:pPr>
              <w:spacing w:after="0"/>
              <w:jc w:val="left"/>
            </w:pPr>
            <w:r/>
            <w:r>
              <w:rPr>
                <w:rFonts w:ascii="Times New Roman" w:hAnsi="Times New Roman"/>
                <w:sz w:val="22"/>
              </w:rPr>
              <w:t>101,609 x 55 (23 categorical, 20 numeric, 12 binary)</w:t>
            </w:r>
          </w:p>
        </w:tc>
      </w:tr>
      <w:tr>
        <w:tc>
          <w:tcPr>
            <w:tcW w:type="dxa" w:w="2326"/>
          </w:tcPr>
          <w:p>
            <w:pPr>
              <w:spacing w:after="0"/>
              <w:jc w:val="left"/>
            </w:pPr>
            <w:r/>
            <w:r>
              <w:rPr>
                <w:rFonts w:ascii="Times New Roman" w:hAnsi="Times New Roman"/>
                <w:sz w:val="22"/>
              </w:rPr>
              <w:t>9 Train, validation and test split</w:t>
            </w:r>
          </w:p>
        </w:tc>
        <w:tc>
          <w:tcPr>
            <w:tcW w:type="dxa" w:w="2326"/>
          </w:tcPr>
          <w:p>
            <w:pPr>
              <w:spacing w:after="0"/>
              <w:jc w:val="left"/>
            </w:pPr>
            <w:r/>
            <w:r>
              <w:rPr>
                <w:rFonts w:ascii="Times New Roman" w:hAnsi="Times New Roman"/>
                <w:sz w:val="22"/>
              </w:rPr>
              <w:t>82.3% of rows share a mine-year with another date; later siblings' mean label gives ROC-AUC 0.667; unstratified group folds give prevalence 46.5-50.9%</w:t>
            </w:r>
          </w:p>
        </w:tc>
        <w:tc>
          <w:tcPr>
            <w:tcW w:type="dxa" w:w="2326"/>
          </w:tcPr>
          <w:p>
            <w:pPr>
              <w:spacing w:after="0"/>
              <w:jc w:val="left"/>
            </w:pPr>
            <w:r/>
            <w:r>
              <w:rPr>
                <w:rFonts w:ascii="Times New Roman" w:hAnsi="Times New Roman"/>
                <w:sz w:val="22"/>
              </w:rPr>
              <w:t>Stratified random 80/20; group by MINE_ID (8,303 groups); temporal 2010-2019 vs 2020-2025</w:t>
            </w:r>
          </w:p>
        </w:tc>
        <w:tc>
          <w:tcPr>
            <w:tcW w:type="dxa" w:w="2326"/>
          </w:tcPr>
          <w:p>
            <w:pPr>
              <w:spacing w:after="0"/>
              <w:jc w:val="left"/>
            </w:pPr>
            <w:r/>
            <w:r>
              <w:rPr>
                <w:rFonts w:ascii="Times New Roman" w:hAnsi="Times New Roman"/>
                <w:sz w:val="22"/>
              </w:rPr>
              <w:t>StratifiedGroupKFold (5 folds, shuffle, random_state = 42) on 32,732 mine-years, fold 0 as test; 5-fold StratifiedGroupKFold on the training rows as validation</w:t>
            </w:r>
          </w:p>
        </w:tc>
        <w:tc>
          <w:tcPr>
            <w:tcW w:type="dxa" w:w="2326"/>
          </w:tcPr>
          <w:p>
            <w:pPr>
              <w:spacing w:after="0"/>
              <w:jc w:val="left"/>
            </w:pPr>
            <w:r/>
            <w:r>
              <w:rPr>
                <w:rFonts w:ascii="Times New Roman" w:hAnsi="Times New Roman"/>
                <w:sz w:val="22"/>
              </w:rPr>
              <w:t>No mine-year or same-day group crosses the split; prevalence 48.6% in both train and test</w:t>
            </w:r>
          </w:p>
        </w:tc>
        <w:tc>
          <w:tcPr>
            <w:tcW w:type="dxa" w:w="2326"/>
          </w:tcPr>
          <w:p>
            <w:pPr>
              <w:spacing w:after="0"/>
              <w:jc w:val="left"/>
            </w:pPr>
            <w:r/>
            <w:r>
              <w:rPr>
                <w:rFonts w:ascii="Times New Roman" w:hAnsi="Times New Roman"/>
                <w:sz w:val="22"/>
              </w:rPr>
              <w:t>Train 81,289 x 55; test 20,320 x 55 (6,724 mine-years)</w:t>
            </w:r>
          </w:p>
        </w:tc>
      </w:tr>
      <w:tr>
        <w:tc>
          <w:tcPr>
            <w:tcW w:type="dxa" w:w="2326"/>
          </w:tcPr>
          <w:p>
            <w:pPr>
              <w:spacing w:after="0"/>
              <w:jc w:val="left"/>
            </w:pPr>
            <w:r/>
            <w:r>
              <w:rPr>
                <w:rFonts w:ascii="Times New Roman" w:hAnsi="Times New Roman"/>
                <w:sz w:val="22"/>
              </w:rPr>
              <w:t>10 Class balance</w:t>
            </w:r>
          </w:p>
        </w:tc>
        <w:tc>
          <w:tcPr>
            <w:tcW w:type="dxa" w:w="2326"/>
          </w:tcPr>
          <w:p>
            <w:pPr>
              <w:spacing w:after="0"/>
              <w:jc w:val="left"/>
            </w:pPr>
            <w:r/>
            <w:r>
              <w:rPr>
                <w:rFonts w:ascii="Times New Roman" w:hAnsi="Times New Roman"/>
                <w:sz w:val="22"/>
              </w:rPr>
              <w:t>Training prevalence 48.6%; negative to positive 1.058 on all rows</w:t>
            </w:r>
          </w:p>
        </w:tc>
        <w:tc>
          <w:tcPr>
            <w:tcW w:type="dxa" w:w="2326"/>
          </w:tcPr>
          <w:p>
            <w:pPr>
              <w:spacing w:after="0"/>
              <w:jc w:val="left"/>
            </w:pPr>
            <w:r/>
            <w:r>
              <w:rPr>
                <w:rFonts w:ascii="Times New Roman" w:hAnsi="Times New Roman"/>
                <w:sz w:val="22"/>
              </w:rPr>
              <w:t>None; class_weight; random under- or over-sampling; SMOTE inside folds; threshold tuning</w:t>
            </w:r>
          </w:p>
        </w:tc>
        <w:tc>
          <w:tcPr>
            <w:tcW w:type="dxa" w:w="2326"/>
          </w:tcPr>
          <w:p>
            <w:pPr>
              <w:spacing w:after="0"/>
              <w:jc w:val="left"/>
            </w:pPr>
            <w:r/>
            <w:r>
              <w:rPr>
                <w:rFonts w:ascii="Times New Roman" w:hAnsi="Times New Roman"/>
                <w:sz w:val="22"/>
              </w:rPr>
              <w:t>No resampling; class_weight in the logistic-regression grid; threshold tuned on out-of-fold probabilities; test set untouched</w:t>
            </w:r>
          </w:p>
        </w:tc>
        <w:tc>
          <w:tcPr>
            <w:tcW w:type="dxa" w:w="2326"/>
          </w:tcPr>
          <w:p>
            <w:pPr>
              <w:spacing w:after="0"/>
              <w:jc w:val="left"/>
            </w:pPr>
            <w:r/>
            <w:r>
              <w:rPr>
                <w:rFonts w:ascii="Times New Roman" w:hAnsi="Times New Roman"/>
                <w:sz w:val="22"/>
              </w:rPr>
              <w:t>Near balance; resampling distorts the probabilities used by the cost threshold</w:t>
            </w:r>
          </w:p>
        </w:tc>
        <w:tc>
          <w:tcPr>
            <w:tcW w:type="dxa" w:w="2326"/>
          </w:tcPr>
          <w:p>
            <w:pPr>
              <w:spacing w:after="0"/>
              <w:jc w:val="left"/>
            </w:pPr>
            <w:r/>
            <w:r>
              <w:rPr>
                <w:rFonts w:ascii="Times New Roman" w:hAnsi="Times New Roman"/>
                <w:sz w:val="22"/>
              </w:rPr>
              <w:t>81,289 x 55</w:t>
            </w:r>
          </w:p>
        </w:tc>
      </w:tr>
      <w:tr>
        <w:tc>
          <w:tcPr>
            <w:tcW w:type="dxa" w:w="2326"/>
          </w:tcPr>
          <w:p>
            <w:pPr>
              <w:spacing w:after="0"/>
              <w:jc w:val="left"/>
            </w:pPr>
            <w:r/>
            <w:r>
              <w:rPr>
                <w:rFonts w:ascii="Times New Roman" w:hAnsi="Times New Roman"/>
                <w:sz w:val="22"/>
              </w:rPr>
              <w:t>11 Missing values</w:t>
            </w:r>
          </w:p>
        </w:tc>
        <w:tc>
          <w:tcPr>
            <w:tcW w:type="dxa" w:w="2326"/>
          </w:tcPr>
          <w:p>
            <w:pPr>
              <w:spacing w:after="0"/>
              <w:jc w:val="left"/>
            </w:pPr>
            <w:r/>
            <w:r>
              <w:rPr>
                <w:rFonts w:ascii="Times New Roman" w:hAnsi="Times New Roman"/>
                <w:sz w:val="22"/>
              </w:rPr>
              <w:t>Missing on training rows: TOT_EXPER 1.2%, JOB_EXPER 4.5% (after E1), hours_into_shift 3.8%, previous-year exposure 1.2%, prev_lost_time_share 19.8%, coordinates 0.2%; structural placeholders 53.9-66.6%; lost-time 59.3% when TOT_EXPER is blank vs 48.5% when recorded; TOT_EXPER blank on 2.2% of 2010 rows and under 1% from 2017 onwards</w:t>
            </w:r>
          </w:p>
        </w:tc>
        <w:tc>
          <w:tcPr>
            <w:tcW w:type="dxa" w:w="2326"/>
          </w:tcPr>
          <w:p>
            <w:pPr>
              <w:spacing w:after="0"/>
              <w:jc w:val="left"/>
            </w:pPr>
            <w:r/>
            <w:r>
              <w:rPr>
                <w:rFonts w:ascii="Times New Roman" w:hAnsi="Times New Roman"/>
                <w:sz w:val="22"/>
              </w:rPr>
              <w:t>Listwise deletion; mean; median; most_frequent; KNNImputer; IterativeImputer; add_indicator</w:t>
            </w:r>
          </w:p>
        </w:tc>
        <w:tc>
          <w:tcPr>
            <w:tcW w:type="dxa" w:w="2326"/>
          </w:tcPr>
          <w:p>
            <w:pPr>
              <w:spacing w:after="0"/>
              <w:jc w:val="left"/>
            </w:pPr>
            <w:r/>
            <w:r>
              <w:rPr>
                <w:rFonts w:ascii="Times New Roman" w:hAnsi="Times New Roman"/>
                <w:sz w:val="22"/>
              </w:rPr>
              <w:t>SimpleImputer(median) for numerics; seven explicit indicator flags; level "none" for structural placeholders; constant level "missing" for other categorical gaps</w:t>
            </w:r>
          </w:p>
        </w:tc>
        <w:tc>
          <w:tcPr>
            <w:tcW w:type="dxa" w:w="2326"/>
          </w:tcPr>
          <w:p>
            <w:pPr>
              <w:spacing w:after="0"/>
              <w:jc w:val="left"/>
            </w:pPr>
            <w:r/>
            <w:r>
              <w:rPr>
                <w:rFonts w:ascii="Times New Roman" w:hAnsi="Times New Roman"/>
                <w:sz w:val="22"/>
              </w:rPr>
              <w:t>Skewed columns; not MCAR; built-in indicators would repeat one flag six times</w:t>
            </w:r>
          </w:p>
        </w:tc>
        <w:tc>
          <w:tcPr>
            <w:tcW w:type="dxa" w:w="2326"/>
          </w:tcPr>
          <w:p>
            <w:pPr>
              <w:spacing w:after="0"/>
              <w:jc w:val="left"/>
            </w:pPr>
            <w:r/>
            <w:r>
              <w:rPr>
                <w:rFonts w:ascii="Times New Roman" w:hAnsi="Times New Roman"/>
                <w:sz w:val="22"/>
              </w:rPr>
              <w:t>81,289 x 55, no NaN</w:t>
            </w:r>
          </w:p>
        </w:tc>
      </w:tr>
      <w:tr>
        <w:tc>
          <w:tcPr>
            <w:tcW w:type="dxa" w:w="2326"/>
          </w:tcPr>
          <w:p>
            <w:pPr>
              <w:spacing w:after="0"/>
              <w:jc w:val="left"/>
            </w:pPr>
            <w:r/>
            <w:r>
              <w:rPr>
                <w:rFonts w:ascii="Times New Roman" w:hAnsi="Times New Roman"/>
                <w:sz w:val="22"/>
              </w:rPr>
              <w:t>12 Outliers and skew</w:t>
            </w:r>
          </w:p>
        </w:tc>
        <w:tc>
          <w:tcPr>
            <w:tcW w:type="dxa" w:w="2326"/>
          </w:tcPr>
          <w:p>
            <w:pPr>
              <w:spacing w:after="0"/>
              <w:jc w:val="left"/>
            </w:pPr>
            <w:r/>
            <w:r>
              <w:rPr>
                <w:rFonts w:ascii="Times New Roman" w:hAnsi="Times New Roman"/>
                <w:sz w:val="22"/>
              </w:rPr>
              <w:t>Skewness TOT_EXPER 1.37, prev_hours 4.27; TOT_EXPER flagged by IQR fences 4,020 (5.0%) vs Z-score 714 (0.9%); prev_hours 3,872 (4.8%) vs 1,454 (1.8%)</w:t>
            </w:r>
          </w:p>
        </w:tc>
        <w:tc>
          <w:tcPr>
            <w:tcW w:type="dxa" w:w="2326"/>
          </w:tcPr>
          <w:p>
            <w:pPr>
              <w:spacing w:after="0"/>
              <w:jc w:val="left"/>
            </w:pPr>
            <w:r/>
            <w:r>
              <w:rPr>
                <w:rFonts w:ascii="Times New Roman" w:hAnsi="Times New Roman"/>
                <w:sz w:val="22"/>
              </w:rPr>
              <w:t>IQR clip; Z-score clip; log1p; keep</w:t>
            </w:r>
          </w:p>
        </w:tc>
        <w:tc>
          <w:tcPr>
            <w:tcW w:type="dxa" w:w="2326"/>
          </w:tcPr>
          <w:p>
            <w:pPr>
              <w:spacing w:after="0"/>
              <w:jc w:val="left"/>
            </w:pPr>
            <w:r/>
            <w:r>
              <w:rPr>
                <w:rFonts w:ascii="Times New Roman" w:hAnsi="Times New Roman"/>
                <w:sz w:val="22"/>
              </w:rPr>
              <w:t>Keep values; add log1p of both (log1p TOT_EXPER flags 0 under both rules); clipping as an application option</w:t>
            </w:r>
          </w:p>
        </w:tc>
        <w:tc>
          <w:tcPr>
            <w:tcW w:type="dxa" w:w="2326"/>
          </w:tcPr>
          <w:p>
            <w:pPr>
              <w:spacing w:after="0"/>
              <w:jc w:val="left"/>
            </w:pPr>
            <w:r/>
            <w:r>
              <w:rPr>
                <w:rFonts w:ascii="Times New Roman" w:hAnsi="Times New Roman"/>
                <w:sz w:val="22"/>
              </w:rPr>
              <w:t>Flagged values are real veterans and large mines; impossible values handled by E3 and E25</w:t>
            </w:r>
          </w:p>
        </w:tc>
        <w:tc>
          <w:tcPr>
            <w:tcW w:type="dxa" w:w="2326"/>
          </w:tcPr>
          <w:p>
            <w:pPr>
              <w:spacing w:after="0"/>
              <w:jc w:val="left"/>
            </w:pPr>
            <w:r/>
            <w:r>
              <w:rPr>
                <w:rFonts w:ascii="Times New Roman" w:hAnsi="Times New Roman"/>
                <w:sz w:val="22"/>
              </w:rPr>
              <w:t>81,289 x 55</w:t>
            </w:r>
          </w:p>
        </w:tc>
      </w:tr>
      <w:tr>
        <w:tc>
          <w:tcPr>
            <w:tcW w:type="dxa" w:w="2326"/>
          </w:tcPr>
          <w:p>
            <w:pPr>
              <w:spacing w:after="0"/>
              <w:jc w:val="left"/>
            </w:pPr>
            <w:r/>
            <w:r>
              <w:rPr>
                <w:rFonts w:ascii="Times New Roman" w:hAnsi="Times New Roman"/>
                <w:sz w:val="22"/>
              </w:rPr>
              <w:t>13 Encoding</w:t>
            </w:r>
          </w:p>
        </w:tc>
        <w:tc>
          <w:tcPr>
            <w:tcW w:type="dxa" w:w="2326"/>
          </w:tcPr>
          <w:p>
            <w:pPr>
              <w:spacing w:after="0"/>
              <w:jc w:val="left"/>
            </w:pPr>
            <w:r/>
            <w:r>
              <w:rPr>
                <w:rFonts w:ascii="Times New Roman" w:hAnsi="Times New Roman"/>
                <w:sz w:val="22"/>
              </w:rPr>
              <w:t>23 nominal features; OCCUPATION 193 titles, EQUIP_MFR_NAME 132, INJURY_SOURCE_CD 124 on training rows; unseen levels possible at inference</w:t>
            </w:r>
          </w:p>
        </w:tc>
        <w:tc>
          <w:tcPr>
            <w:tcW w:type="dxa" w:w="2326"/>
          </w:tcPr>
          <w:p>
            <w:pPr>
              <w:spacing w:after="0"/>
              <w:jc w:val="left"/>
            </w:pPr>
            <w:r/>
            <w:r>
              <w:rPr>
                <w:rFonts w:ascii="Times New Roman" w:hAnsi="Times New Roman"/>
                <w:sz w:val="22"/>
              </w:rPr>
              <w:t>One-hot; ordinal; target encoding; label encoding</w:t>
            </w:r>
          </w:p>
        </w:tc>
        <w:tc>
          <w:tcPr>
            <w:tcW w:type="dxa" w:w="2326"/>
          </w:tcPr>
          <w:p>
            <w:pPr>
              <w:spacing w:after="0"/>
              <w:jc w:val="left"/>
            </w:pPr>
            <w:r/>
            <w:r>
              <w:rPr>
                <w:rFonts w:ascii="Times New Roman" w:hAnsi="Times New Roman"/>
                <w:sz w:val="22"/>
              </w:rPr>
              <w:t>OneHotEncoder(handle_unknown="infrequent_if_exist", min_frequency=0.001); OrdinalEncoder as application option; label encoding for the target only</w:t>
            </w:r>
          </w:p>
        </w:tc>
        <w:tc>
          <w:tcPr>
            <w:tcW w:type="dxa" w:w="2326"/>
          </w:tcPr>
          <w:p>
            <w:pPr>
              <w:spacing w:after="0"/>
              <w:jc w:val="left"/>
            </w:pPr>
            <w:r/>
            <w:r>
              <w:rPr>
                <w:rFonts w:ascii="Times New Roman" w:hAnsi="Times New Roman"/>
                <w:sz w:val="22"/>
              </w:rPr>
              <w:t>No false order; levels below about 81 training rows and unseen levels pooled</w:t>
            </w:r>
          </w:p>
        </w:tc>
        <w:tc>
          <w:tcPr>
            <w:tcW w:type="dxa" w:w="2326"/>
          </w:tcPr>
          <w:p>
            <w:pPr>
              <w:spacing w:after="0"/>
              <w:jc w:val="left"/>
            </w:pPr>
            <w:r/>
            <w:r>
              <w:rPr>
                <w:rFonts w:ascii="Times New Roman" w:hAnsi="Times New Roman"/>
                <w:sz w:val="22"/>
              </w:rPr>
              <w:t>81,289 x 552</w:t>
            </w:r>
          </w:p>
        </w:tc>
      </w:tr>
      <w:tr>
        <w:tc>
          <w:tcPr>
            <w:tcW w:type="dxa" w:w="2326"/>
          </w:tcPr>
          <w:p>
            <w:pPr>
              <w:spacing w:after="0"/>
              <w:jc w:val="left"/>
            </w:pPr>
            <w:r/>
            <w:r>
              <w:rPr>
                <w:rFonts w:ascii="Times New Roman" w:hAnsi="Times New Roman"/>
                <w:sz w:val="22"/>
              </w:rPr>
              <w:t>14 Scaling</w:t>
            </w:r>
          </w:p>
        </w:tc>
        <w:tc>
          <w:tcPr>
            <w:tcW w:type="dxa" w:w="2326"/>
          </w:tcPr>
          <w:p>
            <w:pPr>
              <w:spacing w:after="0"/>
              <w:jc w:val="left"/>
            </w:pPr>
            <w:r/>
            <w:r>
              <w:rPr>
                <w:rFonts w:ascii="Times New Roman" w:hAnsi="Times New Roman"/>
                <w:sz w:val="22"/>
              </w:rPr>
              <w:t>prev_hours from 1 to 7,735,308 h (median 246,979); experience 0.02 to 60 years</w:t>
            </w:r>
          </w:p>
        </w:tc>
        <w:tc>
          <w:tcPr>
            <w:tcW w:type="dxa" w:w="2326"/>
          </w:tcPr>
          <w:p>
            <w:pPr>
              <w:spacing w:after="0"/>
              <w:jc w:val="left"/>
            </w:pPr>
            <w:r/>
            <w:r>
              <w:rPr>
                <w:rFonts w:ascii="Times New Roman" w:hAnsi="Times New Roman"/>
                <w:sz w:val="22"/>
              </w:rPr>
              <w:t>StandardScaler; MinMaxScaler; RobustScaler; Normalizer; none</w:t>
            </w:r>
          </w:p>
        </w:tc>
        <w:tc>
          <w:tcPr>
            <w:tcW w:type="dxa" w:w="2326"/>
          </w:tcPr>
          <w:p>
            <w:pPr>
              <w:spacing w:after="0"/>
              <w:jc w:val="left"/>
            </w:pPr>
            <w:r/>
            <w:r>
              <w:rPr>
                <w:rFonts w:ascii="Times New Roman" w:hAnsi="Times New Roman"/>
                <w:sz w:val="22"/>
              </w:rPr>
              <w:t>StandardScaler for logistic regression, KNN, SVM, MLP and Gaussian naive Bayes; none for decision tree, random forest and histogram-based gradient boosting</w:t>
            </w:r>
          </w:p>
        </w:tc>
        <w:tc>
          <w:tcPr>
            <w:tcW w:type="dxa" w:w="2326"/>
          </w:tcPr>
          <w:p>
            <w:pPr>
              <w:spacing w:after="0"/>
              <w:jc w:val="left"/>
            </w:pPr>
            <w:r/>
            <w:r>
              <w:rPr>
                <w:rFonts w:ascii="Times New Roman" w:hAnsi="Times New Roman"/>
                <w:sz w:val="22"/>
              </w:rPr>
              <w:t>Distance, gradient and variance-based models need comparable scales; tree splits are invariant to monotone rescaling</w:t>
            </w:r>
          </w:p>
        </w:tc>
        <w:tc>
          <w:tcPr>
            <w:tcW w:type="dxa" w:w="2326"/>
          </w:tcPr>
          <w:p>
            <w:pPr>
              <w:spacing w:after="0"/>
              <w:jc w:val="left"/>
            </w:pPr>
            <w:r/>
            <w:r>
              <w:rPr>
                <w:rFonts w:ascii="Times New Roman" w:hAnsi="Times New Roman"/>
                <w:sz w:val="22"/>
              </w:rPr>
              <w:t>81,289 x 552</w:t>
            </w:r>
          </w:p>
        </w:tc>
      </w:tr>
    </w:tbl>
    <w:p>
      <w:pPr>
        <w:spacing w:after="80"/>
      </w:pPr>
    </w:p>
    <w:p>
      <w:pPr>
        <w:sectPr>
          <w:pgSz w:w="16838" w:h="11906" w:orient="landscape"/>
          <w:pgMar w:top="1440" w:right="1440" w:bottom="1440" w:left="1440" w:header="720" w:footer="720" w:gutter="0"/>
          <w:cols w:space="720"/>
          <w:docGrid w:linePitch="360"/>
        </w:sectPr>
      </w:pPr>
    </w:p>
    <w:p>
      <w:pPr>
        <w:pStyle w:val="Heading1"/>
      </w:pPr>
      <w:r>
        <w:rPr>
          <w:rFonts w:ascii="Times New Roman" w:hAnsi="Times New Roman"/>
          <w:b/>
          <w:color w:val="000000"/>
          <w:sz w:val="32"/>
        </w:rPr>
        <w:t>4 Modelling</w:t>
      </w:r>
    </w:p>
    <w:p>
      <w:pPr>
        <w:pStyle w:val="Heading2"/>
      </w:pPr>
      <w:r>
        <w:rPr>
          <w:rFonts w:ascii="Times New Roman" w:hAnsi="Times New Roman"/>
          <w:b/>
          <w:color w:val="000000"/>
          <w:sz w:val="28"/>
        </w:rPr>
        <w:t>4.1 Summary</w:t>
      </w:r>
    </w:p>
    <w:p>
      <w:r>
        <w:rPr>
          <w:rFonts w:ascii="Times New Roman" w:hAnsi="Times New Roman"/>
          <w:sz w:val="24"/>
        </w:rPr>
        <w:t>The task is supervised binary classification of each Form 7000-1 report as lost-time or not, with a probability that ranks the adjuster's review queue. Eight algorithms were compared on the same split and fold scheme (Table 9): logistic regression, KNN, Gaussian naive Bayes, a decision tree, a random forest, histogram-based gradient boosting (HGB), an SVM with a radial basis function (RBF) kernel and an MLP. Each was tuned by GridSearchCV, or RandomizedSearchCV for the forest, over five StratifiedGroupKFold folds of mine-year groups inside the training split. PR-AUC, computed as average precision, was the primary metric and the refit criterion (Table 10). Decision thresholds were then fixed on out-of-fold probabilities, so the test set was scored once. HGB ranked first in cross-validation (Table 11) and on the test set (Table 12), with a test PR-AUC of 0.841. At its capacity threshold it flags about three reports in four and finds 0.943 of lost-time cases with a precision of 0.599 (Table 13; Table 16). It passes five of the six performance criteria and misses recall at half capacity by a small margin (Table 17).</w:t>
      </w:r>
    </w:p>
    <w:p>
      <w:pPr>
        <w:pStyle w:val="Heading2"/>
      </w:pPr>
      <w:r>
        <w:rPr>
          <w:rFonts w:ascii="Times New Roman" w:hAnsi="Times New Roman"/>
          <w:b/>
          <w:color w:val="000000"/>
          <w:sz w:val="28"/>
        </w:rPr>
        <w:t>4.2 Algorithm selection</w:t>
      </w:r>
    </w:p>
    <w:p>
      <w:r>
        <w:rPr>
          <w:rFonts w:ascii="Times New Roman" w:hAnsi="Times New Roman"/>
          <w:sz w:val="24"/>
        </w:rPr>
        <w:t>Encoding yields 552 columns, mostly zero-valued one-hot indicators beside skewed numeric and binary features (Table 8). Size relations are monotone but curved and collinear (Table 7). Nominal codes lead the associations, and the classes are near balance. An adjuster needs a reason for every flag and the application scores forms on demand, so interpretability and speed also counted (Table 9).</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eight candidate algorithms with their paradigm, key assumption, the violation found in the training split and the bias it introduces, scaling need, interpretability and the module week in which each was taught; violations refer to the exploratory analysis of the training split in Section 2. Source: author's analysis of MSHA open data.</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E7E6E6"/>
          </w:tcPr>
          <w:p>
            <w:pPr>
              <w:jc w:val="left"/>
            </w:pPr>
            <w:r>
              <w:rPr>
                <w:b/>
              </w:rPr>
            </w:r>
            <w:r>
              <w:rPr>
                <w:rFonts w:ascii="Times New Roman" w:hAnsi="Times New Roman"/>
                <w:b/>
                <w:sz w:val="22"/>
              </w:rPr>
              <w:t>Algorithm</w:t>
            </w:r>
          </w:p>
        </w:tc>
        <w:tc>
          <w:tcPr>
            <w:tcW w:type="dxa" w:w="1289"/>
            <w:shd w:val="clear" w:color="auto" w:fill="E7E6E6"/>
          </w:tcPr>
          <w:p>
            <w:pPr>
              <w:jc w:val="left"/>
            </w:pPr>
            <w:r>
              <w:rPr>
                <w:b/>
              </w:rPr>
            </w:r>
            <w:r>
              <w:rPr>
                <w:rFonts w:ascii="Times New Roman" w:hAnsi="Times New Roman"/>
                <w:b/>
                <w:sz w:val="22"/>
              </w:rPr>
              <w:t>Paradigm</w:t>
            </w:r>
          </w:p>
        </w:tc>
        <w:tc>
          <w:tcPr>
            <w:tcW w:type="dxa" w:w="1289"/>
            <w:shd w:val="clear" w:color="auto" w:fill="E7E6E6"/>
          </w:tcPr>
          <w:p>
            <w:pPr>
              <w:jc w:val="left"/>
            </w:pPr>
            <w:r>
              <w:rPr>
                <w:b/>
              </w:rPr>
            </w:r>
            <w:r>
              <w:rPr>
                <w:rFonts w:ascii="Times New Roman" w:hAnsi="Times New Roman"/>
                <w:b/>
                <w:sz w:val="22"/>
              </w:rPr>
              <w:t>Key assumption</w:t>
            </w:r>
          </w:p>
        </w:tc>
        <w:tc>
          <w:tcPr>
            <w:tcW w:type="dxa" w:w="1289"/>
            <w:shd w:val="clear" w:color="auto" w:fill="E7E6E6"/>
          </w:tcPr>
          <w:p>
            <w:pPr>
              <w:jc w:val="left"/>
            </w:pPr>
            <w:r>
              <w:rPr>
                <w:b/>
              </w:rPr>
            </w:r>
            <w:r>
              <w:rPr>
                <w:rFonts w:ascii="Times New Roman" w:hAnsi="Times New Roman"/>
                <w:b/>
                <w:sz w:val="22"/>
              </w:rPr>
              <w:t>Violation in this data and resulting bias</w:t>
            </w:r>
          </w:p>
        </w:tc>
        <w:tc>
          <w:tcPr>
            <w:tcW w:type="dxa" w:w="1289"/>
            <w:shd w:val="clear" w:color="auto" w:fill="E7E6E6"/>
          </w:tcPr>
          <w:p>
            <w:pPr>
              <w:jc w:val="left"/>
            </w:pPr>
            <w:r>
              <w:rPr>
                <w:b/>
              </w:rPr>
            </w:r>
            <w:r>
              <w:rPr>
                <w:rFonts w:ascii="Times New Roman" w:hAnsi="Times New Roman"/>
                <w:b/>
                <w:sz w:val="22"/>
              </w:rPr>
              <w:t>Scaling</w:t>
            </w:r>
          </w:p>
        </w:tc>
        <w:tc>
          <w:tcPr>
            <w:tcW w:type="dxa" w:w="1289"/>
            <w:shd w:val="clear" w:color="auto" w:fill="E7E6E6"/>
          </w:tcPr>
          <w:p>
            <w:pPr>
              <w:jc w:val="left"/>
            </w:pPr>
            <w:r>
              <w:rPr>
                <w:b/>
              </w:rPr>
            </w:r>
            <w:r>
              <w:rPr>
                <w:rFonts w:ascii="Times New Roman" w:hAnsi="Times New Roman"/>
                <w:b/>
                <w:sz w:val="22"/>
              </w:rPr>
              <w:t>Interpretability</w:t>
            </w:r>
          </w:p>
        </w:tc>
        <w:tc>
          <w:tcPr>
            <w:tcW w:type="dxa" w:w="1289"/>
            <w:shd w:val="clear" w:color="auto" w:fill="E7E6E6"/>
          </w:tcPr>
          <w:p>
            <w:pPr>
              <w:jc w:val="left"/>
            </w:pPr>
            <w:r>
              <w:rPr>
                <w:b/>
              </w:rPr>
            </w:r>
            <w:r>
              <w:rPr>
                <w:rFonts w:ascii="Times New Roman" w:hAnsi="Times New Roman"/>
                <w:b/>
                <w:sz w:val="22"/>
              </w:rPr>
              <w:t>Taught week</w:t>
            </w:r>
          </w:p>
        </w:tc>
      </w:tr>
      <w:tr>
        <w:tc>
          <w:tcPr>
            <w:tcW w:type="dxa" w:w="1289"/>
          </w:tcPr>
          <w:p>
            <w:pPr>
              <w:spacing w:after="0"/>
              <w:jc w:val="left"/>
            </w:pPr>
            <w:r/>
            <w:r>
              <w:rPr>
                <w:rFonts w:ascii="Times New Roman" w:hAnsi="Times New Roman"/>
                <w:sz w:val="22"/>
              </w:rPr>
              <w:t>Logistic regression</w:t>
            </w:r>
          </w:p>
        </w:tc>
        <w:tc>
          <w:tcPr>
            <w:tcW w:type="dxa" w:w="1289"/>
          </w:tcPr>
          <w:p>
            <w:pPr>
              <w:spacing w:after="0"/>
              <w:jc w:val="left"/>
            </w:pPr>
            <w:r/>
            <w:r>
              <w:rPr>
                <w:rFonts w:ascii="Times New Roman" w:hAnsi="Times New Roman"/>
                <w:sz w:val="22"/>
              </w:rPr>
              <w:t>parametric; discriminative; eager</w:t>
            </w:r>
          </w:p>
        </w:tc>
        <w:tc>
          <w:tcPr>
            <w:tcW w:type="dxa" w:w="1289"/>
          </w:tcPr>
          <w:p>
            <w:pPr>
              <w:spacing w:after="0"/>
              <w:jc w:val="left"/>
            </w:pPr>
            <w:r/>
            <w:r>
              <w:rPr>
                <w:rFonts w:ascii="Times New Roman" w:hAnsi="Times New Roman"/>
                <w:sz w:val="22"/>
              </w:rPr>
              <w:t>log-odds linear and additive in the encoded columns</w:t>
            </w:r>
          </w:p>
        </w:tc>
        <w:tc>
          <w:tcPr>
            <w:tcW w:type="dxa" w:w="1289"/>
          </w:tcPr>
          <w:p>
            <w:pPr>
              <w:spacing w:after="0"/>
              <w:jc w:val="left"/>
            </w:pPr>
            <w:r/>
            <w:r>
              <w:rPr>
                <w:rFonts w:ascii="Times New Roman" w:hAnsi="Times New Roman"/>
                <w:sz w:val="22"/>
              </w:rPr>
              <w:t>curved size effects (Pearson r 0.645 against Spearman 0.994) and nature x body part interactions; underfits (high bias)</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high: coefficients convert to odds ratios</w:t>
            </w:r>
          </w:p>
        </w:tc>
        <w:tc>
          <w:tcPr>
            <w:tcW w:type="dxa" w:w="1289"/>
          </w:tcPr>
          <w:p>
            <w:pPr>
              <w:spacing w:after="0"/>
              <w:jc w:val="left"/>
            </w:pPr>
            <w:r/>
            <w:r>
              <w:rPr>
                <w:rFonts w:ascii="Times New Roman" w:hAnsi="Times New Roman"/>
                <w:sz w:val="22"/>
              </w:rPr>
              <w:t>4</w:t>
            </w:r>
          </w:p>
        </w:tc>
      </w:tr>
      <w:tr>
        <w:tc>
          <w:tcPr>
            <w:tcW w:type="dxa" w:w="1289"/>
          </w:tcPr>
          <w:p>
            <w:pPr>
              <w:spacing w:after="0"/>
              <w:jc w:val="left"/>
            </w:pPr>
            <w:r/>
            <w:r>
              <w:rPr>
                <w:rFonts w:ascii="Times New Roman" w:hAnsi="Times New Roman"/>
                <w:sz w:val="22"/>
              </w:rPr>
              <w:t>KNN</w:t>
            </w:r>
          </w:p>
        </w:tc>
        <w:tc>
          <w:tcPr>
            <w:tcW w:type="dxa" w:w="1289"/>
          </w:tcPr>
          <w:p>
            <w:pPr>
              <w:spacing w:after="0"/>
              <w:jc w:val="left"/>
            </w:pPr>
            <w:r/>
            <w:r>
              <w:rPr>
                <w:rFonts w:ascii="Times New Roman" w:hAnsi="Times New Roman"/>
                <w:sz w:val="22"/>
              </w:rPr>
              <w:t>non-parametric; discriminative; lazy (instance-based)</w:t>
            </w:r>
          </w:p>
        </w:tc>
        <w:tc>
          <w:tcPr>
            <w:tcW w:type="dxa" w:w="1289"/>
          </w:tcPr>
          <w:p>
            <w:pPr>
              <w:spacing w:after="0"/>
              <w:jc w:val="left"/>
            </w:pPr>
            <w:r/>
            <w:r>
              <w:rPr>
                <w:rFonts w:ascii="Times New Roman" w:hAnsi="Times New Roman"/>
                <w:sz w:val="22"/>
              </w:rPr>
              <w:t>rows close in scaled Euclidean space share outcomes</w:t>
            </w:r>
          </w:p>
        </w:tc>
        <w:tc>
          <w:tcPr>
            <w:tcW w:type="dxa" w:w="1289"/>
          </w:tcPr>
          <w:p>
            <w:pPr>
              <w:spacing w:after="0"/>
              <w:jc w:val="left"/>
            </w:pPr>
            <w:r/>
            <w:r>
              <w:rPr>
                <w:rFonts w:ascii="Times New Roman" w:hAnsi="Times New Roman"/>
                <w:sz w:val="22"/>
              </w:rPr>
              <w:t>552 mostly binary dimensions flatten distances, so votes drift towards the local base rate</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low: a flag is explained only by similar past reports</w:t>
            </w:r>
          </w:p>
        </w:tc>
        <w:tc>
          <w:tcPr>
            <w:tcW w:type="dxa" w:w="1289"/>
          </w:tcPr>
          <w:p>
            <w:pPr>
              <w:spacing w:after="0"/>
              <w:jc w:val="left"/>
            </w:pPr>
            <w:r/>
            <w:r>
              <w:rPr>
                <w:rFonts w:ascii="Times New Roman" w:hAnsi="Times New Roman"/>
                <w:sz w:val="22"/>
              </w:rPr>
              <w:t>5</w:t>
            </w:r>
          </w:p>
        </w:tc>
      </w:tr>
      <w:tr>
        <w:tc>
          <w:tcPr>
            <w:tcW w:type="dxa" w:w="1289"/>
          </w:tcPr>
          <w:p>
            <w:pPr>
              <w:spacing w:after="0"/>
              <w:jc w:val="left"/>
            </w:pPr>
            <w:r/>
            <w:r>
              <w:rPr>
                <w:rFonts w:ascii="Times New Roman" w:hAnsi="Times New Roman"/>
                <w:sz w:val="22"/>
              </w:rPr>
              <w:t>Gaussian naive Bayes</w:t>
            </w:r>
          </w:p>
        </w:tc>
        <w:tc>
          <w:tcPr>
            <w:tcW w:type="dxa" w:w="1289"/>
          </w:tcPr>
          <w:p>
            <w:pPr>
              <w:spacing w:after="0"/>
              <w:jc w:val="left"/>
            </w:pPr>
            <w:r/>
            <w:r>
              <w:rPr>
                <w:rFonts w:ascii="Times New Roman" w:hAnsi="Times New Roman"/>
                <w:sz w:val="22"/>
              </w:rPr>
              <w:t>parametric; generative; eager</w:t>
            </w:r>
          </w:p>
        </w:tc>
        <w:tc>
          <w:tcPr>
            <w:tcW w:type="dxa" w:w="1289"/>
          </w:tcPr>
          <w:p>
            <w:pPr>
              <w:spacing w:after="0"/>
              <w:jc w:val="left"/>
            </w:pPr>
            <w:r/>
            <w:r>
              <w:rPr>
                <w:rFonts w:ascii="Times New Roman" w:hAnsi="Times New Roman"/>
                <w:sz w:val="22"/>
              </w:rPr>
              <w:t>features independent given the class, each Gaussian within a class</w:t>
            </w:r>
          </w:p>
        </w:tc>
        <w:tc>
          <w:tcPr>
            <w:tcW w:type="dxa" w:w="1289"/>
          </w:tcPr>
          <w:p>
            <w:pPr>
              <w:spacing w:after="0"/>
              <w:jc w:val="left"/>
            </w:pPr>
            <w:r/>
            <w:r>
              <w:rPr>
                <w:rFonts w:ascii="Times New Roman" w:hAnsi="Times New Roman"/>
                <w:sz w:val="22"/>
              </w:rPr>
              <w:t>collinear size measures (VIF above 160) and nine highly skewed numeric features; evidence counted twice, overconfident posteriors</w:t>
            </w:r>
          </w:p>
        </w:tc>
        <w:tc>
          <w:tcPr>
            <w:tcW w:type="dxa" w:w="1289"/>
          </w:tcPr>
          <w:p>
            <w:pPr>
              <w:spacing w:after="0"/>
              <w:jc w:val="left"/>
            </w:pPr>
            <w:r/>
            <w:r>
              <w:rPr>
                <w:rFonts w:ascii="Times New Roman" w:hAnsi="Times New Roman"/>
                <w:sz w:val="22"/>
              </w:rPr>
              <w:t>StandardScaler (var_smoothing is relative to the largest variance)</w:t>
            </w:r>
          </w:p>
        </w:tc>
        <w:tc>
          <w:tcPr>
            <w:tcW w:type="dxa" w:w="1289"/>
          </w:tcPr>
          <w:p>
            <w:pPr>
              <w:spacing w:after="0"/>
              <w:jc w:val="left"/>
            </w:pPr>
            <w:r/>
            <w:r>
              <w:rPr>
                <w:rFonts w:ascii="Times New Roman" w:hAnsi="Times New Roman"/>
                <w:sz w:val="22"/>
              </w:rPr>
              <w:t>medium: class-conditional means</w:t>
            </w:r>
          </w:p>
        </w:tc>
        <w:tc>
          <w:tcPr>
            <w:tcW w:type="dxa" w:w="1289"/>
          </w:tcPr>
          <w:p>
            <w:pPr>
              <w:spacing w:after="0"/>
              <w:jc w:val="left"/>
            </w:pPr>
            <w:r/>
            <w:r>
              <w:rPr>
                <w:rFonts w:ascii="Times New Roman" w:hAnsi="Times New Roman"/>
                <w:sz w:val="22"/>
              </w:rPr>
              <w:t>5</w:t>
            </w:r>
          </w:p>
        </w:tc>
      </w:tr>
      <w:tr>
        <w:tc>
          <w:tcPr>
            <w:tcW w:type="dxa" w:w="1289"/>
          </w:tcPr>
          <w:p>
            <w:pPr>
              <w:spacing w:after="0"/>
              <w:jc w:val="left"/>
            </w:pPr>
            <w:r/>
            <w:r>
              <w:rPr>
                <w:rFonts w:ascii="Times New Roman" w:hAnsi="Times New Roman"/>
                <w:sz w:val="22"/>
              </w:rPr>
              <w:t>Decision tree (CART)</w:t>
            </w:r>
          </w:p>
        </w:tc>
        <w:tc>
          <w:tcPr>
            <w:tcW w:type="dxa" w:w="1289"/>
          </w:tcPr>
          <w:p>
            <w:pPr>
              <w:spacing w:after="0"/>
              <w:jc w:val="left"/>
            </w:pPr>
            <w:r/>
            <w:r>
              <w:rPr>
                <w:rFonts w:ascii="Times New Roman" w:hAnsi="Times New Roman"/>
                <w:sz w:val="22"/>
              </w:rPr>
              <w:t>non-parametric; discriminative; eager</w:t>
            </w:r>
          </w:p>
        </w:tc>
        <w:tc>
          <w:tcPr>
            <w:tcW w:type="dxa" w:w="1289"/>
          </w:tcPr>
          <w:p>
            <w:pPr>
              <w:spacing w:after="0"/>
              <w:jc w:val="left"/>
            </w:pPr>
            <w:r/>
            <w:r>
              <w:rPr>
                <w:rFonts w:ascii="Times New Roman" w:hAnsi="Times New Roman"/>
                <w:sz w:val="22"/>
              </w:rPr>
              <w:t>classes separate in axis-aligned boxes</w:t>
            </w:r>
          </w:p>
        </w:tc>
        <w:tc>
          <w:tcPr>
            <w:tcW w:type="dxa" w:w="1289"/>
          </w:tcPr>
          <w:p>
            <w:pPr>
              <w:spacing w:after="0"/>
              <w:jc w:val="left"/>
            </w:pPr>
            <w:r/>
            <w:r>
              <w:rPr>
                <w:rFonts w:ascii="Times New Roman" w:hAnsi="Times New Roman"/>
                <w:sz w:val="22"/>
              </w:rPr>
              <w:t>curved effects need many steps; greedy splits give high variance</w:t>
            </w:r>
          </w:p>
        </w:tc>
        <w:tc>
          <w:tcPr>
            <w:tcW w:type="dxa" w:w="1289"/>
          </w:tcPr>
          <w:p>
            <w:pPr>
              <w:spacing w:after="0"/>
              <w:jc w:val="left"/>
            </w:pPr>
            <w:r/>
            <w:r>
              <w:rPr>
                <w:rFonts w:ascii="Times New Roman" w:hAnsi="Times New Roman"/>
                <w:sz w:val="22"/>
              </w:rPr>
              <w:t>none</w:t>
            </w:r>
          </w:p>
        </w:tc>
        <w:tc>
          <w:tcPr>
            <w:tcW w:type="dxa" w:w="1289"/>
          </w:tcPr>
          <w:p>
            <w:pPr>
              <w:spacing w:after="0"/>
              <w:jc w:val="left"/>
            </w:pPr>
            <w:r/>
            <w:r>
              <w:rPr>
                <w:rFonts w:ascii="Times New Roman" w:hAnsi="Times New Roman"/>
                <w:sz w:val="22"/>
              </w:rPr>
              <w:t>high when shallow: if-then rules</w:t>
            </w:r>
          </w:p>
        </w:tc>
        <w:tc>
          <w:tcPr>
            <w:tcW w:type="dxa" w:w="1289"/>
          </w:tcPr>
          <w:p>
            <w:pPr>
              <w:spacing w:after="0"/>
              <w:jc w:val="left"/>
            </w:pPr>
            <w:r/>
            <w:r>
              <w:rPr>
                <w:rFonts w:ascii="Times New Roman" w:hAnsi="Times New Roman"/>
                <w:sz w:val="22"/>
              </w:rPr>
              <w:t>6</w:t>
            </w:r>
          </w:p>
        </w:tc>
      </w:tr>
      <w:tr>
        <w:tc>
          <w:tcPr>
            <w:tcW w:type="dxa" w:w="1289"/>
          </w:tcPr>
          <w:p>
            <w:pPr>
              <w:spacing w:after="0"/>
              <w:jc w:val="left"/>
            </w:pPr>
            <w:r/>
            <w:r>
              <w:rPr>
                <w:rFonts w:ascii="Times New Roman" w:hAnsi="Times New Roman"/>
                <w:sz w:val="22"/>
              </w:rPr>
              <w:t>Random forest</w:t>
            </w:r>
          </w:p>
        </w:tc>
        <w:tc>
          <w:tcPr>
            <w:tcW w:type="dxa" w:w="1289"/>
          </w:tcPr>
          <w:p>
            <w:pPr>
              <w:spacing w:after="0"/>
              <w:jc w:val="left"/>
            </w:pPr>
            <w:r/>
            <w:r>
              <w:rPr>
                <w:rFonts w:ascii="Times New Roman" w:hAnsi="Times New Roman"/>
                <w:sz w:val="22"/>
              </w:rPr>
              <w:t>non-parametric bagging ensemble; discriminative; eager</w:t>
            </w:r>
          </w:p>
        </w:tc>
        <w:tc>
          <w:tcPr>
            <w:tcW w:type="dxa" w:w="1289"/>
          </w:tcPr>
          <w:p>
            <w:pPr>
              <w:spacing w:after="0"/>
              <w:jc w:val="left"/>
            </w:pPr>
            <w:r/>
            <w:r>
              <w:rPr>
                <w:rFonts w:ascii="Times New Roman" w:hAnsi="Times New Roman"/>
                <w:sz w:val="22"/>
              </w:rPr>
              <w:t>averaging decorrelated deep trees cancels their variance</w:t>
            </w:r>
          </w:p>
        </w:tc>
        <w:tc>
          <w:tcPr>
            <w:tcW w:type="dxa" w:w="1289"/>
          </w:tcPr>
          <w:p>
            <w:pPr>
              <w:spacing w:after="0"/>
              <w:jc w:val="left"/>
            </w:pPr>
            <w:r/>
            <w:r>
              <w:rPr>
                <w:rFonts w:ascii="Times New Roman" w:hAnsi="Times New Roman"/>
                <w:sz w:val="22"/>
              </w:rPr>
              <w:t>few violations; averaged leaf frequencies pull probabilities towards the middle</w:t>
            </w:r>
          </w:p>
        </w:tc>
        <w:tc>
          <w:tcPr>
            <w:tcW w:type="dxa" w:w="1289"/>
          </w:tcPr>
          <w:p>
            <w:pPr>
              <w:spacing w:after="0"/>
              <w:jc w:val="left"/>
            </w:pPr>
            <w:r/>
            <w:r>
              <w:rPr>
                <w:rFonts w:ascii="Times New Roman" w:hAnsi="Times New Roman"/>
                <w:sz w:val="22"/>
              </w:rPr>
              <w:t>none</w:t>
            </w:r>
          </w:p>
        </w:tc>
        <w:tc>
          <w:tcPr>
            <w:tcW w:type="dxa" w:w="1289"/>
          </w:tcPr>
          <w:p>
            <w:pPr>
              <w:spacing w:after="0"/>
              <w:jc w:val="left"/>
            </w:pPr>
            <w:r/>
            <w:r>
              <w:rPr>
                <w:rFonts w:ascii="Times New Roman" w:hAnsi="Times New Roman"/>
                <w:sz w:val="22"/>
              </w:rPr>
              <w:t>medium: permutation importance</w:t>
            </w:r>
          </w:p>
        </w:tc>
        <w:tc>
          <w:tcPr>
            <w:tcW w:type="dxa" w:w="1289"/>
          </w:tcPr>
          <w:p>
            <w:pPr>
              <w:spacing w:after="0"/>
              <w:jc w:val="left"/>
            </w:pPr>
            <w:r/>
            <w:r>
              <w:rPr>
                <w:rFonts w:ascii="Times New Roman" w:hAnsi="Times New Roman"/>
                <w:sz w:val="22"/>
              </w:rPr>
              <w:t>6</w:t>
            </w:r>
          </w:p>
        </w:tc>
      </w:tr>
      <w:tr>
        <w:tc>
          <w:tcPr>
            <w:tcW w:type="dxa" w:w="1289"/>
          </w:tcPr>
          <w:p>
            <w:pPr>
              <w:spacing w:after="0"/>
              <w:jc w:val="left"/>
            </w:pPr>
            <w:r/>
            <w:r>
              <w:rPr>
                <w:rFonts w:ascii="Times New Roman" w:hAnsi="Times New Roman"/>
                <w:sz w:val="22"/>
              </w:rPr>
              <w:t>Histogram-based gradient boosting (HGB)</w:t>
            </w:r>
          </w:p>
        </w:tc>
        <w:tc>
          <w:tcPr>
            <w:tcW w:type="dxa" w:w="1289"/>
          </w:tcPr>
          <w:p>
            <w:pPr>
              <w:spacing w:after="0"/>
              <w:jc w:val="left"/>
            </w:pPr>
            <w:r/>
            <w:r>
              <w:rPr>
                <w:rFonts w:ascii="Times New Roman" w:hAnsi="Times New Roman"/>
                <w:sz w:val="22"/>
              </w:rPr>
              <w:t>non-parametric boosting ensemble; discriminative; eager</w:t>
            </w:r>
          </w:p>
        </w:tc>
        <w:tc>
          <w:tcPr>
            <w:tcW w:type="dxa" w:w="1289"/>
          </w:tcPr>
          <w:p>
            <w:pPr>
              <w:spacing w:after="0"/>
              <w:jc w:val="left"/>
            </w:pPr>
            <w:r/>
            <w:r>
              <w:rPr>
                <w:rFonts w:ascii="Times New Roman" w:hAnsi="Times New Roman"/>
                <w:sz w:val="22"/>
              </w:rPr>
              <w:t>log-odds is a sum of small trees on binned features</w:t>
            </w:r>
          </w:p>
        </w:tc>
        <w:tc>
          <w:tcPr>
            <w:tcW w:type="dxa" w:w="1289"/>
          </w:tcPr>
          <w:p>
            <w:pPr>
              <w:spacing w:after="0"/>
              <w:jc w:val="left"/>
            </w:pPr>
            <w:r/>
            <w:r>
              <w:rPr>
                <w:rFonts w:ascii="Times New Roman" w:hAnsi="Times New Roman"/>
                <w:sz w:val="22"/>
              </w:rPr>
              <w:t>rare levels pooled into one column; greedy binned splits; tied to the training-period mix of codes</w:t>
            </w:r>
          </w:p>
        </w:tc>
        <w:tc>
          <w:tcPr>
            <w:tcW w:type="dxa" w:w="1289"/>
          </w:tcPr>
          <w:p>
            <w:pPr>
              <w:spacing w:after="0"/>
              <w:jc w:val="left"/>
            </w:pPr>
            <w:r/>
            <w:r>
              <w:rPr>
                <w:rFonts w:ascii="Times New Roman" w:hAnsi="Times New Roman"/>
                <w:sz w:val="22"/>
              </w:rPr>
              <w:t>none</w:t>
            </w:r>
          </w:p>
        </w:tc>
        <w:tc>
          <w:tcPr>
            <w:tcW w:type="dxa" w:w="1289"/>
          </w:tcPr>
          <w:p>
            <w:pPr>
              <w:spacing w:after="0"/>
              <w:jc w:val="left"/>
            </w:pPr>
            <w:r/>
            <w:r>
              <w:rPr>
                <w:rFonts w:ascii="Times New Roman" w:hAnsi="Times New Roman"/>
                <w:sz w:val="22"/>
              </w:rPr>
              <w:t>medium: permutation importance and SHAP values</w:t>
            </w:r>
          </w:p>
        </w:tc>
        <w:tc>
          <w:tcPr>
            <w:tcW w:type="dxa" w:w="1289"/>
          </w:tcPr>
          <w:p>
            <w:pPr>
              <w:spacing w:after="0"/>
              <w:jc w:val="left"/>
            </w:pPr>
            <w:r/>
            <w:r>
              <w:rPr>
                <w:rFonts w:ascii="Times New Roman" w:hAnsi="Times New Roman"/>
                <w:sz w:val="22"/>
              </w:rPr>
              <w:t>6</w:t>
            </w:r>
          </w:p>
        </w:tc>
      </w:tr>
      <w:tr>
        <w:tc>
          <w:tcPr>
            <w:tcW w:type="dxa" w:w="1289"/>
          </w:tcPr>
          <w:p>
            <w:pPr>
              <w:spacing w:after="0"/>
              <w:jc w:val="left"/>
            </w:pPr>
            <w:r/>
            <w:r>
              <w:rPr>
                <w:rFonts w:ascii="Times New Roman" w:hAnsi="Times New Roman"/>
                <w:sz w:val="22"/>
              </w:rPr>
              <w:t>SVM, RBF kernel</w:t>
            </w:r>
          </w:p>
        </w:tc>
        <w:tc>
          <w:tcPr>
            <w:tcW w:type="dxa" w:w="1289"/>
          </w:tcPr>
          <w:p>
            <w:pPr>
              <w:spacing w:after="0"/>
              <w:jc w:val="left"/>
            </w:pPr>
            <w:r/>
            <w:r>
              <w:rPr>
                <w:rFonts w:ascii="Times New Roman" w:hAnsi="Times New Roman"/>
                <w:sz w:val="22"/>
              </w:rPr>
              <w:t>non-parametric (kernel); discriminative; eager</w:t>
            </w:r>
          </w:p>
        </w:tc>
        <w:tc>
          <w:tcPr>
            <w:tcW w:type="dxa" w:w="1289"/>
          </w:tcPr>
          <w:p>
            <w:pPr>
              <w:spacing w:after="0"/>
              <w:jc w:val="left"/>
            </w:pPr>
            <w:r/>
            <w:r>
              <w:rPr>
                <w:rFonts w:ascii="Times New Roman" w:hAnsi="Times New Roman"/>
                <w:sz w:val="22"/>
              </w:rPr>
              <w:t>a smooth wide-margin boundary in kernel space</w:t>
            </w:r>
          </w:p>
        </w:tc>
        <w:tc>
          <w:tcPr>
            <w:tcW w:type="dxa" w:w="1289"/>
          </w:tcPr>
          <w:p>
            <w:pPr>
              <w:spacing w:after="0"/>
              <w:jc w:val="left"/>
            </w:pPr>
            <w:r/>
            <w:r>
              <w:rPr>
                <w:rFonts w:ascii="Times New Roman" w:hAnsi="Times New Roman"/>
                <w:sz w:val="22"/>
              </w:rPr>
              <w:t>training cost at least quadratic in rows, so fitted on 10,000 rows; scores need Platt scaling</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low: margin scores only</w:t>
            </w:r>
          </w:p>
        </w:tc>
        <w:tc>
          <w:tcPr>
            <w:tcW w:type="dxa" w:w="1289"/>
          </w:tcPr>
          <w:p>
            <w:pPr>
              <w:spacing w:after="0"/>
              <w:jc w:val="left"/>
            </w:pPr>
            <w:r/>
            <w:r>
              <w:rPr>
                <w:rFonts w:ascii="Times New Roman" w:hAnsi="Times New Roman"/>
                <w:sz w:val="22"/>
              </w:rPr>
              <w:t>5</w:t>
            </w:r>
          </w:p>
        </w:tc>
      </w:tr>
      <w:tr>
        <w:tc>
          <w:tcPr>
            <w:tcW w:type="dxa" w:w="1289"/>
          </w:tcPr>
          <w:p>
            <w:pPr>
              <w:spacing w:after="0"/>
              <w:jc w:val="left"/>
            </w:pPr>
            <w:r/>
            <w:r>
              <w:rPr>
                <w:rFonts w:ascii="Times New Roman" w:hAnsi="Times New Roman"/>
                <w:sz w:val="22"/>
              </w:rPr>
              <w:t>MLP</w:t>
            </w:r>
          </w:p>
        </w:tc>
        <w:tc>
          <w:tcPr>
            <w:tcW w:type="dxa" w:w="1289"/>
          </w:tcPr>
          <w:p>
            <w:pPr>
              <w:spacing w:after="0"/>
              <w:jc w:val="left"/>
            </w:pPr>
            <w:r/>
            <w:r>
              <w:rPr>
                <w:rFonts w:ascii="Times New Roman" w:hAnsi="Times New Roman"/>
                <w:sz w:val="22"/>
              </w:rPr>
              <w:t>parametric; discriminative; eager</w:t>
            </w:r>
          </w:p>
        </w:tc>
        <w:tc>
          <w:tcPr>
            <w:tcW w:type="dxa" w:w="1289"/>
          </w:tcPr>
          <w:p>
            <w:pPr>
              <w:spacing w:after="0"/>
              <w:jc w:val="left"/>
            </w:pPr>
            <w:r/>
            <w:r>
              <w:rPr>
                <w:rFonts w:ascii="Times New Roman" w:hAnsi="Times New Roman"/>
                <w:sz w:val="22"/>
              </w:rPr>
              <w:t>a smooth mapping learnable by gradient descent</w:t>
            </w:r>
          </w:p>
        </w:tc>
        <w:tc>
          <w:tcPr>
            <w:tcW w:type="dxa" w:w="1289"/>
          </w:tcPr>
          <w:p>
            <w:pPr>
              <w:spacing w:after="0"/>
              <w:jc w:val="left"/>
            </w:pPr>
            <w:r/>
            <w:r>
              <w:rPr>
                <w:rFonts w:ascii="Times New Roman" w:hAnsi="Times New Roman"/>
                <w:sz w:val="22"/>
              </w:rPr>
              <w:t>tens of thousands of weights on sparse one-hot inputs; overfits without alpha and early stopping</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low: needs post-hoc explanation</w:t>
            </w:r>
          </w:p>
        </w:tc>
        <w:tc>
          <w:tcPr>
            <w:tcW w:type="dxa" w:w="1289"/>
          </w:tcPr>
          <w:p>
            <w:pPr>
              <w:spacing w:after="0"/>
              <w:jc w:val="left"/>
            </w:pPr>
            <w:r/>
            <w:r>
              <w:rPr>
                <w:rFonts w:ascii="Times New Roman" w:hAnsi="Times New Roman"/>
                <w:sz w:val="22"/>
              </w:rPr>
              <w:t>10</w:t>
            </w:r>
          </w:p>
        </w:tc>
      </w:tr>
    </w:tbl>
    <w:p>
      <w:pPr>
        <w:spacing w:after="80"/>
      </w:pPr>
    </w:p>
    <w:p>
      <w:r>
        <w:rPr>
          <w:rFonts w:ascii="Times New Roman" w:hAnsi="Times New Roman"/>
          <w:sz w:val="24"/>
        </w:rPr>
        <w:t>Logistic regression passes a weighted sum of the inputs through the sigmoid and minimises binary cross-entropy by lbfgs, a quasi-Newton relative of gradient descent, under an L2 penalty that weakens as C rises (Hosmer et al., 2013). Linear log-odds miss curved size effects and code interactions, so it underfits. Its readable odds ratios made it the transparency benchmark. Gaussian naive Bayes applies Bayes' theorem, combining the class prior with per-feature Gaussian likelihoods into a posterior. Conditional independence fails for the duplicated size measures and normality for the skewed and binary features (Figure 2), so evidence is counted twice and posteriors become overconfident. Ranking can survive this (Domingos and Pazzani, 1997), and it stayed as a fast generative baseline and calibration test.</w:t>
      </w:r>
    </w:p>
    <w:p>
      <w:r>
        <w:rPr>
          <w:rFonts w:ascii="Times New Roman" w:hAnsi="Times New Roman"/>
          <w:sz w:val="24"/>
        </w:rPr>
        <w:t>KNN, a lazy instance-based learner, labels a report by the vote of its K nearest training rows under Euclidean distance, with K odd to avoid ties (Cover and Hart, 1967). Distances need standardised inputs and lose contrast across 552 mostly binary dimensions, the curse of dimensionality. It tests whether similarity to past claims adds signal; since scoring compares each report with every stored row, I fitted it on whole mine-years capped at 40,000 rows. An SVM maximises the margin between the classes, with C penalising rows inside the margin and the RBF width gamma setting how local the boundary is (Cortes and Vapnik, 1995). Training time grows at least quadratically with rows, so I fitted it on whole mine-years capped at 10,000 rows and obtained probabilities by Platt scaling. It stayed to check whether a smooth boundary ranks lost-time cases better than tree splits.</w:t>
      </w:r>
    </w:p>
    <w:p>
      <w:r>
        <w:rPr>
          <w:rFonts w:ascii="Times New Roman" w:hAnsi="Times New Roman"/>
          <w:sz w:val="24"/>
        </w:rPr>
        <w:t>A decision tree splits greedily on the axis-aligned threshold that most reduces Gini impurity or entropy. It needs no scaling and nests interactions, yet a small change in the rows can alter every split below the root. A random forest averages deep trees grown on bootstrap samples with a random feature subset per split, which decorrelates them and cuts that variance (Breiman, 2001). The tree stayed as the single-tree reference for the ensembles, the forest as the bagging rival to HGB.</w:t>
      </w:r>
    </w:p>
    <w:p>
      <w:r>
        <w:rPr>
          <w:rFonts w:ascii="Times New Roman" w:hAnsi="Times New Roman"/>
          <w:sz w:val="24"/>
        </w:rPr>
        <w:t>HGB adds shallow trees in stages, fitting each to the gradient of the log loss and shrinking it by the learning rate, with capped leaf nodes and early stopping. It follows the second-order boosting of XGBoost (Chen and Guestrin, 2016). As a sum of small trees, its log-odds can follow curved effects and code interactions. Tree ensembles lead on medium-sized tabular data (Grinsztajn et al., 2022), so it was expected to rank the review queue best.</w:t>
      </w:r>
    </w:p>
    <w:p>
      <w:r>
        <w:rPr>
          <w:rFonts w:ascii="Times New Roman" w:hAnsi="Times New Roman"/>
          <w:sz w:val="24"/>
        </w:rPr>
        <w:t>The MLP trains one or two hidden layers of rectified linear units by Adam, a gradient-descent variant, with alpha as an L2 penalty and early stopping (Bishop, 2006). Tens of thousands of weights on mostly zero inputs invite overfitting, so the network stayed small. It tests whether learned code combinations add recall at the capacity threshold.</w:t>
      </w:r>
    </w:p>
    <w:p>
      <w:r>
        <w:rPr>
          <w:rFonts w:ascii="Times New Roman" w:hAnsi="Times New Roman"/>
          <w:sz w:val="24"/>
        </w:rPr>
        <w:t>Three families were rejected. Time-series models such as ARIMA assume one quantity observed at regular intervals, but each row is a separate claim and time enters through lagged mine history. Clustering would discard the label, so unsupervised methods stayed in the exploratory analysis (Figure 10). Deep tabular networks trail tree ensembles at this scale and need more tuning than the MLP (Grinsztajn et al., 2022). Because no algorithm wins on every problem (Wolpert, 1996), the eight were compared under one protocol.</w:t>
      </w:r>
    </w:p>
    <w:p>
      <w:r>
        <w:rPr>
          <w:rFonts w:ascii="Times New Roman" w:hAnsi="Times New Roman"/>
          <w:sz w:val="24"/>
        </w:rPr>
        <w:t>The learning curve places that comparison in bias-variance terms (Hastie et al., 2009). On a 10,000-row subsample HGB's training score falls and validation score rises as rows are added (Figure 12), so its gap is variance that more data removes. Naive Bayes shows almost no gap at a low score, so its error is bias (Table 10). A flexible, regularised learner therefore suits this volume of data.</w:t>
      </w:r>
    </w:p>
    <w:p>
      <w:pPr>
        <w:keepNext/>
        <w:jc w:val="center"/>
      </w:pPr>
      <w:r>
        <w:drawing>
          <wp:inline xmlns:a="http://schemas.openxmlformats.org/drawingml/2006/main" xmlns:pic="http://schemas.openxmlformats.org/drawingml/2006/picture">
            <wp:extent cx="5029200" cy="3350948"/>
            <wp:docPr id="12" name="Picture 12" descr="Figure 12. 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 title="Figure 12"/>
            <wp:cNvGraphicFramePr>
              <a:graphicFrameLocks noChangeAspect="1"/>
            </wp:cNvGraphicFramePr>
            <a:graphic>
              <a:graphicData uri="http://schemas.openxmlformats.org/drawingml/2006/picture">
                <pic:pic>
                  <pic:nvPicPr>
                    <pic:cNvPr id="0" name="F15_learning_curve_hist_gb.png"/>
                    <pic:cNvPicPr/>
                  </pic:nvPicPr>
                  <pic:blipFill>
                    <a:blip r:embed="rId22"/>
                    <a:stretch>
                      <a:fillRect/>
                    </a:stretch>
                  </pic:blipFill>
                  <pic:spPr>
                    <a:xfrm>
                      <a:off x="0" y="0"/>
                      <a:ext cx="5029200" cy="335094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w:t>
      </w:r>
    </w:p>
    <w:p>
      <w:pPr>
        <w:pStyle w:val="Heading2"/>
      </w:pPr>
      <w:r>
        <w:rPr>
          <w:rFonts w:ascii="Times New Roman" w:hAnsi="Times New Roman"/>
          <w:b/>
          <w:color w:val="000000"/>
          <w:sz w:val="28"/>
        </w:rPr>
        <w:t>4.3 Model selection per algorithm</w:t>
      </w:r>
    </w:p>
    <w:p>
      <w:r>
        <w:rPr>
          <w:rFonts w:ascii="Times New Roman" w:hAnsi="Times New Roman"/>
          <w:sz w:val="24"/>
        </w:rPr>
        <w:t>Every search tuned the whole pipeline, which refitted imputers, encoder, scaler and classifier on the training rows of each fold (Figure 11). I used five StratifiedGroupKFold folds over mine-year groups inside the training split, which keep each mine-year on one side and the lost-time share near that of the whole. Kohavi (1995) favoured ten stratified folds; five halved the fits and left about 16,000 rows per validation fold. Grouping mirrors deployment, where the insurer scores mine-years the model has not seen, so no setting is rewarded for memorising a mine's other claims. PR-AUC was the refit metric, with the other metrics recorded alongside. Seed 42 fixed the folds, subsamples and estimators.</w:t>
      </w:r>
    </w:p>
    <w:p>
      <w:r>
        <w:rPr>
          <w:rFonts w:ascii="Times New Roman" w:hAnsi="Times New Roman"/>
          <w:sz w:val="24"/>
        </w:rPr>
        <w:t>Table 10 lists every searched hyperparameter with its meaning, bounds, selected value and the best score reached with any other value. Most grids contain the scikit-learn default and step towards stronger and weaker regularisation, and settings outside them kept defaults for the reasons listed. The random forest is the exception, since RandomizedSearchCV sampled only part of its grid; the full grid, searched after testing, added 0.001 with 200 trees. For HGB, both caps on boosting rounds scored identically at the faster learning rate, because early stopping ended training before either cap.</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Hyperparameter search per model on the 81,289 training rows with five grouped folds; the first row of each model gives the search, the number of candidates, the selected candidate's validation PR-AUC (mean ± SD) and its training-fold PR-AUC, the last column the best validation PR-AUC with another value (in brackets), and the rows marked as follow-up give wider grids searched after the test scoring, which changed no choice.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2"/>
              </w:rPr>
              <w:t>Model (search; validation PR-AUC; training PR-AUC)</w:t>
            </w:r>
          </w:p>
        </w:tc>
        <w:tc>
          <w:tcPr>
            <w:tcW w:type="dxa" w:w="1504"/>
            <w:shd w:val="clear" w:color="auto" w:fill="E7E6E6"/>
          </w:tcPr>
          <w:p>
            <w:pPr>
              <w:jc w:val="left"/>
            </w:pPr>
            <w:r>
              <w:rPr>
                <w:b/>
              </w:rPr>
            </w:r>
            <w:r>
              <w:rPr>
                <w:rFonts w:ascii="Times New Roman" w:hAnsi="Times New Roman"/>
                <w:b/>
                <w:sz w:val="22"/>
              </w:rPr>
              <w:t>Hyperparameter: meaning</w:t>
            </w:r>
          </w:p>
        </w:tc>
        <w:tc>
          <w:tcPr>
            <w:tcW w:type="dxa" w:w="1504"/>
            <w:shd w:val="clear" w:color="auto" w:fill="E7E6E6"/>
          </w:tcPr>
          <w:p>
            <w:pPr>
              <w:jc w:val="left"/>
            </w:pPr>
            <w:r>
              <w:rPr>
                <w:b/>
              </w:rPr>
            </w:r>
            <w:r>
              <w:rPr>
                <w:rFonts w:ascii="Times New Roman" w:hAnsi="Times New Roman"/>
                <w:b/>
                <w:sz w:val="22"/>
              </w:rPr>
              <w:t>Values searched</w:t>
            </w:r>
          </w:p>
        </w:tc>
        <w:tc>
          <w:tcPr>
            <w:tcW w:type="dxa" w:w="1504"/>
            <w:shd w:val="clear" w:color="auto" w:fill="E7E6E6"/>
          </w:tcPr>
          <w:p>
            <w:pPr>
              <w:jc w:val="left"/>
            </w:pPr>
            <w:r>
              <w:rPr>
                <w:b/>
              </w:rPr>
            </w:r>
            <w:r>
              <w:rPr>
                <w:rFonts w:ascii="Times New Roman" w:hAnsi="Times New Roman"/>
                <w:b/>
                <w:sz w:val="22"/>
              </w:rPr>
              <w:t>Why these bounds</w:t>
            </w:r>
          </w:p>
        </w:tc>
        <w:tc>
          <w:tcPr>
            <w:tcW w:type="dxa" w:w="1504"/>
            <w:shd w:val="clear" w:color="auto" w:fill="E7E6E6"/>
          </w:tcPr>
          <w:p>
            <w:pPr>
              <w:jc w:val="left"/>
            </w:pPr>
            <w:r>
              <w:rPr>
                <w:b/>
              </w:rPr>
            </w:r>
            <w:r>
              <w:rPr>
                <w:rFonts w:ascii="Times New Roman" w:hAnsi="Times New Roman"/>
                <w:b/>
                <w:sz w:val="22"/>
              </w:rPr>
              <w:t>Selected</w:t>
            </w:r>
          </w:p>
        </w:tc>
        <w:tc>
          <w:tcPr>
            <w:tcW w:type="dxa" w:w="1504"/>
            <w:shd w:val="clear" w:color="auto" w:fill="E7E6E6"/>
          </w:tcPr>
          <w:p>
            <w:pPr>
              <w:jc w:val="left"/>
            </w:pPr>
            <w:r>
              <w:rPr>
                <w:b/>
              </w:rPr>
            </w:r>
            <w:r>
              <w:rPr>
                <w:rFonts w:ascii="Times New Roman" w:hAnsi="Times New Roman"/>
                <w:b/>
                <w:sz w:val="22"/>
              </w:rPr>
              <w:t>Best other value</w:t>
            </w:r>
          </w:p>
        </w:tc>
      </w:tr>
      <w:tr>
        <w:tc>
          <w:tcPr>
            <w:tcW w:type="dxa" w:w="1504"/>
          </w:tcPr>
          <w:p>
            <w:pPr>
              <w:spacing w:after="0"/>
              <w:jc w:val="left"/>
            </w:pPr>
            <w:r/>
            <w:r>
              <w:rPr>
                <w:rFonts w:ascii="Times New Roman" w:hAnsi="Times New Roman"/>
                <w:sz w:val="22"/>
              </w:rPr>
              <w:t>Logistic regression (grid, 8 candidates; 0.820 ± 0.003; 0.828)</w:t>
            </w:r>
          </w:p>
        </w:tc>
        <w:tc>
          <w:tcPr>
            <w:tcW w:type="dxa" w:w="1504"/>
          </w:tcPr>
          <w:p>
            <w:pPr>
              <w:spacing w:after="0"/>
              <w:jc w:val="left"/>
            </w:pPr>
            <w:r/>
            <w:r>
              <w:rPr>
                <w:rFonts w:ascii="Times New Roman" w:hAnsi="Times New Roman"/>
                <w:sz w:val="22"/>
              </w:rPr>
              <w:t>C: inverse strength of the L2 penalty</w:t>
            </w:r>
          </w:p>
        </w:tc>
        <w:tc>
          <w:tcPr>
            <w:tcW w:type="dxa" w:w="1504"/>
          </w:tcPr>
          <w:p>
            <w:pPr>
              <w:spacing w:after="0"/>
              <w:jc w:val="left"/>
            </w:pPr>
            <w:r/>
            <w:r>
              <w:rPr>
                <w:rFonts w:ascii="Times New Roman" w:hAnsi="Times New Roman"/>
                <w:sz w:val="22"/>
              </w:rPr>
              <w:t>0.01, 0.1, 1, 10</w:t>
            </w:r>
          </w:p>
        </w:tc>
        <w:tc>
          <w:tcPr>
            <w:tcW w:type="dxa" w:w="1504"/>
          </w:tcPr>
          <w:p>
            <w:pPr>
              <w:spacing w:after="0"/>
              <w:jc w:val="left"/>
            </w:pPr>
            <w:r/>
            <w:r>
              <w:rPr>
                <w:rFonts w:ascii="Times New Roman" w:hAnsi="Times New Roman"/>
                <w:sz w:val="22"/>
              </w:rPr>
              <w:t>four decades around the default of 1</w:t>
            </w:r>
          </w:p>
        </w:tc>
        <w:tc>
          <w:tcPr>
            <w:tcW w:type="dxa" w:w="1504"/>
          </w:tcPr>
          <w:p>
            <w:pPr>
              <w:spacing w:after="0"/>
              <w:jc w:val="left"/>
            </w:pPr>
            <w:r/>
            <w:r>
              <w:rPr>
                <w:rFonts w:ascii="Times New Roman" w:hAnsi="Times New Roman"/>
                <w:sz w:val="22"/>
              </w:rPr>
              <w:t>1</w:t>
            </w:r>
          </w:p>
        </w:tc>
        <w:tc>
          <w:tcPr>
            <w:tcW w:type="dxa" w:w="1504"/>
          </w:tcPr>
          <w:p>
            <w:pPr>
              <w:spacing w:after="0"/>
              <w:jc w:val="left"/>
            </w:pPr>
            <w:r/>
            <w:r>
              <w:rPr>
                <w:rFonts w:ascii="Times New Roman" w:hAnsi="Times New Roman"/>
                <w:sz w:val="22"/>
              </w:rPr>
              <w:t>0.820 (10); 0.815 (0.01)</w:t>
            </w:r>
          </w:p>
        </w:tc>
      </w:tr>
      <w:tr>
        <w:tc>
          <w:tcPr>
            <w:tcW w:type="dxa" w:w="1504"/>
          </w:tcPr>
          <w:p>
            <w:pPr>
              <w:spacing w:after="0"/>
              <w:jc w:val="left"/>
            </w:pPr>
            <w:r/>
          </w:p>
        </w:tc>
        <w:tc>
          <w:tcPr>
            <w:tcW w:type="dxa" w:w="1504"/>
          </w:tcPr>
          <w:p>
            <w:pPr>
              <w:spacing w:after="0"/>
              <w:jc w:val="left"/>
            </w:pPr>
            <w:r/>
            <w:r>
              <w:rPr>
                <w:rFonts w:ascii="Times New Roman" w:hAnsi="Times New Roman"/>
                <w:sz w:val="22"/>
              </w:rPr>
              <w:t>class_weight: reweights the classes in the loss</w:t>
            </w:r>
          </w:p>
        </w:tc>
        <w:tc>
          <w:tcPr>
            <w:tcW w:type="dxa" w:w="1504"/>
          </w:tcPr>
          <w:p>
            <w:pPr>
              <w:spacing w:after="0"/>
              <w:jc w:val="left"/>
            </w:pPr>
            <w:r/>
            <w:r>
              <w:rPr>
                <w:rFonts w:ascii="Times New Roman" w:hAnsi="Times New Roman"/>
                <w:sz w:val="22"/>
              </w:rPr>
              <w:t>None, balanced</w:t>
            </w:r>
          </w:p>
        </w:tc>
        <w:tc>
          <w:tcPr>
            <w:tcW w:type="dxa" w:w="1504"/>
          </w:tcPr>
          <w:p>
            <w:pPr>
              <w:spacing w:after="0"/>
              <w:jc w:val="left"/>
            </w:pPr>
            <w:r/>
            <w:r>
              <w:rPr>
                <w:rFonts w:ascii="Times New Roman" w:hAnsi="Times New Roman"/>
                <w:sz w:val="22"/>
              </w:rPr>
              <w:t>tests reweighting as the alternative to resampling at near balance</w:t>
            </w:r>
          </w:p>
        </w:tc>
        <w:tc>
          <w:tcPr>
            <w:tcW w:type="dxa" w:w="1504"/>
          </w:tcPr>
          <w:p>
            <w:pPr>
              <w:spacing w:after="0"/>
              <w:jc w:val="left"/>
            </w:pPr>
            <w:r/>
            <w:r>
              <w:rPr>
                <w:rFonts w:ascii="Times New Roman" w:hAnsi="Times New Roman"/>
                <w:sz w:val="22"/>
              </w:rPr>
              <w:t>None</w:t>
            </w:r>
          </w:p>
        </w:tc>
        <w:tc>
          <w:tcPr>
            <w:tcW w:type="dxa" w:w="1504"/>
          </w:tcPr>
          <w:p>
            <w:pPr>
              <w:spacing w:after="0"/>
              <w:jc w:val="left"/>
            </w:pPr>
            <w:r/>
            <w:r>
              <w:rPr>
                <w:rFonts w:ascii="Times New Roman" w:hAnsi="Times New Roman"/>
                <w:sz w:val="22"/>
              </w:rPr>
              <w:t>0.820 (balanced)</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L2 penalty, lbfgs solver, max_iter 2,000</w:t>
            </w:r>
          </w:p>
        </w:tc>
        <w:tc>
          <w:tcPr>
            <w:tcW w:type="dxa" w:w="1504"/>
          </w:tcPr>
          <w:p>
            <w:pPr>
              <w:spacing w:after="0"/>
              <w:jc w:val="left"/>
            </w:pPr>
            <w:r/>
            <w:r>
              <w:rPr>
                <w:rFonts w:ascii="Times New Roman" w:hAnsi="Times New Roman"/>
                <w:sz w:val="22"/>
              </w:rPr>
              <w:t>L2 suits collinear columns; no convergence warning was logged</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KNN (grid, 6; 0.764 ± 0.009; 1.000)</w:t>
            </w:r>
          </w:p>
        </w:tc>
        <w:tc>
          <w:tcPr>
            <w:tcW w:type="dxa" w:w="1504"/>
          </w:tcPr>
          <w:p>
            <w:pPr>
              <w:spacing w:after="0"/>
              <w:jc w:val="left"/>
            </w:pPr>
            <w:r/>
            <w:r>
              <w:rPr>
                <w:rFonts w:ascii="Times New Roman" w:hAnsi="Times New Roman"/>
                <w:sz w:val="22"/>
              </w:rPr>
              <w:t>n_neighbors (K): number of voters</w:t>
            </w:r>
          </w:p>
        </w:tc>
        <w:tc>
          <w:tcPr>
            <w:tcW w:type="dxa" w:w="1504"/>
          </w:tcPr>
          <w:p>
            <w:pPr>
              <w:spacing w:after="0"/>
              <w:jc w:val="left"/>
            </w:pPr>
            <w:r/>
            <w:r>
              <w:rPr>
                <w:rFonts w:ascii="Times New Roman" w:hAnsi="Times New Roman"/>
                <w:sz w:val="22"/>
              </w:rPr>
              <w:t>11, 25, 51</w:t>
            </w:r>
          </w:p>
        </w:tc>
        <w:tc>
          <w:tcPr>
            <w:tcW w:type="dxa" w:w="1504"/>
          </w:tcPr>
          <w:p>
            <w:pPr>
              <w:spacing w:after="0"/>
              <w:jc w:val="left"/>
            </w:pPr>
            <w:r/>
            <w:r>
              <w:rPr>
                <w:rFonts w:ascii="Times New Roman" w:hAnsi="Times New Roman"/>
                <w:sz w:val="22"/>
              </w:rPr>
              <w:t>odd values from a local to a smooth vote</w:t>
            </w:r>
          </w:p>
        </w:tc>
        <w:tc>
          <w:tcPr>
            <w:tcW w:type="dxa" w:w="1504"/>
          </w:tcPr>
          <w:p>
            <w:pPr>
              <w:spacing w:after="0"/>
              <w:jc w:val="left"/>
            </w:pPr>
            <w:r/>
            <w:r>
              <w:rPr>
                <w:rFonts w:ascii="Times New Roman" w:hAnsi="Times New Roman"/>
                <w:sz w:val="22"/>
              </w:rPr>
              <w:t>51</w:t>
            </w:r>
          </w:p>
        </w:tc>
        <w:tc>
          <w:tcPr>
            <w:tcW w:type="dxa" w:w="1504"/>
          </w:tcPr>
          <w:p>
            <w:pPr>
              <w:spacing w:after="0"/>
              <w:jc w:val="left"/>
            </w:pPr>
            <w:r/>
            <w:r>
              <w:rPr>
                <w:rFonts w:ascii="Times New Roman" w:hAnsi="Times New Roman"/>
                <w:sz w:val="22"/>
              </w:rPr>
              <w:t>0.758 (25)</w:t>
            </w:r>
          </w:p>
        </w:tc>
      </w:tr>
      <w:tr>
        <w:tc>
          <w:tcPr>
            <w:tcW w:type="dxa" w:w="1504"/>
          </w:tcPr>
          <w:p>
            <w:pPr>
              <w:spacing w:after="0"/>
              <w:jc w:val="left"/>
            </w:pPr>
            <w:r/>
          </w:p>
        </w:tc>
        <w:tc>
          <w:tcPr>
            <w:tcW w:type="dxa" w:w="1504"/>
          </w:tcPr>
          <w:p>
            <w:pPr>
              <w:spacing w:after="0"/>
              <w:jc w:val="left"/>
            </w:pPr>
            <w:r/>
            <w:r>
              <w:rPr>
                <w:rFonts w:ascii="Times New Roman" w:hAnsi="Times New Roman"/>
                <w:sz w:val="22"/>
              </w:rPr>
              <w:t>weights: equal or inverse-distance votes</w:t>
            </w:r>
          </w:p>
        </w:tc>
        <w:tc>
          <w:tcPr>
            <w:tcW w:type="dxa" w:w="1504"/>
          </w:tcPr>
          <w:p>
            <w:pPr>
              <w:spacing w:after="0"/>
              <w:jc w:val="left"/>
            </w:pPr>
            <w:r/>
            <w:r>
              <w:rPr>
                <w:rFonts w:ascii="Times New Roman" w:hAnsi="Times New Roman"/>
                <w:sz w:val="22"/>
              </w:rPr>
              <w:t>uniform, distance</w:t>
            </w:r>
          </w:p>
        </w:tc>
        <w:tc>
          <w:tcPr>
            <w:tcW w:type="dxa" w:w="1504"/>
          </w:tcPr>
          <w:p>
            <w:pPr>
              <w:spacing w:after="0"/>
              <w:jc w:val="left"/>
            </w:pPr>
            <w:r/>
            <w:r>
              <w:rPr>
                <w:rFonts w:ascii="Times New Roman" w:hAnsi="Times New Roman"/>
                <w:sz w:val="22"/>
              </w:rPr>
              <w:t>lets close neighbours count more</w:t>
            </w:r>
          </w:p>
        </w:tc>
        <w:tc>
          <w:tcPr>
            <w:tcW w:type="dxa" w:w="1504"/>
          </w:tcPr>
          <w:p>
            <w:pPr>
              <w:spacing w:after="0"/>
              <w:jc w:val="left"/>
            </w:pPr>
            <w:r/>
            <w:r>
              <w:rPr>
                <w:rFonts w:ascii="Times New Roman" w:hAnsi="Times New Roman"/>
                <w:sz w:val="22"/>
              </w:rPr>
              <w:t>distance</w:t>
            </w:r>
          </w:p>
        </w:tc>
        <w:tc>
          <w:tcPr>
            <w:tcW w:type="dxa" w:w="1504"/>
          </w:tcPr>
          <w:p>
            <w:pPr>
              <w:spacing w:after="0"/>
              <w:jc w:val="left"/>
            </w:pPr>
            <w:r/>
            <w:r>
              <w:rPr>
                <w:rFonts w:ascii="Times New Roman" w:hAnsi="Times New Roman"/>
                <w:sz w:val="22"/>
              </w:rPr>
              <w:t>0.757 (uniform)</w:t>
            </w:r>
          </w:p>
        </w:tc>
      </w:tr>
      <w:tr>
        <w:tc>
          <w:tcPr>
            <w:tcW w:type="dxa" w:w="1504"/>
          </w:tcPr>
          <w:p>
            <w:pPr>
              <w:spacing w:after="0"/>
              <w:jc w:val="left"/>
            </w:pPr>
            <w:r/>
          </w:p>
        </w:tc>
        <w:tc>
          <w:tcPr>
            <w:tcW w:type="dxa" w:w="1504"/>
          </w:tcPr>
          <w:p>
            <w:pPr>
              <w:spacing w:after="0"/>
              <w:jc w:val="left"/>
            </w:pPr>
            <w:r/>
            <w:r>
              <w:rPr>
                <w:rFonts w:ascii="Times New Roman" w:hAnsi="Times New Roman"/>
                <w:sz w:val="22"/>
              </w:rPr>
              <w:t>p: Minkowski power</w:t>
            </w:r>
          </w:p>
        </w:tc>
        <w:tc>
          <w:tcPr>
            <w:tcW w:type="dxa" w:w="1504"/>
          </w:tcPr>
          <w:p>
            <w:pPr>
              <w:spacing w:after="0"/>
              <w:jc w:val="left"/>
            </w:pPr>
            <w:r/>
            <w:r>
              <w:rPr>
                <w:rFonts w:ascii="Times New Roman" w:hAnsi="Times New Roman"/>
                <w:sz w:val="22"/>
              </w:rPr>
              <w:t>2</w:t>
            </w:r>
          </w:p>
        </w:tc>
        <w:tc>
          <w:tcPr>
            <w:tcW w:type="dxa" w:w="1504"/>
          </w:tcPr>
          <w:p>
            <w:pPr>
              <w:spacing w:after="0"/>
              <w:jc w:val="left"/>
            </w:pPr>
            <w:r/>
            <w:r>
              <w:rPr>
                <w:rFonts w:ascii="Times New Roman" w:hAnsi="Times New Roman"/>
                <w:sz w:val="22"/>
              </w:rPr>
              <w:t>Euclidean distance only, to keep six candidates</w:t>
            </w:r>
          </w:p>
        </w:tc>
        <w:tc>
          <w:tcPr>
            <w:tcW w:type="dxa" w:w="1504"/>
          </w:tcPr>
          <w:p>
            <w:pPr>
              <w:spacing w:after="0"/>
              <w:jc w:val="left"/>
            </w:pPr>
            <w:r/>
            <w:r>
              <w:rPr>
                <w:rFonts w:ascii="Times New Roman" w:hAnsi="Times New Roman"/>
                <w:sz w:val="22"/>
              </w:rPr>
              <w:t>2</w:t>
            </w:r>
          </w:p>
        </w:tc>
        <w:tc>
          <w:tcPr>
            <w:tcW w:type="dxa" w:w="1504"/>
          </w:tcPr>
          <w:p>
            <w:pPr>
              <w:spacing w:after="0"/>
              <w:jc w:val="left"/>
            </w:pPr>
            <w:r/>
            <w:r>
              <w:rPr>
                <w:rFonts w:ascii="Times New Roman" w:hAnsi="Times New Roman"/>
                <w:sz w:val="22"/>
              </w:rPr>
              <w:t>none</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brute-force search; 39,999-row subsample of whole mine-years</w:t>
            </w:r>
          </w:p>
        </w:tc>
        <w:tc>
          <w:tcPr>
            <w:tcW w:type="dxa" w:w="1504"/>
          </w:tcPr>
          <w:p>
            <w:pPr>
              <w:spacing w:after="0"/>
              <w:jc w:val="left"/>
            </w:pPr>
            <w:r/>
            <w:r>
              <w:rPr>
                <w:rFonts w:ascii="Times New Roman" w:hAnsi="Times New Roman"/>
                <w:sz w:val="22"/>
              </w:rPr>
              <w:t>tree indexes do not help in 552 dimensions; scoring cost grows with stored rows</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p>
        </w:tc>
        <w:tc>
          <w:tcPr>
            <w:tcW w:type="dxa" w:w="1504"/>
          </w:tcPr>
          <w:p>
            <w:pPr>
              <w:spacing w:after="0"/>
              <w:jc w:val="left"/>
            </w:pPr>
            <w:r/>
            <w:r>
              <w:rPr>
                <w:rFonts w:ascii="Times New Roman" w:hAnsi="Times New Roman"/>
                <w:sz w:val="22"/>
              </w:rPr>
              <w:t>Follow-up grid (6 candidates, 265 s)</w:t>
            </w:r>
          </w:p>
        </w:tc>
        <w:tc>
          <w:tcPr>
            <w:tcW w:type="dxa" w:w="1504"/>
          </w:tcPr>
          <w:p>
            <w:pPr>
              <w:spacing w:after="0"/>
              <w:jc w:val="left"/>
            </w:pPr>
            <w:r/>
            <w:r>
              <w:rPr>
                <w:rFonts w:ascii="Times New Roman" w:hAnsi="Times New Roman"/>
                <w:sz w:val="22"/>
              </w:rPr>
              <w:t>n_neighbors 51, 101, 151 with both weightings</w:t>
            </w:r>
          </w:p>
        </w:tc>
        <w:tc>
          <w:tcPr>
            <w:tcW w:type="dxa" w:w="1504"/>
          </w:tcPr>
          <w:p>
            <w:pPr>
              <w:spacing w:after="0"/>
              <w:jc w:val="left"/>
            </w:pPr>
            <w:r/>
            <w:r>
              <w:rPr>
                <w:rFonts w:ascii="Times New Roman" w:hAnsi="Times New Roman"/>
                <w:sz w:val="22"/>
              </w:rPr>
              <w:t>the original optimum sat at the grid edge</w:t>
            </w:r>
          </w:p>
        </w:tc>
        <w:tc>
          <w:tcPr>
            <w:tcW w:type="dxa" w:w="1504"/>
          </w:tcPr>
          <w:p>
            <w:pPr>
              <w:spacing w:after="0"/>
              <w:jc w:val="left"/>
            </w:pPr>
            <w:r/>
            <w:r>
              <w:rPr>
                <w:rFonts w:ascii="Times New Roman" w:hAnsi="Times New Roman"/>
                <w:sz w:val="22"/>
              </w:rPr>
              <w:t>51, distance (0.764)</w:t>
            </w:r>
          </w:p>
        </w:tc>
        <w:tc>
          <w:tcPr>
            <w:tcW w:type="dxa" w:w="1504"/>
          </w:tcPr>
          <w:p>
            <w:pPr>
              <w:spacing w:after="0"/>
              <w:jc w:val="left"/>
            </w:pPr>
            <w:r/>
            <w:r>
              <w:rPr>
                <w:rFonts w:ascii="Times New Roman" w:hAnsi="Times New Roman"/>
                <w:sz w:val="22"/>
              </w:rPr>
              <w:t>0.763 (101); 0.761 (151)</w:t>
            </w:r>
          </w:p>
        </w:tc>
      </w:tr>
      <w:tr>
        <w:tc>
          <w:tcPr>
            <w:tcW w:type="dxa" w:w="1504"/>
          </w:tcPr>
          <w:p>
            <w:pPr>
              <w:spacing w:after="0"/>
              <w:jc w:val="left"/>
            </w:pPr>
            <w:r/>
            <w:r>
              <w:rPr>
                <w:rFonts w:ascii="Times New Roman" w:hAnsi="Times New Roman"/>
                <w:sz w:val="22"/>
              </w:rPr>
              <w:t>Gaussian naive Bayes (grid, 5; 0.734 ± 0.006; 0.735)</w:t>
            </w:r>
          </w:p>
        </w:tc>
        <w:tc>
          <w:tcPr>
            <w:tcW w:type="dxa" w:w="1504"/>
          </w:tcPr>
          <w:p>
            <w:pPr>
              <w:spacing w:after="0"/>
              <w:jc w:val="left"/>
            </w:pPr>
            <w:r/>
            <w:r>
              <w:rPr>
                <w:rFonts w:ascii="Times New Roman" w:hAnsi="Times New Roman"/>
                <w:sz w:val="22"/>
              </w:rPr>
              <w:t>var_smoothing: share of the largest variance added to every variance</w:t>
            </w:r>
          </w:p>
        </w:tc>
        <w:tc>
          <w:tcPr>
            <w:tcW w:type="dxa" w:w="1504"/>
          </w:tcPr>
          <w:p>
            <w:pPr>
              <w:spacing w:after="0"/>
              <w:jc w:val="left"/>
            </w:pPr>
            <w:r/>
            <w:r>
              <w:rPr>
                <w:rFonts w:ascii="Times New Roman" w:hAnsi="Times New Roman"/>
                <w:sz w:val="22"/>
              </w:rPr>
              <w:t>1e-9, 1e-6, 1e-3, 0.1, 1</w:t>
            </w:r>
          </w:p>
        </w:tc>
        <w:tc>
          <w:tcPr>
            <w:tcW w:type="dxa" w:w="1504"/>
          </w:tcPr>
          <w:p>
            <w:pPr>
              <w:spacing w:after="0"/>
              <w:jc w:val="left"/>
            </w:pPr>
            <w:r/>
            <w:r>
              <w:rPr>
                <w:rFonts w:ascii="Times New Roman" w:hAnsi="Times New Roman"/>
                <w:sz w:val="22"/>
              </w:rPr>
              <w:t>log-spaced from the default upwards, since near-constant one-hot columns have tiny variances</w:t>
            </w:r>
          </w:p>
        </w:tc>
        <w:tc>
          <w:tcPr>
            <w:tcW w:type="dxa" w:w="1504"/>
          </w:tcPr>
          <w:p>
            <w:pPr>
              <w:spacing w:after="0"/>
              <w:jc w:val="left"/>
            </w:pPr>
            <w:r/>
            <w:r>
              <w:rPr>
                <w:rFonts w:ascii="Times New Roman" w:hAnsi="Times New Roman"/>
                <w:sz w:val="22"/>
              </w:rPr>
              <w:t>0.1</w:t>
            </w:r>
          </w:p>
        </w:tc>
        <w:tc>
          <w:tcPr>
            <w:tcW w:type="dxa" w:w="1504"/>
          </w:tcPr>
          <w:p>
            <w:pPr>
              <w:spacing w:after="0"/>
              <w:jc w:val="left"/>
            </w:pPr>
            <w:r/>
            <w:r>
              <w:rPr>
                <w:rFonts w:ascii="Times New Roman" w:hAnsi="Times New Roman"/>
                <w:sz w:val="22"/>
              </w:rPr>
              <w:t>0.702 (1)</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class priors from training frequencies</w:t>
            </w:r>
          </w:p>
        </w:tc>
        <w:tc>
          <w:tcPr>
            <w:tcW w:type="dxa" w:w="1504"/>
          </w:tcPr>
          <w:p>
            <w:pPr>
              <w:spacing w:after="0"/>
              <w:jc w:val="left"/>
            </w:pPr>
            <w:r/>
            <w:r>
              <w:rPr>
                <w:rFonts w:ascii="Times New Roman" w:hAnsi="Times New Roman"/>
                <w:sz w:val="22"/>
              </w:rPr>
              <w:t>the priors then equal the 48.6% prevalence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Decision tree (grid, 24; 0.803 ± 0.004; 0.827)</w:t>
            </w:r>
          </w:p>
        </w:tc>
        <w:tc>
          <w:tcPr>
            <w:tcW w:type="dxa" w:w="1504"/>
          </w:tcPr>
          <w:p>
            <w:pPr>
              <w:spacing w:after="0"/>
              <w:jc w:val="left"/>
            </w:pPr>
            <w:r/>
            <w:r>
              <w:rPr>
                <w:rFonts w:ascii="Times New Roman" w:hAnsi="Times New Roman"/>
                <w:sz w:val="22"/>
              </w:rPr>
              <w:t>max_depth: longest root-to-leaf path</w:t>
            </w:r>
          </w:p>
        </w:tc>
        <w:tc>
          <w:tcPr>
            <w:tcW w:type="dxa" w:w="1504"/>
          </w:tcPr>
          <w:p>
            <w:pPr>
              <w:spacing w:after="0"/>
              <w:jc w:val="left"/>
            </w:pPr>
            <w:r/>
            <w:r>
              <w:rPr>
                <w:rFonts w:ascii="Times New Roman" w:hAnsi="Times New Roman"/>
                <w:sz w:val="22"/>
              </w:rPr>
              <w:t>4, 8, 12, None</w:t>
            </w:r>
          </w:p>
        </w:tc>
        <w:tc>
          <w:tcPr>
            <w:tcW w:type="dxa" w:w="1504"/>
          </w:tcPr>
          <w:p>
            <w:pPr>
              <w:spacing w:after="0"/>
              <w:jc w:val="left"/>
            </w:pPr>
            <w:r/>
            <w:r>
              <w:rPr>
                <w:rFonts w:ascii="Times New Roman" w:hAnsi="Times New Roman"/>
                <w:sz w:val="22"/>
              </w:rPr>
              <w:t>from a readable tree to unlimited growth</w:t>
            </w:r>
          </w:p>
        </w:tc>
        <w:tc>
          <w:tcPr>
            <w:tcW w:type="dxa" w:w="1504"/>
          </w:tcPr>
          <w:p>
            <w:pPr>
              <w:spacing w:after="0"/>
              <w:jc w:val="left"/>
            </w:pPr>
            <w:r/>
            <w:r>
              <w:rPr>
                <w:rFonts w:ascii="Times New Roman" w:hAnsi="Times New Roman"/>
                <w:sz w:val="22"/>
              </w:rPr>
              <w:t>12</w:t>
            </w:r>
          </w:p>
        </w:tc>
        <w:tc>
          <w:tcPr>
            <w:tcW w:type="dxa" w:w="1504"/>
          </w:tcPr>
          <w:p>
            <w:pPr>
              <w:spacing w:after="0"/>
              <w:jc w:val="left"/>
            </w:pPr>
            <w:r/>
            <w:r>
              <w:rPr>
                <w:rFonts w:ascii="Times New Roman" w:hAnsi="Times New Roman"/>
                <w:sz w:val="22"/>
              </w:rPr>
              <w:t>0.793 (None)</w:t>
            </w:r>
          </w:p>
        </w:tc>
      </w:tr>
      <w:tr>
        <w:tc>
          <w:tcPr>
            <w:tcW w:type="dxa" w:w="1504"/>
          </w:tcPr>
          <w:p>
            <w:pPr>
              <w:spacing w:after="0"/>
              <w:jc w:val="left"/>
            </w:pPr>
            <w:r/>
          </w:p>
        </w:tc>
        <w:tc>
          <w:tcPr>
            <w:tcW w:type="dxa" w:w="1504"/>
          </w:tcPr>
          <w:p>
            <w:pPr>
              <w:spacing w:after="0"/>
              <w:jc w:val="left"/>
            </w:pPr>
            <w:r/>
            <w:r>
              <w:rPr>
                <w:rFonts w:ascii="Times New Roman" w:hAnsi="Times New Roman"/>
                <w:sz w:val="22"/>
              </w:rPr>
              <w:t>min_samples_leaf: smallest leaf</w:t>
            </w:r>
          </w:p>
        </w:tc>
        <w:tc>
          <w:tcPr>
            <w:tcW w:type="dxa" w:w="1504"/>
          </w:tcPr>
          <w:p>
            <w:pPr>
              <w:spacing w:after="0"/>
              <w:jc w:val="left"/>
            </w:pPr>
            <w:r/>
            <w:r>
              <w:rPr>
                <w:rFonts w:ascii="Times New Roman" w:hAnsi="Times New Roman"/>
                <w:sz w:val="22"/>
              </w:rPr>
              <w:t>5, 20, 50</w:t>
            </w:r>
          </w:p>
        </w:tc>
        <w:tc>
          <w:tcPr>
            <w:tcW w:type="dxa" w:w="1504"/>
          </w:tcPr>
          <w:p>
            <w:pPr>
              <w:spacing w:after="0"/>
              <w:jc w:val="left"/>
            </w:pPr>
            <w:r/>
            <w:r>
              <w:rPr>
                <w:rFonts w:ascii="Times New Roman" w:hAnsi="Times New Roman"/>
                <w:sz w:val="22"/>
              </w:rPr>
              <w:t>larger leaves give steadier lost-time rates</w:t>
            </w:r>
          </w:p>
        </w:tc>
        <w:tc>
          <w:tcPr>
            <w:tcW w:type="dxa" w:w="1504"/>
          </w:tcPr>
          <w:p>
            <w:pPr>
              <w:spacing w:after="0"/>
              <w:jc w:val="left"/>
            </w:pPr>
            <w:r/>
            <w:r>
              <w:rPr>
                <w:rFonts w:ascii="Times New Roman" w:hAnsi="Times New Roman"/>
                <w:sz w:val="22"/>
              </w:rPr>
              <w:t>50</w:t>
            </w:r>
          </w:p>
        </w:tc>
        <w:tc>
          <w:tcPr>
            <w:tcW w:type="dxa" w:w="1504"/>
          </w:tcPr>
          <w:p>
            <w:pPr>
              <w:spacing w:after="0"/>
              <w:jc w:val="left"/>
            </w:pPr>
            <w:r/>
            <w:r>
              <w:rPr>
                <w:rFonts w:ascii="Times New Roman" w:hAnsi="Times New Roman"/>
                <w:sz w:val="22"/>
              </w:rPr>
              <w:t>0.794 (20)</w:t>
            </w:r>
          </w:p>
        </w:tc>
      </w:tr>
      <w:tr>
        <w:tc>
          <w:tcPr>
            <w:tcW w:type="dxa" w:w="1504"/>
          </w:tcPr>
          <w:p>
            <w:pPr>
              <w:spacing w:after="0"/>
              <w:jc w:val="left"/>
            </w:pPr>
            <w:r/>
          </w:p>
        </w:tc>
        <w:tc>
          <w:tcPr>
            <w:tcW w:type="dxa" w:w="1504"/>
          </w:tcPr>
          <w:p>
            <w:pPr>
              <w:spacing w:after="0"/>
              <w:jc w:val="left"/>
            </w:pPr>
            <w:r/>
            <w:r>
              <w:rPr>
                <w:rFonts w:ascii="Times New Roman" w:hAnsi="Times New Roman"/>
                <w:sz w:val="22"/>
              </w:rPr>
              <w:t>criterion: impurity measure</w:t>
            </w:r>
          </w:p>
        </w:tc>
        <w:tc>
          <w:tcPr>
            <w:tcW w:type="dxa" w:w="1504"/>
          </w:tcPr>
          <w:p>
            <w:pPr>
              <w:spacing w:after="0"/>
              <w:jc w:val="left"/>
            </w:pPr>
            <w:r/>
            <w:r>
              <w:rPr>
                <w:rFonts w:ascii="Times New Roman" w:hAnsi="Times New Roman"/>
                <w:sz w:val="22"/>
              </w:rPr>
              <w:t>gini, entropy</w:t>
            </w:r>
          </w:p>
        </w:tc>
        <w:tc>
          <w:tcPr>
            <w:tcW w:type="dxa" w:w="1504"/>
          </w:tcPr>
          <w:p>
            <w:pPr>
              <w:spacing w:after="0"/>
              <w:jc w:val="left"/>
            </w:pPr>
            <w:r/>
            <w:r>
              <w:rPr>
                <w:rFonts w:ascii="Times New Roman" w:hAnsi="Times New Roman"/>
                <w:sz w:val="22"/>
              </w:rPr>
              <w:t>the two impurity measures taught</w:t>
            </w:r>
          </w:p>
        </w:tc>
        <w:tc>
          <w:tcPr>
            <w:tcW w:type="dxa" w:w="1504"/>
          </w:tcPr>
          <w:p>
            <w:pPr>
              <w:spacing w:after="0"/>
              <w:jc w:val="left"/>
            </w:pPr>
            <w:r/>
            <w:r>
              <w:rPr>
                <w:rFonts w:ascii="Times New Roman" w:hAnsi="Times New Roman"/>
                <w:sz w:val="22"/>
              </w:rPr>
              <w:t>gini</w:t>
            </w:r>
          </w:p>
        </w:tc>
        <w:tc>
          <w:tcPr>
            <w:tcW w:type="dxa" w:w="1504"/>
          </w:tcPr>
          <w:p>
            <w:pPr>
              <w:spacing w:after="0"/>
              <w:jc w:val="left"/>
            </w:pPr>
            <w:r/>
            <w:r>
              <w:rPr>
                <w:rFonts w:ascii="Times New Roman" w:hAnsi="Times New Roman"/>
                <w:sz w:val="22"/>
              </w:rPr>
              <w:t>0.802 (entropy)</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best split over all features; no cost-complexity pruning</w:t>
            </w:r>
          </w:p>
        </w:tc>
        <w:tc>
          <w:tcPr>
            <w:tcW w:type="dxa" w:w="1504"/>
          </w:tcPr>
          <w:p>
            <w:pPr>
              <w:spacing w:after="0"/>
              <w:jc w:val="left"/>
            </w:pPr>
            <w:r/>
            <w:r>
              <w:rPr>
                <w:rFonts w:ascii="Times New Roman" w:hAnsi="Times New Roman"/>
                <w:sz w:val="22"/>
              </w:rPr>
              <w:t>depth and leaf size already prune the tree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Random forest (random search, 4 of 24 grid points; 0.821 ± 0.003; 0.946)</w:t>
            </w:r>
          </w:p>
        </w:tc>
        <w:tc>
          <w:tcPr>
            <w:tcW w:type="dxa" w:w="1504"/>
          </w:tcPr>
          <w:p>
            <w:pPr>
              <w:spacing w:after="0"/>
              <w:jc w:val="left"/>
            </w:pPr>
            <w:r/>
            <w:r>
              <w:rPr>
                <w:rFonts w:ascii="Times New Roman" w:hAnsi="Times New Roman"/>
                <w:sz w:val="22"/>
              </w:rPr>
              <w:t>n_estimators: number of trees</w:t>
            </w:r>
          </w:p>
        </w:tc>
        <w:tc>
          <w:tcPr>
            <w:tcW w:type="dxa" w:w="1504"/>
          </w:tcPr>
          <w:p>
            <w:pPr>
              <w:spacing w:after="0"/>
              <w:jc w:val="left"/>
            </w:pPr>
            <w:r/>
            <w:r>
              <w:rPr>
                <w:rFonts w:ascii="Times New Roman" w:hAnsi="Times New Roman"/>
                <w:sz w:val="22"/>
              </w:rPr>
              <w:t>100, 200</w:t>
            </w:r>
          </w:p>
        </w:tc>
        <w:tc>
          <w:tcPr>
            <w:tcW w:type="dxa" w:w="1504"/>
          </w:tcPr>
          <w:p>
            <w:pPr>
              <w:spacing w:after="0"/>
              <w:jc w:val="left"/>
            </w:pPr>
            <w:r/>
            <w:r>
              <w:rPr>
                <w:rFonts w:ascii="Times New Roman" w:hAnsi="Times New Roman"/>
                <w:sz w:val="22"/>
              </w:rPr>
              <w:t>the default and double</w:t>
            </w:r>
          </w:p>
        </w:tc>
        <w:tc>
          <w:tcPr>
            <w:tcW w:type="dxa" w:w="1504"/>
          </w:tcPr>
          <w:p>
            <w:pPr>
              <w:spacing w:after="0"/>
              <w:jc w:val="left"/>
            </w:pPr>
            <w:r/>
            <w:r>
              <w:rPr>
                <w:rFonts w:ascii="Times New Roman" w:hAnsi="Times New Roman"/>
                <w:sz w:val="22"/>
              </w:rPr>
              <w:t>100</w:t>
            </w:r>
          </w:p>
        </w:tc>
        <w:tc>
          <w:tcPr>
            <w:tcW w:type="dxa" w:w="1504"/>
          </w:tcPr>
          <w:p>
            <w:pPr>
              <w:spacing w:after="0"/>
              <w:jc w:val="left"/>
            </w:pPr>
            <w:r/>
            <w:r>
              <w:rPr>
                <w:rFonts w:ascii="Times New Roman" w:hAnsi="Times New Roman"/>
                <w:sz w:val="22"/>
              </w:rPr>
              <w:t>not sampled</w:t>
            </w:r>
          </w:p>
        </w:tc>
      </w:tr>
      <w:tr>
        <w:tc>
          <w:tcPr>
            <w:tcW w:type="dxa" w:w="1504"/>
          </w:tcPr>
          <w:p>
            <w:pPr>
              <w:spacing w:after="0"/>
              <w:jc w:val="left"/>
            </w:pPr>
            <w:r/>
          </w:p>
        </w:tc>
        <w:tc>
          <w:tcPr>
            <w:tcW w:type="dxa" w:w="1504"/>
          </w:tcPr>
          <w:p>
            <w:pPr>
              <w:spacing w:after="0"/>
              <w:jc w:val="left"/>
            </w:pPr>
            <w:r/>
            <w:r>
              <w:rPr>
                <w:rFonts w:ascii="Times New Roman" w:hAnsi="Times New Roman"/>
                <w:sz w:val="22"/>
              </w:rPr>
              <w:t>max_depth: longest path in each tree</w:t>
            </w:r>
          </w:p>
        </w:tc>
        <w:tc>
          <w:tcPr>
            <w:tcW w:type="dxa" w:w="1504"/>
          </w:tcPr>
          <w:p>
            <w:pPr>
              <w:spacing w:after="0"/>
              <w:jc w:val="left"/>
            </w:pPr>
            <w:r/>
            <w:r>
              <w:rPr>
                <w:rFonts w:ascii="Times New Roman" w:hAnsi="Times New Roman"/>
                <w:sz w:val="22"/>
              </w:rPr>
              <w:t>8, 12, None</w:t>
            </w:r>
          </w:p>
        </w:tc>
        <w:tc>
          <w:tcPr>
            <w:tcW w:type="dxa" w:w="1504"/>
          </w:tcPr>
          <w:p>
            <w:pPr>
              <w:spacing w:after="0"/>
              <w:jc w:val="left"/>
            </w:pPr>
            <w:r/>
            <w:r>
              <w:rPr>
                <w:rFonts w:ascii="Times New Roman" w:hAnsi="Times New Roman"/>
                <w:sz w:val="22"/>
              </w:rPr>
              <w:t>as for the single tree</w:t>
            </w:r>
          </w:p>
        </w:tc>
        <w:tc>
          <w:tcPr>
            <w:tcW w:type="dxa" w:w="1504"/>
          </w:tcPr>
          <w:p>
            <w:pPr>
              <w:spacing w:after="0"/>
              <w:jc w:val="left"/>
            </w:pPr>
            <w:r/>
            <w:r>
              <w:rPr>
                <w:rFonts w:ascii="Times New Roman" w:hAnsi="Times New Roman"/>
                <w:sz w:val="22"/>
              </w:rPr>
              <w:t>None</w:t>
            </w:r>
          </w:p>
        </w:tc>
        <w:tc>
          <w:tcPr>
            <w:tcW w:type="dxa" w:w="1504"/>
          </w:tcPr>
          <w:p>
            <w:pPr>
              <w:spacing w:after="0"/>
              <w:jc w:val="left"/>
            </w:pPr>
            <w:r/>
            <w:r>
              <w:rPr>
                <w:rFonts w:ascii="Times New Roman" w:hAnsi="Times New Roman"/>
                <w:sz w:val="22"/>
              </w:rPr>
              <w:t>0.808 (12)</w:t>
            </w:r>
          </w:p>
        </w:tc>
      </w:tr>
      <w:tr>
        <w:tc>
          <w:tcPr>
            <w:tcW w:type="dxa" w:w="1504"/>
          </w:tcPr>
          <w:p>
            <w:pPr>
              <w:spacing w:after="0"/>
              <w:jc w:val="left"/>
            </w:pPr>
            <w:r/>
          </w:p>
        </w:tc>
        <w:tc>
          <w:tcPr>
            <w:tcW w:type="dxa" w:w="1504"/>
          </w:tcPr>
          <w:p>
            <w:pPr>
              <w:spacing w:after="0"/>
              <w:jc w:val="left"/>
            </w:pPr>
            <w:r/>
            <w:r>
              <w:rPr>
                <w:rFonts w:ascii="Times New Roman" w:hAnsi="Times New Roman"/>
                <w:sz w:val="22"/>
              </w:rPr>
              <w:t>min_samples_leaf: smallest leaf</w:t>
            </w:r>
          </w:p>
        </w:tc>
        <w:tc>
          <w:tcPr>
            <w:tcW w:type="dxa" w:w="1504"/>
          </w:tcPr>
          <w:p>
            <w:pPr>
              <w:spacing w:after="0"/>
              <w:jc w:val="left"/>
            </w:pPr>
            <w:r/>
            <w:r>
              <w:rPr>
                <w:rFonts w:ascii="Times New Roman" w:hAnsi="Times New Roman"/>
                <w:sz w:val="22"/>
              </w:rPr>
              <w:t>5, 20</w:t>
            </w:r>
          </w:p>
        </w:tc>
        <w:tc>
          <w:tcPr>
            <w:tcW w:type="dxa" w:w="1504"/>
          </w:tcPr>
          <w:p>
            <w:pPr>
              <w:spacing w:after="0"/>
              <w:jc w:val="left"/>
            </w:pPr>
            <w:r/>
            <w:r>
              <w:rPr>
                <w:rFonts w:ascii="Times New Roman" w:hAnsi="Times New Roman"/>
                <w:sz w:val="22"/>
              </w:rPr>
              <w:t>small leaves suit averaged deep trees</w:t>
            </w:r>
          </w:p>
        </w:tc>
        <w:tc>
          <w:tcPr>
            <w:tcW w:type="dxa" w:w="1504"/>
          </w:tcPr>
          <w:p>
            <w:pPr>
              <w:spacing w:after="0"/>
              <w:jc w:val="left"/>
            </w:pPr>
            <w:r/>
            <w:r>
              <w:rPr>
                <w:rFonts w:ascii="Times New Roman" w:hAnsi="Times New Roman"/>
                <w:sz w:val="22"/>
              </w:rPr>
              <w:t>5</w:t>
            </w:r>
          </w:p>
        </w:tc>
        <w:tc>
          <w:tcPr>
            <w:tcW w:type="dxa" w:w="1504"/>
          </w:tcPr>
          <w:p>
            <w:pPr>
              <w:spacing w:after="0"/>
              <w:jc w:val="left"/>
            </w:pPr>
            <w:r/>
            <w:r>
              <w:rPr>
                <w:rFonts w:ascii="Times New Roman" w:hAnsi="Times New Roman"/>
                <w:sz w:val="22"/>
              </w:rPr>
              <w:t>0.815 (20)</w:t>
            </w:r>
          </w:p>
        </w:tc>
      </w:tr>
      <w:tr>
        <w:tc>
          <w:tcPr>
            <w:tcW w:type="dxa" w:w="1504"/>
          </w:tcPr>
          <w:p>
            <w:pPr>
              <w:spacing w:after="0"/>
              <w:jc w:val="left"/>
            </w:pPr>
            <w:r/>
          </w:p>
        </w:tc>
        <w:tc>
          <w:tcPr>
            <w:tcW w:type="dxa" w:w="1504"/>
          </w:tcPr>
          <w:p>
            <w:pPr>
              <w:spacing w:after="0"/>
              <w:jc w:val="left"/>
            </w:pPr>
            <w:r/>
            <w:r>
              <w:rPr>
                <w:rFonts w:ascii="Times New Roman" w:hAnsi="Times New Roman"/>
                <w:sz w:val="22"/>
              </w:rPr>
              <w:t>max_features: features tried per split</w:t>
            </w:r>
          </w:p>
        </w:tc>
        <w:tc>
          <w:tcPr>
            <w:tcW w:type="dxa" w:w="1504"/>
          </w:tcPr>
          <w:p>
            <w:pPr>
              <w:spacing w:after="0"/>
              <w:jc w:val="left"/>
            </w:pPr>
            <w:r/>
            <w:r>
              <w:rPr>
                <w:rFonts w:ascii="Times New Roman" w:hAnsi="Times New Roman"/>
                <w:sz w:val="22"/>
              </w:rPr>
              <w:t>sqrt, log2</w:t>
            </w:r>
          </w:p>
        </w:tc>
        <w:tc>
          <w:tcPr>
            <w:tcW w:type="dxa" w:w="1504"/>
          </w:tcPr>
          <w:p>
            <w:pPr>
              <w:spacing w:after="0"/>
              <w:jc w:val="left"/>
            </w:pPr>
            <w:r/>
            <w:r>
              <w:rPr>
                <w:rFonts w:ascii="Times New Roman" w:hAnsi="Times New Roman"/>
                <w:sz w:val="22"/>
              </w:rPr>
              <w:t>the two usual subset sizes for decorrelation</w:t>
            </w:r>
          </w:p>
        </w:tc>
        <w:tc>
          <w:tcPr>
            <w:tcW w:type="dxa" w:w="1504"/>
          </w:tcPr>
          <w:p>
            <w:pPr>
              <w:spacing w:after="0"/>
              <w:jc w:val="left"/>
            </w:pPr>
            <w:r/>
            <w:r>
              <w:rPr>
                <w:rFonts w:ascii="Times New Roman" w:hAnsi="Times New Roman"/>
                <w:sz w:val="22"/>
              </w:rPr>
              <w:t>sqrt</w:t>
            </w:r>
          </w:p>
        </w:tc>
        <w:tc>
          <w:tcPr>
            <w:tcW w:type="dxa" w:w="1504"/>
          </w:tcPr>
          <w:p>
            <w:pPr>
              <w:spacing w:after="0"/>
              <w:jc w:val="left"/>
            </w:pPr>
            <w:r/>
            <w:r>
              <w:rPr>
                <w:rFonts w:ascii="Times New Roman" w:hAnsi="Times New Roman"/>
                <w:sz w:val="22"/>
              </w:rPr>
              <w:t>not sampled</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bootstrap samples, Gini impurity</w:t>
            </w:r>
          </w:p>
        </w:tc>
        <w:tc>
          <w:tcPr>
            <w:tcW w:type="dxa" w:w="1504"/>
          </w:tcPr>
          <w:p>
            <w:pPr>
              <w:spacing w:after="0"/>
              <w:jc w:val="left"/>
            </w:pPr>
            <w:r/>
            <w:r>
              <w:rPr>
                <w:rFonts w:ascii="Times New Roman" w:hAnsi="Times New Roman"/>
                <w:sz w:val="22"/>
              </w:rPr>
              <w:t>the design of Breiman (2001)</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p>
        </w:tc>
        <w:tc>
          <w:tcPr>
            <w:tcW w:type="dxa" w:w="1504"/>
          </w:tcPr>
          <w:p>
            <w:pPr>
              <w:spacing w:after="0"/>
              <w:jc w:val="left"/>
            </w:pPr>
            <w:r/>
            <w:r>
              <w:rPr>
                <w:rFonts w:ascii="Times New Roman" w:hAnsi="Times New Roman"/>
                <w:sz w:val="22"/>
              </w:rPr>
              <w:t>Follow-up grid (all 24 points, 559 s)</w:t>
            </w:r>
          </w:p>
        </w:tc>
        <w:tc>
          <w:tcPr>
            <w:tcW w:type="dxa" w:w="1504"/>
          </w:tcPr>
          <w:p>
            <w:pPr>
              <w:spacing w:after="0"/>
              <w:jc w:val="left"/>
            </w:pPr>
            <w:r/>
            <w:r>
              <w:rPr>
                <w:rFonts w:ascii="Times New Roman" w:hAnsi="Times New Roman"/>
                <w:sz w:val="22"/>
              </w:rPr>
              <w:t>every combination of the values above</w:t>
            </w:r>
          </w:p>
        </w:tc>
        <w:tc>
          <w:tcPr>
            <w:tcW w:type="dxa" w:w="1504"/>
          </w:tcPr>
          <w:p>
            <w:pPr>
              <w:spacing w:after="0"/>
              <w:jc w:val="left"/>
            </w:pPr>
            <w:r/>
            <w:r>
              <w:rPr>
                <w:rFonts w:ascii="Times New Roman" w:hAnsi="Times New Roman"/>
                <w:sz w:val="22"/>
              </w:rPr>
              <w:t>the random search sampled four points</w:t>
            </w:r>
          </w:p>
        </w:tc>
        <w:tc>
          <w:tcPr>
            <w:tcW w:type="dxa" w:w="1504"/>
          </w:tcPr>
          <w:p>
            <w:pPr>
              <w:spacing w:after="0"/>
              <w:jc w:val="left"/>
            </w:pPr>
            <w:r/>
            <w:r>
              <w:rPr>
                <w:rFonts w:ascii="Times New Roman" w:hAnsi="Times New Roman"/>
                <w:sz w:val="22"/>
              </w:rPr>
              <w:t>200 trees, otherwise as selected (0.822 ± 0.003)</w:t>
            </w:r>
          </w:p>
        </w:tc>
        <w:tc>
          <w:tcPr>
            <w:tcW w:type="dxa" w:w="1504"/>
          </w:tcPr>
          <w:p>
            <w:pPr>
              <w:spacing w:after="0"/>
              <w:jc w:val="left"/>
            </w:pPr>
            <w:r/>
            <w:r>
              <w:rPr>
                <w:rFonts w:ascii="Times New Roman" w:hAnsi="Times New Roman"/>
                <w:sz w:val="22"/>
              </w:rPr>
              <w:t>0.821 (100 trees); 0.810 (log2)</w:t>
            </w:r>
          </w:p>
        </w:tc>
      </w:tr>
      <w:tr>
        <w:tc>
          <w:tcPr>
            <w:tcW w:type="dxa" w:w="1504"/>
          </w:tcPr>
          <w:p>
            <w:pPr>
              <w:spacing w:after="0"/>
              <w:jc w:val="left"/>
            </w:pPr>
            <w:r/>
            <w:r>
              <w:rPr>
                <w:rFonts w:ascii="Times New Roman" w:hAnsi="Times New Roman"/>
                <w:sz w:val="22"/>
              </w:rPr>
              <w:t>HGB (grid, 16; 0.838 ± 0.003; 0.873)</w:t>
            </w:r>
          </w:p>
        </w:tc>
        <w:tc>
          <w:tcPr>
            <w:tcW w:type="dxa" w:w="1504"/>
          </w:tcPr>
          <w:p>
            <w:pPr>
              <w:spacing w:after="0"/>
              <w:jc w:val="left"/>
            </w:pPr>
            <w:r/>
            <w:r>
              <w:rPr>
                <w:rFonts w:ascii="Times New Roman" w:hAnsi="Times New Roman"/>
                <w:sz w:val="22"/>
              </w:rPr>
              <w:t>learning_rate: shrinkage applied to each tree</w:t>
            </w:r>
          </w:p>
        </w:tc>
        <w:tc>
          <w:tcPr>
            <w:tcW w:type="dxa" w:w="1504"/>
          </w:tcPr>
          <w:p>
            <w:pPr>
              <w:spacing w:after="0"/>
              <w:jc w:val="left"/>
            </w:pPr>
            <w:r/>
            <w:r>
              <w:rPr>
                <w:rFonts w:ascii="Times New Roman" w:hAnsi="Times New Roman"/>
                <w:sz w:val="22"/>
              </w:rPr>
              <w:t>0.05, 0.1</w:t>
            </w:r>
          </w:p>
        </w:tc>
        <w:tc>
          <w:tcPr>
            <w:tcW w:type="dxa" w:w="1504"/>
          </w:tcPr>
          <w:p>
            <w:pPr>
              <w:spacing w:after="0"/>
              <w:jc w:val="left"/>
            </w:pPr>
            <w:r/>
            <w:r>
              <w:rPr>
                <w:rFonts w:ascii="Times New Roman" w:hAnsi="Times New Roman"/>
                <w:sz w:val="22"/>
              </w:rPr>
              <w:t>the default and half of it</w:t>
            </w:r>
          </w:p>
        </w:tc>
        <w:tc>
          <w:tcPr>
            <w:tcW w:type="dxa" w:w="1504"/>
          </w:tcPr>
          <w:p>
            <w:pPr>
              <w:spacing w:after="0"/>
              <w:jc w:val="left"/>
            </w:pPr>
            <w:r/>
            <w:r>
              <w:rPr>
                <w:rFonts w:ascii="Times New Roman" w:hAnsi="Times New Roman"/>
                <w:sz w:val="22"/>
              </w:rPr>
              <w:t>0.05</w:t>
            </w:r>
          </w:p>
        </w:tc>
        <w:tc>
          <w:tcPr>
            <w:tcW w:type="dxa" w:w="1504"/>
          </w:tcPr>
          <w:p>
            <w:pPr>
              <w:spacing w:after="0"/>
              <w:jc w:val="left"/>
            </w:pPr>
            <w:r/>
            <w:r>
              <w:rPr>
                <w:rFonts w:ascii="Times New Roman" w:hAnsi="Times New Roman"/>
                <w:sz w:val="22"/>
              </w:rPr>
              <w:t>0.837 (0.1)</w:t>
            </w:r>
          </w:p>
        </w:tc>
      </w:tr>
      <w:tr>
        <w:tc>
          <w:tcPr>
            <w:tcW w:type="dxa" w:w="1504"/>
          </w:tcPr>
          <w:p>
            <w:pPr>
              <w:spacing w:after="0"/>
              <w:jc w:val="left"/>
            </w:pPr>
            <w:r/>
          </w:p>
        </w:tc>
        <w:tc>
          <w:tcPr>
            <w:tcW w:type="dxa" w:w="1504"/>
          </w:tcPr>
          <w:p>
            <w:pPr>
              <w:spacing w:after="0"/>
              <w:jc w:val="left"/>
            </w:pPr>
            <w:r/>
            <w:r>
              <w:rPr>
                <w:rFonts w:ascii="Times New Roman" w:hAnsi="Times New Roman"/>
                <w:sz w:val="22"/>
              </w:rPr>
              <w:t>max_iter: cap on boosting rounds</w:t>
            </w:r>
          </w:p>
        </w:tc>
        <w:tc>
          <w:tcPr>
            <w:tcW w:type="dxa" w:w="1504"/>
          </w:tcPr>
          <w:p>
            <w:pPr>
              <w:spacing w:after="0"/>
              <w:jc w:val="left"/>
            </w:pPr>
            <w:r/>
            <w:r>
              <w:rPr>
                <w:rFonts w:ascii="Times New Roman" w:hAnsi="Times New Roman"/>
                <w:sz w:val="22"/>
              </w:rPr>
              <w:t>200, 400</w:t>
            </w:r>
          </w:p>
        </w:tc>
        <w:tc>
          <w:tcPr>
            <w:tcW w:type="dxa" w:w="1504"/>
          </w:tcPr>
          <w:p>
            <w:pPr>
              <w:spacing w:after="0"/>
              <w:jc w:val="left"/>
            </w:pPr>
            <w:r/>
            <w:r>
              <w:rPr>
                <w:rFonts w:ascii="Times New Roman" w:hAnsi="Times New Roman"/>
                <w:sz w:val="22"/>
              </w:rPr>
              <w:t>caps only, since early stopping ends training</w:t>
            </w:r>
          </w:p>
        </w:tc>
        <w:tc>
          <w:tcPr>
            <w:tcW w:type="dxa" w:w="1504"/>
          </w:tcPr>
          <w:p>
            <w:pPr>
              <w:spacing w:after="0"/>
              <w:jc w:val="left"/>
            </w:pPr>
            <w:r/>
            <w:r>
              <w:rPr>
                <w:rFonts w:ascii="Times New Roman" w:hAnsi="Times New Roman"/>
                <w:sz w:val="22"/>
              </w:rPr>
              <w:t>400</w:t>
            </w:r>
          </w:p>
        </w:tc>
        <w:tc>
          <w:tcPr>
            <w:tcW w:type="dxa" w:w="1504"/>
          </w:tcPr>
          <w:p>
            <w:pPr>
              <w:spacing w:after="0"/>
              <w:jc w:val="left"/>
            </w:pPr>
            <w:r/>
            <w:r>
              <w:rPr>
                <w:rFonts w:ascii="Times New Roman" w:hAnsi="Times New Roman"/>
                <w:sz w:val="22"/>
              </w:rPr>
              <w:t>0.837 (200)</w:t>
            </w:r>
          </w:p>
        </w:tc>
      </w:tr>
      <w:tr>
        <w:tc>
          <w:tcPr>
            <w:tcW w:type="dxa" w:w="1504"/>
          </w:tcPr>
          <w:p>
            <w:pPr>
              <w:spacing w:after="0"/>
              <w:jc w:val="left"/>
            </w:pPr>
            <w:r/>
          </w:p>
        </w:tc>
        <w:tc>
          <w:tcPr>
            <w:tcW w:type="dxa" w:w="1504"/>
          </w:tcPr>
          <w:p>
            <w:pPr>
              <w:spacing w:after="0"/>
              <w:jc w:val="left"/>
            </w:pPr>
            <w:r/>
            <w:r>
              <w:rPr>
                <w:rFonts w:ascii="Times New Roman" w:hAnsi="Times New Roman"/>
                <w:sz w:val="22"/>
              </w:rPr>
              <w:t>max_leaf_nodes: leaves per tree</w:t>
            </w:r>
          </w:p>
        </w:tc>
        <w:tc>
          <w:tcPr>
            <w:tcW w:type="dxa" w:w="1504"/>
          </w:tcPr>
          <w:p>
            <w:pPr>
              <w:spacing w:after="0"/>
              <w:jc w:val="left"/>
            </w:pPr>
            <w:r/>
            <w:r>
              <w:rPr>
                <w:rFonts w:ascii="Times New Roman" w:hAnsi="Times New Roman"/>
                <w:sz w:val="22"/>
              </w:rPr>
              <w:t>15, 31</w:t>
            </w:r>
          </w:p>
        </w:tc>
        <w:tc>
          <w:tcPr>
            <w:tcW w:type="dxa" w:w="1504"/>
          </w:tcPr>
          <w:p>
            <w:pPr>
              <w:spacing w:after="0"/>
              <w:jc w:val="left"/>
            </w:pPr>
            <w:r/>
            <w:r>
              <w:rPr>
                <w:rFonts w:ascii="Times New Roman" w:hAnsi="Times New Roman"/>
                <w:sz w:val="22"/>
              </w:rPr>
              <w:t>the default and about half</w:t>
            </w:r>
          </w:p>
        </w:tc>
        <w:tc>
          <w:tcPr>
            <w:tcW w:type="dxa" w:w="1504"/>
          </w:tcPr>
          <w:p>
            <w:pPr>
              <w:spacing w:after="0"/>
              <w:jc w:val="left"/>
            </w:pPr>
            <w:r/>
            <w:r>
              <w:rPr>
                <w:rFonts w:ascii="Times New Roman" w:hAnsi="Times New Roman"/>
                <w:sz w:val="22"/>
              </w:rPr>
              <w:t>31</w:t>
            </w:r>
          </w:p>
        </w:tc>
        <w:tc>
          <w:tcPr>
            <w:tcW w:type="dxa" w:w="1504"/>
          </w:tcPr>
          <w:p>
            <w:pPr>
              <w:spacing w:after="0"/>
              <w:jc w:val="left"/>
            </w:pPr>
            <w:r/>
            <w:r>
              <w:rPr>
                <w:rFonts w:ascii="Times New Roman" w:hAnsi="Times New Roman"/>
                <w:sz w:val="22"/>
              </w:rPr>
              <w:t>0.836 (15)</w:t>
            </w:r>
          </w:p>
        </w:tc>
      </w:tr>
      <w:tr>
        <w:tc>
          <w:tcPr>
            <w:tcW w:type="dxa" w:w="1504"/>
          </w:tcPr>
          <w:p>
            <w:pPr>
              <w:spacing w:after="0"/>
              <w:jc w:val="left"/>
            </w:pPr>
            <w:r/>
          </w:p>
        </w:tc>
        <w:tc>
          <w:tcPr>
            <w:tcW w:type="dxa" w:w="1504"/>
          </w:tcPr>
          <w:p>
            <w:pPr>
              <w:spacing w:after="0"/>
              <w:jc w:val="left"/>
            </w:pPr>
            <w:r/>
            <w:r>
              <w:rPr>
                <w:rFonts w:ascii="Times New Roman" w:hAnsi="Times New Roman"/>
                <w:sz w:val="22"/>
              </w:rPr>
              <w:t>l2_regularization: penalty on leaf values</w:t>
            </w:r>
          </w:p>
        </w:tc>
        <w:tc>
          <w:tcPr>
            <w:tcW w:type="dxa" w:w="1504"/>
          </w:tcPr>
          <w:p>
            <w:pPr>
              <w:spacing w:after="0"/>
              <w:jc w:val="left"/>
            </w:pPr>
            <w:r/>
            <w:r>
              <w:rPr>
                <w:rFonts w:ascii="Times New Roman" w:hAnsi="Times New Roman"/>
                <w:sz w:val="22"/>
              </w:rPr>
              <w:t>0, 1</w:t>
            </w:r>
          </w:p>
        </w:tc>
        <w:tc>
          <w:tcPr>
            <w:tcW w:type="dxa" w:w="1504"/>
          </w:tcPr>
          <w:p>
            <w:pPr>
              <w:spacing w:after="0"/>
              <w:jc w:val="left"/>
            </w:pPr>
            <w:r/>
            <w:r>
              <w:rPr>
                <w:rFonts w:ascii="Times New Roman" w:hAnsi="Times New Roman"/>
                <w:sz w:val="22"/>
              </w:rPr>
              <w:t>no penalty or a unit penalty</w:t>
            </w:r>
          </w:p>
        </w:tc>
        <w:tc>
          <w:tcPr>
            <w:tcW w:type="dxa" w:w="1504"/>
          </w:tcPr>
          <w:p>
            <w:pPr>
              <w:spacing w:after="0"/>
              <w:jc w:val="left"/>
            </w:pPr>
            <w:r/>
            <w:r>
              <w:rPr>
                <w:rFonts w:ascii="Times New Roman" w:hAnsi="Times New Roman"/>
                <w:sz w:val="22"/>
              </w:rPr>
              <w:t>0</w:t>
            </w:r>
          </w:p>
        </w:tc>
        <w:tc>
          <w:tcPr>
            <w:tcW w:type="dxa" w:w="1504"/>
          </w:tcPr>
          <w:p>
            <w:pPr>
              <w:spacing w:after="0"/>
              <w:jc w:val="left"/>
            </w:pPr>
            <w:r/>
            <w:r>
              <w:rPr>
                <w:rFonts w:ascii="Times New Roman" w:hAnsi="Times New Roman"/>
                <w:sz w:val="22"/>
              </w:rPr>
              <w:t>0.838 (1)</w:t>
            </w:r>
          </w:p>
        </w:tc>
      </w:tr>
      <w:tr>
        <w:tc>
          <w:tcPr>
            <w:tcW w:type="dxa" w:w="1504"/>
          </w:tcPr>
          <w:p>
            <w:pPr>
              <w:spacing w:after="0"/>
              <w:jc w:val="left"/>
            </w:pPr>
            <w:r/>
          </w:p>
        </w:tc>
        <w:tc>
          <w:tcPr>
            <w:tcW w:type="dxa" w:w="1504"/>
          </w:tcPr>
          <w:p>
            <w:pPr>
              <w:spacing w:after="0"/>
              <w:jc w:val="left"/>
            </w:pPr>
            <w:r/>
            <w:r>
              <w:rPr>
                <w:rFonts w:ascii="Times New Roman" w:hAnsi="Times New Roman"/>
                <w:sz w:val="22"/>
              </w:rPr>
              <w:t>early_stopping</w:t>
            </w:r>
          </w:p>
        </w:tc>
        <w:tc>
          <w:tcPr>
            <w:tcW w:type="dxa" w:w="1504"/>
          </w:tcPr>
          <w:p>
            <w:pPr>
              <w:spacing w:after="0"/>
              <w:jc w:val="left"/>
            </w:pPr>
            <w:r/>
            <w:r>
              <w:rPr>
                <w:rFonts w:ascii="Times New Roman" w:hAnsi="Times New Roman"/>
                <w:sz w:val="22"/>
              </w:rPr>
              <w:t>True</w:t>
            </w:r>
          </w:p>
        </w:tc>
        <w:tc>
          <w:tcPr>
            <w:tcW w:type="dxa" w:w="1504"/>
          </w:tcPr>
          <w:p>
            <w:pPr>
              <w:spacing w:after="0"/>
              <w:jc w:val="left"/>
            </w:pPr>
            <w:r/>
            <w:r>
              <w:rPr>
                <w:rFonts w:ascii="Times New Roman" w:hAnsi="Times New Roman"/>
                <w:sz w:val="22"/>
              </w:rPr>
              <w:t>stops after 10 rounds without loss improvement on a 10% validation split</w:t>
            </w:r>
          </w:p>
        </w:tc>
        <w:tc>
          <w:tcPr>
            <w:tcW w:type="dxa" w:w="1504"/>
          </w:tcPr>
          <w:p>
            <w:pPr>
              <w:spacing w:after="0"/>
              <w:jc w:val="left"/>
            </w:pPr>
            <w:r/>
            <w:r>
              <w:rPr>
                <w:rFonts w:ascii="Times New Roman" w:hAnsi="Times New Roman"/>
                <w:sz w:val="22"/>
              </w:rPr>
              <w:t>True</w:t>
            </w:r>
          </w:p>
        </w:tc>
        <w:tc>
          <w:tcPr>
            <w:tcW w:type="dxa" w:w="1504"/>
          </w:tcPr>
          <w:p>
            <w:pPr>
              <w:spacing w:after="0"/>
              <w:jc w:val="left"/>
            </w:pPr>
            <w:r/>
            <w:r>
              <w:rPr>
                <w:rFonts w:ascii="Times New Roman" w:hAnsi="Times New Roman"/>
                <w:sz w:val="22"/>
              </w:rPr>
              <w:t>none</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min_samples_leaf 20, 255 bins, no depth limit</w:t>
            </w:r>
          </w:p>
        </w:tc>
        <w:tc>
          <w:tcPr>
            <w:tcW w:type="dxa" w:w="1504"/>
          </w:tcPr>
          <w:p>
            <w:pPr>
              <w:spacing w:after="0"/>
              <w:jc w:val="left"/>
            </w:pPr>
            <w:r/>
            <w:r>
              <w:rPr>
                <w:rFonts w:ascii="Times New Roman" w:hAnsi="Times New Roman"/>
                <w:sz w:val="22"/>
              </w:rPr>
              <w:t>the leaf count already limits tree size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p>
        </w:tc>
        <w:tc>
          <w:tcPr>
            <w:tcW w:type="dxa" w:w="1504"/>
          </w:tcPr>
          <w:p>
            <w:pPr>
              <w:spacing w:after="0"/>
              <w:jc w:val="left"/>
            </w:pPr>
            <w:r/>
            <w:r>
              <w:rPr>
                <w:rFonts w:ascii="Times New Roman" w:hAnsi="Times New Roman"/>
                <w:sz w:val="22"/>
              </w:rPr>
              <w:t>Follow-up grid (24 candidates, 1,104 s)</w:t>
            </w:r>
          </w:p>
        </w:tc>
        <w:tc>
          <w:tcPr>
            <w:tcW w:type="dxa" w:w="1504"/>
          </w:tcPr>
          <w:p>
            <w:pPr>
              <w:spacing w:after="0"/>
              <w:jc w:val="left"/>
            </w:pPr>
            <w:r/>
            <w:r>
              <w:rPr>
                <w:rFonts w:ascii="Times New Roman" w:hAnsi="Times New Roman"/>
                <w:sz w:val="22"/>
              </w:rPr>
              <w:t>max_leaf_nodes 15, 31, 63; min_samples_leaf 20, 100 in place of the inert max_iter (fixed at 400); learning_rate and l2_regularization as above</w:t>
            </w:r>
          </w:p>
        </w:tc>
        <w:tc>
          <w:tcPr>
            <w:tcW w:type="dxa" w:w="1504"/>
          </w:tcPr>
          <w:p>
            <w:pPr>
              <w:spacing w:after="0"/>
              <w:jc w:val="left"/>
            </w:pPr>
            <w:r/>
            <w:r>
              <w:rPr>
                <w:rFonts w:ascii="Times New Roman" w:hAnsi="Times New Roman"/>
                <w:sz w:val="22"/>
              </w:rPr>
              <w:t>31 leaves sat at the grid edge, and leaf size was not searched</w:t>
            </w:r>
          </w:p>
        </w:tc>
        <w:tc>
          <w:tcPr>
            <w:tcW w:type="dxa" w:w="1504"/>
          </w:tcPr>
          <w:p>
            <w:pPr>
              <w:spacing w:after="0"/>
              <w:jc w:val="left"/>
            </w:pPr>
            <w:r/>
            <w:r>
              <w:rPr>
                <w:rFonts w:ascii="Times New Roman" w:hAnsi="Times New Roman"/>
                <w:sz w:val="22"/>
              </w:rPr>
              <w:t>63 leaves, min_samples_leaf 100, l2 1 (0.840 ± 0.003; training 0.886)</w:t>
            </w:r>
          </w:p>
        </w:tc>
        <w:tc>
          <w:tcPr>
            <w:tcW w:type="dxa" w:w="1504"/>
          </w:tcPr>
          <w:p>
            <w:pPr>
              <w:spacing w:after="0"/>
              <w:jc w:val="left"/>
            </w:pPr>
            <w:r/>
            <w:r>
              <w:rPr>
                <w:rFonts w:ascii="Times New Roman" w:hAnsi="Times New Roman"/>
                <w:sz w:val="22"/>
              </w:rPr>
              <w:t>0.838 (selected settings)</w:t>
            </w:r>
          </w:p>
        </w:tc>
      </w:tr>
      <w:tr>
        <w:tc>
          <w:tcPr>
            <w:tcW w:type="dxa" w:w="1504"/>
          </w:tcPr>
          <w:p>
            <w:pPr>
              <w:spacing w:after="0"/>
              <w:jc w:val="left"/>
            </w:pPr>
            <w:r/>
            <w:r>
              <w:rPr>
                <w:rFonts w:ascii="Times New Roman" w:hAnsi="Times New Roman"/>
                <w:sz w:val="22"/>
              </w:rPr>
              <w:t>SVM, RBF kernel (grid, 4; 0.795 ± 0.014; 0.858)</w:t>
            </w:r>
          </w:p>
        </w:tc>
        <w:tc>
          <w:tcPr>
            <w:tcW w:type="dxa" w:w="1504"/>
          </w:tcPr>
          <w:p>
            <w:pPr>
              <w:spacing w:after="0"/>
              <w:jc w:val="left"/>
            </w:pPr>
            <w:r/>
            <w:r>
              <w:rPr>
                <w:rFonts w:ascii="Times New Roman" w:hAnsi="Times New Roman"/>
                <w:sz w:val="22"/>
              </w:rPr>
              <w:t>C: penalty on margin violations</w:t>
            </w:r>
          </w:p>
        </w:tc>
        <w:tc>
          <w:tcPr>
            <w:tcW w:type="dxa" w:w="1504"/>
          </w:tcPr>
          <w:p>
            <w:pPr>
              <w:spacing w:after="0"/>
              <w:jc w:val="left"/>
            </w:pPr>
            <w:r/>
            <w:r>
              <w:rPr>
                <w:rFonts w:ascii="Times New Roman" w:hAnsi="Times New Roman"/>
                <w:sz w:val="22"/>
              </w:rPr>
              <w:t>1, 10</w:t>
            </w:r>
          </w:p>
        </w:tc>
        <w:tc>
          <w:tcPr>
            <w:tcW w:type="dxa" w:w="1504"/>
          </w:tcPr>
          <w:p>
            <w:pPr>
              <w:spacing w:after="0"/>
              <w:jc w:val="left"/>
            </w:pPr>
            <w:r/>
            <w:r>
              <w:rPr>
                <w:rFonts w:ascii="Times New Roman" w:hAnsi="Times New Roman"/>
                <w:sz w:val="22"/>
              </w:rPr>
              <w:t>the default and a weaker penalty; each fit took about three minutes</w:t>
            </w:r>
          </w:p>
        </w:tc>
        <w:tc>
          <w:tcPr>
            <w:tcW w:type="dxa" w:w="1504"/>
          </w:tcPr>
          <w:p>
            <w:pPr>
              <w:spacing w:after="0"/>
              <w:jc w:val="left"/>
            </w:pPr>
            <w:r/>
            <w:r>
              <w:rPr>
                <w:rFonts w:ascii="Times New Roman" w:hAnsi="Times New Roman"/>
                <w:sz w:val="22"/>
              </w:rPr>
              <w:t>1</w:t>
            </w:r>
          </w:p>
        </w:tc>
        <w:tc>
          <w:tcPr>
            <w:tcW w:type="dxa" w:w="1504"/>
          </w:tcPr>
          <w:p>
            <w:pPr>
              <w:spacing w:after="0"/>
              <w:jc w:val="left"/>
            </w:pPr>
            <w:r/>
            <w:r>
              <w:rPr>
                <w:rFonts w:ascii="Times New Roman" w:hAnsi="Times New Roman"/>
                <w:sz w:val="22"/>
              </w:rPr>
              <w:t>0.786 (10)</w:t>
            </w:r>
          </w:p>
        </w:tc>
      </w:tr>
      <w:tr>
        <w:tc>
          <w:tcPr>
            <w:tcW w:type="dxa" w:w="1504"/>
          </w:tcPr>
          <w:p>
            <w:pPr>
              <w:spacing w:after="0"/>
              <w:jc w:val="left"/>
            </w:pPr>
            <w:r/>
          </w:p>
        </w:tc>
        <w:tc>
          <w:tcPr>
            <w:tcW w:type="dxa" w:w="1504"/>
          </w:tcPr>
          <w:p>
            <w:pPr>
              <w:spacing w:after="0"/>
              <w:jc w:val="left"/>
            </w:pPr>
            <w:r/>
            <w:r>
              <w:rPr>
                <w:rFonts w:ascii="Times New Roman" w:hAnsi="Times New Roman"/>
                <w:sz w:val="22"/>
              </w:rPr>
              <w:t>gamma: RBF kernel width</w:t>
            </w:r>
          </w:p>
        </w:tc>
        <w:tc>
          <w:tcPr>
            <w:tcW w:type="dxa" w:w="1504"/>
          </w:tcPr>
          <w:p>
            <w:pPr>
              <w:spacing w:after="0"/>
              <w:jc w:val="left"/>
            </w:pPr>
            <w:r/>
            <w:r>
              <w:rPr>
                <w:rFonts w:ascii="Times New Roman" w:hAnsi="Times New Roman"/>
                <w:sz w:val="22"/>
              </w:rPr>
              <w:t>scale, 0.01</w:t>
            </w:r>
          </w:p>
        </w:tc>
        <w:tc>
          <w:tcPr>
            <w:tcW w:type="dxa" w:w="1504"/>
          </w:tcPr>
          <w:p>
            <w:pPr>
              <w:spacing w:after="0"/>
              <w:jc w:val="left"/>
            </w:pPr>
            <w:r/>
            <w:r>
              <w:rPr>
                <w:rFonts w:ascii="Times New Roman" w:hAnsi="Times New Roman"/>
                <w:sz w:val="22"/>
              </w:rPr>
              <w:t>the default heuristic and one fixed value</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0.791 (scale)</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Platt scaling over five inner folds; 9,913-row subsample of whole mine-years</w:t>
            </w:r>
          </w:p>
        </w:tc>
        <w:tc>
          <w:tcPr>
            <w:tcW w:type="dxa" w:w="1504"/>
          </w:tcPr>
          <w:p>
            <w:pPr>
              <w:spacing w:after="0"/>
              <w:jc w:val="left"/>
            </w:pPr>
            <w:r/>
            <w:r>
              <w:rPr>
                <w:rFonts w:ascii="Times New Roman" w:hAnsi="Times New Roman"/>
                <w:sz w:val="22"/>
              </w:rPr>
              <w:t>probabilities are needed for thresholds; training time is quadratic in rows</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MLP (grid, 9; 0.833 ± 0.004; 0.870)</w:t>
            </w:r>
          </w:p>
        </w:tc>
        <w:tc>
          <w:tcPr>
            <w:tcW w:type="dxa" w:w="1504"/>
          </w:tcPr>
          <w:p>
            <w:pPr>
              <w:spacing w:after="0"/>
              <w:jc w:val="left"/>
            </w:pPr>
            <w:r/>
            <w:r>
              <w:rPr>
                <w:rFonts w:ascii="Times New Roman" w:hAnsi="Times New Roman"/>
                <w:sz w:val="22"/>
              </w:rPr>
              <w:t>hidden_layer_sizes: units per hidden layer</w:t>
            </w:r>
          </w:p>
        </w:tc>
        <w:tc>
          <w:tcPr>
            <w:tcW w:type="dxa" w:w="1504"/>
          </w:tcPr>
          <w:p>
            <w:pPr>
              <w:spacing w:after="0"/>
              <w:jc w:val="left"/>
            </w:pPr>
            <w:r/>
            <w:r>
              <w:rPr>
                <w:rFonts w:ascii="Times New Roman" w:hAnsi="Times New Roman"/>
                <w:sz w:val="22"/>
              </w:rPr>
              <w:t>(64), (128), (128, 64)</w:t>
            </w:r>
          </w:p>
        </w:tc>
        <w:tc>
          <w:tcPr>
            <w:tcW w:type="dxa" w:w="1504"/>
          </w:tcPr>
          <w:p>
            <w:pPr>
              <w:spacing w:after="0"/>
              <w:jc w:val="left"/>
            </w:pPr>
            <w:r/>
            <w:r>
              <w:rPr>
                <w:rFonts w:ascii="Times New Roman" w:hAnsi="Times New Roman"/>
                <w:sz w:val="22"/>
              </w:rPr>
              <w:t>one or two small layers for about 65,000 rows per fold</w:t>
            </w:r>
          </w:p>
        </w:tc>
        <w:tc>
          <w:tcPr>
            <w:tcW w:type="dxa" w:w="1504"/>
          </w:tcPr>
          <w:p>
            <w:pPr>
              <w:spacing w:after="0"/>
              <w:jc w:val="left"/>
            </w:pPr>
            <w:r/>
            <w:r>
              <w:rPr>
                <w:rFonts w:ascii="Times New Roman" w:hAnsi="Times New Roman"/>
                <w:sz w:val="22"/>
              </w:rPr>
              <w:t>(128)</w:t>
            </w:r>
          </w:p>
        </w:tc>
        <w:tc>
          <w:tcPr>
            <w:tcW w:type="dxa" w:w="1504"/>
          </w:tcPr>
          <w:p>
            <w:pPr>
              <w:spacing w:after="0"/>
              <w:jc w:val="left"/>
            </w:pPr>
            <w:r/>
            <w:r>
              <w:rPr>
                <w:rFonts w:ascii="Times New Roman" w:hAnsi="Times New Roman"/>
                <w:sz w:val="22"/>
              </w:rPr>
              <w:t>0.832 (64)</w:t>
            </w:r>
          </w:p>
        </w:tc>
      </w:tr>
      <w:tr>
        <w:tc>
          <w:tcPr>
            <w:tcW w:type="dxa" w:w="1504"/>
          </w:tcPr>
          <w:p>
            <w:pPr>
              <w:spacing w:after="0"/>
              <w:jc w:val="left"/>
            </w:pPr>
            <w:r/>
          </w:p>
        </w:tc>
        <w:tc>
          <w:tcPr>
            <w:tcW w:type="dxa" w:w="1504"/>
          </w:tcPr>
          <w:p>
            <w:pPr>
              <w:spacing w:after="0"/>
              <w:jc w:val="left"/>
            </w:pPr>
            <w:r/>
            <w:r>
              <w:rPr>
                <w:rFonts w:ascii="Times New Roman" w:hAnsi="Times New Roman"/>
                <w:sz w:val="22"/>
              </w:rPr>
              <w:t>alpha: L2 weight penalty</w:t>
            </w:r>
          </w:p>
        </w:tc>
        <w:tc>
          <w:tcPr>
            <w:tcW w:type="dxa" w:w="1504"/>
          </w:tcPr>
          <w:p>
            <w:pPr>
              <w:spacing w:after="0"/>
              <w:jc w:val="left"/>
            </w:pPr>
            <w:r/>
            <w:r>
              <w:rPr>
                <w:rFonts w:ascii="Times New Roman" w:hAnsi="Times New Roman"/>
                <w:sz w:val="22"/>
              </w:rPr>
              <w:t>1e-4, 1e-2, 1e-1</w:t>
            </w:r>
          </w:p>
        </w:tc>
        <w:tc>
          <w:tcPr>
            <w:tcW w:type="dxa" w:w="1504"/>
          </w:tcPr>
          <w:p>
            <w:pPr>
              <w:spacing w:after="0"/>
              <w:jc w:val="left"/>
            </w:pPr>
            <w:r/>
            <w:r>
              <w:rPr>
                <w:rFonts w:ascii="Times New Roman" w:hAnsi="Times New Roman"/>
                <w:sz w:val="22"/>
              </w:rPr>
              <w:t>log-spaced from the default upwards</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0.832 (0.1)</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ReLU units; Adam with initial learning rate 0.001; batches of 200; early stopping on a 10% split; at most 200 epochs</w:t>
            </w:r>
          </w:p>
        </w:tc>
        <w:tc>
          <w:tcPr>
            <w:tcW w:type="dxa" w:w="1504"/>
          </w:tcPr>
          <w:p>
            <w:pPr>
              <w:spacing w:after="0"/>
              <w:jc w:val="left"/>
            </w:pPr>
            <w:r/>
            <w:r>
              <w:rPr>
                <w:rFonts w:ascii="Times New Roman" w:hAnsi="Times New Roman"/>
                <w:sz w:val="22"/>
              </w:rPr>
              <w:t>standard settings, with early stopping against overfitting</w:t>
            </w:r>
          </w:p>
        </w:tc>
        <w:tc>
          <w:tcPr>
            <w:tcW w:type="dxa" w:w="1504"/>
          </w:tcPr>
          <w:p>
            <w:pPr>
              <w:spacing w:after="0"/>
              <w:jc w:val="left"/>
            </w:pPr>
            <w:r/>
          </w:p>
        </w:tc>
        <w:tc>
          <w:tcPr>
            <w:tcW w:type="dxa" w:w="1504"/>
          </w:tcPr>
          <w:p>
            <w:pPr>
              <w:spacing w:after="0"/>
              <w:jc w:val="left"/>
            </w:pPr>
            <w:r/>
          </w:p>
        </w:tc>
      </w:tr>
    </w:tbl>
    <w:p>
      <w:pPr>
        <w:spacing w:after="80"/>
      </w:pPr>
    </w:p>
    <w:p>
      <w:r>
        <w:rPr>
          <w:rFonts w:ascii="Times New Roman" w:hAnsi="Times New Roman"/>
          <w:sz w:val="24"/>
        </w:rPr>
        <w:t>Figure 13 plots training and validation PR-AUC against each search's most varied hyperparameter. The decision tree underfits at depth 4 with equal scores, overfits at unlimited depth with a wide gap and peaks at depth 12 with large leaves. The random forest's deep trees open a wider gap still, yet its validation score rises with depth, because averaging cancels much of each tree's variance. The SVM overfits as C grows and has the largest fold-to-fold spread, a cost of its small subsample.</w:t>
      </w:r>
    </w:p>
    <w:p>
      <w:pPr>
        <w:keepNext/>
        <w:jc w:val="center"/>
      </w:pPr>
      <w:r>
        <w:drawing>
          <wp:inline xmlns:a="http://schemas.openxmlformats.org/drawingml/2006/main" xmlns:pic="http://schemas.openxmlformats.org/drawingml/2006/picture">
            <wp:extent cx="5029200" cy="8086703"/>
            <wp:docPr id="13" name="Picture 13" descr="Figure 13. 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 title="Figure 13"/>
            <wp:cNvGraphicFramePr>
              <a:graphicFrameLocks noChangeAspect="1"/>
            </wp:cNvGraphicFramePr>
            <a:graphic>
              <a:graphicData uri="http://schemas.openxmlformats.org/drawingml/2006/picture">
                <pic:pic>
                  <pic:nvPicPr>
                    <pic:cNvPr id="0" name="F14_validation_curves.png"/>
                    <pic:cNvPicPr/>
                  </pic:nvPicPr>
                  <pic:blipFill>
                    <a:blip r:embed="rId23"/>
                    <a:stretch>
                      <a:fillRect/>
                    </a:stretch>
                  </pic:blipFill>
                  <pic:spPr>
                    <a:xfrm>
                      <a:off x="0" y="0"/>
                      <a:ext cx="5029200" cy="8086703"/>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w:t>
      </w:r>
    </w:p>
    <w:p>
      <w:r>
        <w:rPr>
          <w:rFonts w:ascii="Times New Roman" w:hAnsi="Times New Roman"/>
          <w:sz w:val="24"/>
        </w:rPr>
        <w:t>Logistic regression is flat from C = 0.1 upwards, with training and validation scores close together, which marks a high-bias model. KNN scores 1.000 on its training folds under distance weighting, because each training row is its own nearest neighbour. Its validation score was still rising at the grid edge of K = 51, yet K = 101 and 151, tried after testing, scored lower. Gaussian naive Bayes peaks sharply in var_smoothing without a gap; one smoothing constant decides its score. HGB and the MLP have flat curves and moderate gaps, so their model class matters more than the selected values.</w:t>
      </w:r>
    </w:p>
    <w:p>
      <w:r>
        <w:rPr>
          <w:rFonts w:ascii="Times New Roman" w:hAnsi="Times New Roman"/>
          <w:sz w:val="24"/>
        </w:rPr>
        <w:t>The threshold was tuned as a further hyperparameter on out-of-fold probabilities, never on test rows, whose labels would then make the reported recall optimistic. The capacity rule takes the lowest threshold whose out-of-fold specificity reaches the target, a second rule flags half the cases, and a cost rule minimises out-of-fold expected cost at each cost ratio (Figure 14). For HGB the capacity threshold of 0.210 gave a test specificity of 0.403 against the 0.40 target, so the review workload planned on training rows held on unseen mine-years.</w:t>
      </w:r>
    </w:p>
    <w:p>
      <w:r>
        <w:rPr>
          <w:rFonts w:ascii="Times New Roman" w:hAnsi="Times New Roman"/>
          <w:sz w:val="24"/>
        </w:rPr>
        <w:t>The grids stayed narrow for compute reasons (Table 15). Searches took from about a minute for logistic regression to twenty minutes for four SVM candidates, and the temporal split repeated all of them. Wider grids for KNN, the forest and HGB, searched after the test scoring and not used for selection, raised no validation PR-AUC by more than 0.002 (Table 10), within one fold standard deviation. Under the one-standard-error rule, which picks the simplest candidate within one standard error of the best mean (Hastie et al., 2009), logistic regression would take a tenfold stronger penalty, the MLP its smaller layer and HGB the faster learning rate with fewer rounds. I kept the highest mean, since each alternative lies within fold noise and none changes the ranking of algorithms.</w:t>
      </w:r>
    </w:p>
    <w:p>
      <w:pPr>
        <w:pStyle w:val="Heading2"/>
      </w:pPr>
      <w:r>
        <w:rPr>
          <w:rFonts w:ascii="Times New Roman" w:hAnsi="Times New Roman"/>
          <w:b/>
          <w:color w:val="000000"/>
          <w:sz w:val="28"/>
        </w:rPr>
        <w:t>4.4 Evaluation metrics</w:t>
      </w:r>
    </w:p>
    <w:p>
      <w:r>
        <w:rPr>
          <w:rFonts w:ascii="Times New Roman" w:hAnsi="Times New Roman"/>
          <w:sz w:val="24"/>
        </w:rPr>
        <w:t>A true positive (TP) is a lost-time case flagged at filing, whose reserve and return-to-work plan then start early. A false negative (FN) is a lost-time case left in routine handling, the miss priced at USD 4,000 in Table 1. A false positive (FP) sends a restricted-duty or no-lost-time case to an unnecessary review costing about USD 200, and a true negative (TN) is such a case left alone. Accuracy, the share of correct cells, was reported but not used, because it prices both errors alike and the majority class reaches 0.514 while flagging nothing (Table 12).</w:t>
      </w:r>
    </w:p>
    <w:p>
      <w:r>
        <w:rPr>
          <w:rFonts w:ascii="Times New Roman" w:hAnsi="Times New Roman"/>
          <w:sz w:val="24"/>
        </w:rPr>
        <w:t>Recall, the true positive rate (TPR), is TP / (TP + FN), the share of lost-time cases flagged and the quantity the insurer most needs. Precision, TP / (TP + FP), is the share of flags that are lost-time and sets the review effort per catch. Specificity, the true negative rate (TNR), is TN / (TN + FP), the share of other cases left alone, which fixes the workload. F1, the harmonic mean of precision and recall, weights both errors equally, so it was reported but not optimised; the expected cost states the asymmetry that an F-beta score would only approximate. Balanced accuracy averages TPR and TNR, and the Matthews correlation coefficient (MCC) is zero for any constant prediction, so both expose a model that flags everything.</w:t>
      </w:r>
    </w:p>
    <w:p>
      <w:r>
        <w:rPr>
          <w:rFonts w:ascii="Times New Roman" w:hAnsi="Times New Roman"/>
          <w:sz w:val="24"/>
        </w:rPr>
        <w:t>ROC-AUC is the probability that a random lost-time case scores above a random other case and does not depend on prevalence (Fawcett, 2006). PR-AUC averages precision over all recall levels, and its no-skill level equals the prevalence of 0.486. A model dominates in precision-recall space exactly when it dominates in ROC space (Davis and Goadrich, 2006). At this prevalence the imbalance argument of Saito and Rehmsmeier (2015) does not apply, and the two measures rank the models alike. PR-AUC is primary because precision is the review yield along the adjuster's queue, while S3 measures recall at the planned capacity.</w:t>
      </w:r>
    </w:p>
    <w:p>
      <w:r>
        <w:rPr>
          <w:rFonts w:ascii="Times New Roman" w:hAnsi="Times New Roman"/>
          <w:sz w:val="24"/>
        </w:rPr>
        <w:t>Because the application shows each probability and the cost rule takes it at face value, calibration was checked. The Brier score, the mean squared gap between probability and outcome, is 0.250 for a constant prediction at the prevalence, and Figure 15 compares predicted with observed rates. Gaussian naive Bayes places many lost-time cases in its lowest bin, the overconfidence expected in Section 2.4. HGB follows the diagonal. Expected cost per 1,000 cases is 1,000 x (FN x C_FN + FP x C_FP) / N, with C_FP from Table 1 and C_FN set by the cost ratio (Figure 14). Reviewing everything costs the same at any ratio, and at high ratios the cheapest threshold flags nearly every case at about that cost, so cost separates models only at the low ratios that S4 tests.</w:t>
      </w:r>
    </w:p>
    <w:p>
      <w:pPr>
        <w:keepNext/>
        <w:jc w:val="center"/>
      </w:pPr>
      <w:r>
        <w:drawing>
          <wp:inline xmlns:a="http://schemas.openxmlformats.org/drawingml/2006/main" xmlns:pic="http://schemas.openxmlformats.org/drawingml/2006/picture">
            <wp:extent cx="5733288" cy="4928930"/>
            <wp:docPr id="14" name="Picture 14" descr="Figure 14. 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 title="Figure 14"/>
            <wp:cNvGraphicFramePr>
              <a:graphicFrameLocks noChangeAspect="1"/>
            </wp:cNvGraphicFramePr>
            <a:graphic>
              <a:graphicData uri="http://schemas.openxmlformats.org/drawingml/2006/picture">
                <pic:pic>
                  <pic:nvPicPr>
                    <pic:cNvPr id="0" name="F18_threshold_cost_curve_hist_gb.png"/>
                    <pic:cNvPicPr/>
                  </pic:nvPicPr>
                  <pic:blipFill>
                    <a:blip r:embed="rId24"/>
                    <a:stretch>
                      <a:fillRect/>
                    </a:stretch>
                  </pic:blipFill>
                  <pic:spPr>
                    <a:xfrm>
                      <a:off x="0" y="0"/>
                      <a:ext cx="5733288" cy="4928930"/>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w:t>
      </w:r>
    </w:p>
    <w:p>
      <w:pPr>
        <w:keepNext/>
        <w:jc w:val="center"/>
      </w:pPr>
      <w:r>
        <w:drawing>
          <wp:inline xmlns:a="http://schemas.openxmlformats.org/drawingml/2006/main" xmlns:pic="http://schemas.openxmlformats.org/drawingml/2006/picture">
            <wp:extent cx="4572000" cy="4444845"/>
            <wp:docPr id="15" name="Picture 15" descr="Figure 15. 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 title="Figure 15"/>
            <wp:cNvGraphicFramePr>
              <a:graphicFrameLocks noChangeAspect="1"/>
            </wp:cNvGraphicFramePr>
            <a:graphic>
              <a:graphicData uri="http://schemas.openxmlformats.org/drawingml/2006/picture">
                <pic:pic>
                  <pic:nvPicPr>
                    <pic:cNvPr id="0" name="F19_calibration.png"/>
                    <pic:cNvPicPr/>
                  </pic:nvPicPr>
                  <pic:blipFill>
                    <a:blip r:embed="rId25"/>
                    <a:stretch>
                      <a:fillRect/>
                    </a:stretch>
                  </pic:blipFill>
                  <pic:spPr>
                    <a:xfrm>
                      <a:off x="0" y="0"/>
                      <a:ext cx="4572000" cy="444484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w:t>
      </w:r>
    </w:p>
    <w:p>
      <w:r>
        <w:rPr>
          <w:rFonts w:ascii="Times New Roman" w:hAnsi="Times New Roman"/>
          <w:sz w:val="24"/>
        </w:rPr>
        <w:t>Cross-validated scores are fold means and standard deviations on training rows and served selection only; the test set was scored once with every choice fixed, and the two sit in separate tables. No metric here captures fairness between sectors, whose label partly records employer practice, or drift after the training years, so results are also reported by sector and on a temporal split (Table 21).</w:t>
      </w:r>
    </w:p>
    <w:p>
      <w:pPr>
        <w:pStyle w:val="Heading2"/>
      </w:pPr>
      <w:r>
        <w:rPr>
          <w:rFonts w:ascii="Times New Roman" w:hAnsi="Times New Roman"/>
          <w:b/>
          <w:color w:val="000000"/>
          <w:sz w:val="28"/>
        </w:rPr>
        <w:t>4.5 Comparison and final model</w:t>
      </w:r>
    </w:p>
    <w:p>
      <w:r>
        <w:rPr>
          <w:rFonts w:ascii="Times New Roman" w:hAnsi="Times New Roman"/>
          <w:sz w:val="24"/>
        </w:rPr>
        <w:t>Table 11 gives the cross-validated scores and Table 12 the test scores at the default threshold of 0.5. HGB leads both, the MLP is second, and logistic regression nearly ties the random forest. The curves of the top six models lie close together, while KNN and naive Bayes fall below the lookup baseline (Figure 16; Figure 17). At each capacity threshold, recall is close among the top six, and the MLP's highest recall comes with the lowest specificity (Table 13).</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Cross-validated scores (mean ± SD over five grouped folds of the 81,289-row training split) of each model's selected candidate at the default threshold of 0.5, ordered by PR-AUC, the refit metric; KNN and the SVM were cross-validated on their 39,999-row and 9,913-row subsamples, and TNR is pooled over the out-of-fold predictions of all training rows, so it has no SD. Source: author's analysis of MSHA open data.</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E7E6E6"/>
          </w:tcPr>
          <w:p>
            <w:pPr>
              <w:jc w:val="left"/>
            </w:pPr>
            <w:r>
              <w:rPr>
                <w:b/>
              </w:rPr>
            </w:r>
            <w:r>
              <w:rPr>
                <w:rFonts w:ascii="Times New Roman" w:hAnsi="Times New Roman"/>
                <w:b/>
                <w:sz w:val="22"/>
              </w:rPr>
              <w:t>Model</w:t>
            </w:r>
          </w:p>
        </w:tc>
        <w:tc>
          <w:tcPr>
            <w:tcW w:type="dxa" w:w="1003"/>
            <w:shd w:val="clear" w:color="auto" w:fill="E7E6E6"/>
          </w:tcPr>
          <w:p>
            <w:pPr>
              <w:jc w:val="left"/>
            </w:pPr>
            <w:r>
              <w:rPr>
                <w:b/>
              </w:rPr>
            </w:r>
            <w:r>
              <w:rPr>
                <w:rFonts w:ascii="Times New Roman" w:hAnsi="Times New Roman"/>
                <w:b/>
                <w:sz w:val="22"/>
              </w:rPr>
              <w:t>PR-AUC</w:t>
            </w:r>
          </w:p>
        </w:tc>
        <w:tc>
          <w:tcPr>
            <w:tcW w:type="dxa" w:w="1003"/>
            <w:shd w:val="clear" w:color="auto" w:fill="E7E6E6"/>
          </w:tcPr>
          <w:p>
            <w:pPr>
              <w:jc w:val="left"/>
            </w:pPr>
            <w:r>
              <w:rPr>
                <w:b/>
              </w:rPr>
            </w:r>
            <w:r>
              <w:rPr>
                <w:rFonts w:ascii="Times New Roman" w:hAnsi="Times New Roman"/>
                <w:b/>
                <w:sz w:val="22"/>
              </w:rPr>
              <w:t>ROC-AUC</w:t>
            </w:r>
          </w:p>
        </w:tc>
        <w:tc>
          <w:tcPr>
            <w:tcW w:type="dxa" w:w="1003"/>
            <w:shd w:val="clear" w:color="auto" w:fill="E7E6E6"/>
          </w:tcPr>
          <w:p>
            <w:pPr>
              <w:jc w:val="left"/>
            </w:pPr>
            <w:r>
              <w:rPr>
                <w:b/>
              </w:rPr>
            </w:r>
            <w:r>
              <w:rPr>
                <w:rFonts w:ascii="Times New Roman" w:hAnsi="Times New Roman"/>
                <w:b/>
                <w:sz w:val="22"/>
              </w:rPr>
              <w:t>F1</w:t>
            </w:r>
          </w:p>
        </w:tc>
        <w:tc>
          <w:tcPr>
            <w:tcW w:type="dxa" w:w="1003"/>
            <w:shd w:val="clear" w:color="auto" w:fill="E7E6E6"/>
          </w:tcPr>
          <w:p>
            <w:pPr>
              <w:jc w:val="left"/>
            </w:pPr>
            <w:r>
              <w:rPr>
                <w:b/>
              </w:rPr>
            </w:r>
            <w:r>
              <w:rPr>
                <w:rFonts w:ascii="Times New Roman" w:hAnsi="Times New Roman"/>
                <w:b/>
                <w:sz w:val="22"/>
              </w:rPr>
              <w:t>Recall (TPR)</w:t>
            </w:r>
          </w:p>
        </w:tc>
        <w:tc>
          <w:tcPr>
            <w:tcW w:type="dxa" w:w="1003"/>
            <w:shd w:val="clear" w:color="auto" w:fill="E7E6E6"/>
          </w:tcPr>
          <w:p>
            <w:pPr>
              <w:jc w:val="left"/>
            </w:pPr>
            <w:r>
              <w:rPr>
                <w:b/>
              </w:rPr>
            </w:r>
            <w:r>
              <w:rPr>
                <w:rFonts w:ascii="Times New Roman" w:hAnsi="Times New Roman"/>
                <w:b/>
                <w:sz w:val="22"/>
              </w:rPr>
              <w:t>TNR (pooled)</w:t>
            </w:r>
          </w:p>
        </w:tc>
        <w:tc>
          <w:tcPr>
            <w:tcW w:type="dxa" w:w="1003"/>
            <w:shd w:val="clear" w:color="auto" w:fill="E7E6E6"/>
          </w:tcPr>
          <w:p>
            <w:pPr>
              <w:jc w:val="left"/>
            </w:pPr>
            <w:r>
              <w:rPr>
                <w:b/>
              </w:rPr>
            </w:r>
            <w:r>
              <w:rPr>
                <w:rFonts w:ascii="Times New Roman" w:hAnsi="Times New Roman"/>
                <w:b/>
                <w:sz w:val="22"/>
              </w:rPr>
              <w:t>Precision</w:t>
            </w:r>
          </w:p>
        </w:tc>
        <w:tc>
          <w:tcPr>
            <w:tcW w:type="dxa" w:w="1003"/>
            <w:shd w:val="clear" w:color="auto" w:fill="E7E6E6"/>
          </w:tcPr>
          <w:p>
            <w:pPr>
              <w:jc w:val="left"/>
            </w:pPr>
            <w:r>
              <w:rPr>
                <w:b/>
              </w:rPr>
            </w:r>
            <w:r>
              <w:rPr>
                <w:rFonts w:ascii="Times New Roman" w:hAnsi="Times New Roman"/>
                <w:b/>
                <w:sz w:val="22"/>
              </w:rPr>
              <w:t>Accuracy</w:t>
            </w:r>
          </w:p>
        </w:tc>
        <w:tc>
          <w:tcPr>
            <w:tcW w:type="dxa" w:w="1003"/>
            <w:shd w:val="clear" w:color="auto" w:fill="E7E6E6"/>
          </w:tcPr>
          <w:p>
            <w:pPr>
              <w:jc w:val="left"/>
            </w:pPr>
            <w:r>
              <w:rPr>
                <w:b/>
              </w:rPr>
            </w:r>
            <w:r>
              <w:rPr>
                <w:rFonts w:ascii="Times New Roman" w:hAnsi="Times New Roman"/>
                <w:b/>
                <w:sz w:val="22"/>
              </w:rPr>
              <w:t>Brier</w:t>
            </w:r>
          </w:p>
        </w:tc>
      </w:tr>
      <w:tr>
        <w:tc>
          <w:tcPr>
            <w:tcW w:type="dxa" w:w="1003"/>
          </w:tcPr>
          <w:p>
            <w:pPr>
              <w:spacing w:after="0"/>
              <w:jc w:val="left"/>
            </w:pPr>
            <w:r/>
            <w:r>
              <w:rPr>
                <w:rFonts w:ascii="Times New Roman" w:hAnsi="Times New Roman"/>
                <w:sz w:val="22"/>
              </w:rPr>
              <w:t>HGB</w:t>
            </w:r>
          </w:p>
        </w:tc>
        <w:tc>
          <w:tcPr>
            <w:tcW w:type="dxa" w:w="1003"/>
          </w:tcPr>
          <w:p>
            <w:pPr>
              <w:spacing w:after="0"/>
              <w:jc w:val="left"/>
            </w:pPr>
            <w:r/>
            <w:r>
              <w:rPr>
                <w:rFonts w:ascii="Times New Roman" w:hAnsi="Times New Roman"/>
                <w:sz w:val="22"/>
              </w:rPr>
              <w:t>0.838 ± 0.003</w:t>
            </w:r>
          </w:p>
        </w:tc>
        <w:tc>
          <w:tcPr>
            <w:tcW w:type="dxa" w:w="1003"/>
          </w:tcPr>
          <w:p>
            <w:pPr>
              <w:spacing w:after="0"/>
              <w:jc w:val="left"/>
            </w:pPr>
            <w:r/>
            <w:r>
              <w:rPr>
                <w:rFonts w:ascii="Times New Roman" w:hAnsi="Times New Roman"/>
                <w:sz w:val="22"/>
              </w:rPr>
              <w:t>0.839 ± 0.002</w:t>
            </w:r>
          </w:p>
        </w:tc>
        <w:tc>
          <w:tcPr>
            <w:tcW w:type="dxa" w:w="1003"/>
          </w:tcPr>
          <w:p>
            <w:pPr>
              <w:spacing w:after="0"/>
              <w:jc w:val="left"/>
            </w:pPr>
            <w:r/>
            <w:r>
              <w:rPr>
                <w:rFonts w:ascii="Times New Roman" w:hAnsi="Times New Roman"/>
                <w:sz w:val="22"/>
              </w:rPr>
              <w:t>0.743 ± 0.002</w:t>
            </w:r>
          </w:p>
        </w:tc>
        <w:tc>
          <w:tcPr>
            <w:tcW w:type="dxa" w:w="1003"/>
          </w:tcPr>
          <w:p>
            <w:pPr>
              <w:spacing w:after="0"/>
              <w:jc w:val="left"/>
            </w:pPr>
            <w:r/>
            <w:r>
              <w:rPr>
                <w:rFonts w:ascii="Times New Roman" w:hAnsi="Times New Roman"/>
                <w:sz w:val="22"/>
              </w:rPr>
              <w:t>0.723 ± 0.007</w:t>
            </w:r>
          </w:p>
        </w:tc>
        <w:tc>
          <w:tcPr>
            <w:tcW w:type="dxa" w:w="1003"/>
          </w:tcPr>
          <w:p>
            <w:pPr>
              <w:spacing w:after="0"/>
              <w:jc w:val="left"/>
            </w:pPr>
            <w:r/>
            <w:r>
              <w:rPr>
                <w:rFonts w:ascii="Times New Roman" w:hAnsi="Times New Roman"/>
                <w:sz w:val="22"/>
              </w:rPr>
              <w:t>0.789</w:t>
            </w:r>
          </w:p>
        </w:tc>
        <w:tc>
          <w:tcPr>
            <w:tcW w:type="dxa" w:w="1003"/>
          </w:tcPr>
          <w:p>
            <w:pPr>
              <w:spacing w:after="0"/>
              <w:jc w:val="left"/>
            </w:pPr>
            <w:r/>
            <w:r>
              <w:rPr>
                <w:rFonts w:ascii="Times New Roman" w:hAnsi="Times New Roman"/>
                <w:sz w:val="22"/>
              </w:rPr>
              <w:t>0.764 ± 0.005</w:t>
            </w:r>
          </w:p>
        </w:tc>
        <w:tc>
          <w:tcPr>
            <w:tcW w:type="dxa" w:w="1003"/>
          </w:tcPr>
          <w:p>
            <w:pPr>
              <w:spacing w:after="0"/>
              <w:jc w:val="left"/>
            </w:pPr>
            <w:r/>
            <w:r>
              <w:rPr>
                <w:rFonts w:ascii="Times New Roman" w:hAnsi="Times New Roman"/>
                <w:sz w:val="22"/>
              </w:rPr>
              <w:t>0.757 ± 0.002</w:t>
            </w:r>
          </w:p>
        </w:tc>
        <w:tc>
          <w:tcPr>
            <w:tcW w:type="dxa" w:w="1003"/>
          </w:tcPr>
          <w:p>
            <w:pPr>
              <w:spacing w:after="0"/>
              <w:jc w:val="left"/>
            </w:pPr>
            <w:r/>
            <w:r>
              <w:rPr>
                <w:rFonts w:ascii="Times New Roman" w:hAnsi="Times New Roman"/>
                <w:sz w:val="22"/>
              </w:rPr>
              <w:t>0.163 ± 0.001</w:t>
            </w:r>
          </w:p>
        </w:tc>
      </w:tr>
      <w:tr>
        <w:tc>
          <w:tcPr>
            <w:tcW w:type="dxa" w:w="1003"/>
          </w:tcPr>
          <w:p>
            <w:pPr>
              <w:spacing w:after="0"/>
              <w:jc w:val="left"/>
            </w:pPr>
            <w:r/>
            <w:r>
              <w:rPr>
                <w:rFonts w:ascii="Times New Roman" w:hAnsi="Times New Roman"/>
                <w:sz w:val="22"/>
              </w:rPr>
              <w:t>MLP</w:t>
            </w:r>
          </w:p>
        </w:tc>
        <w:tc>
          <w:tcPr>
            <w:tcW w:type="dxa" w:w="1003"/>
          </w:tcPr>
          <w:p>
            <w:pPr>
              <w:spacing w:after="0"/>
              <w:jc w:val="left"/>
            </w:pPr>
            <w:r/>
            <w:r>
              <w:rPr>
                <w:rFonts w:ascii="Times New Roman" w:hAnsi="Times New Roman"/>
                <w:sz w:val="22"/>
              </w:rPr>
              <w:t>0.833 ± 0.004</w:t>
            </w:r>
          </w:p>
        </w:tc>
        <w:tc>
          <w:tcPr>
            <w:tcW w:type="dxa" w:w="1003"/>
          </w:tcPr>
          <w:p>
            <w:pPr>
              <w:spacing w:after="0"/>
              <w:jc w:val="left"/>
            </w:pPr>
            <w:r/>
            <w:r>
              <w:rPr>
                <w:rFonts w:ascii="Times New Roman" w:hAnsi="Times New Roman"/>
                <w:sz w:val="22"/>
              </w:rPr>
              <w:t>0.835 ± 0.004</w:t>
            </w:r>
          </w:p>
        </w:tc>
        <w:tc>
          <w:tcPr>
            <w:tcW w:type="dxa" w:w="1003"/>
          </w:tcPr>
          <w:p>
            <w:pPr>
              <w:spacing w:after="0"/>
              <w:jc w:val="left"/>
            </w:pPr>
            <w:r/>
            <w:r>
              <w:rPr>
                <w:rFonts w:ascii="Times New Roman" w:hAnsi="Times New Roman"/>
                <w:sz w:val="22"/>
              </w:rPr>
              <w:t>0.740 ± 0.007</w:t>
            </w:r>
          </w:p>
        </w:tc>
        <w:tc>
          <w:tcPr>
            <w:tcW w:type="dxa" w:w="1003"/>
          </w:tcPr>
          <w:p>
            <w:pPr>
              <w:spacing w:after="0"/>
              <w:jc w:val="left"/>
            </w:pPr>
            <w:r/>
            <w:r>
              <w:rPr>
                <w:rFonts w:ascii="Times New Roman" w:hAnsi="Times New Roman"/>
                <w:sz w:val="22"/>
              </w:rPr>
              <w:t>0.719 ± 0.019</w:t>
            </w:r>
          </w:p>
        </w:tc>
        <w:tc>
          <w:tcPr>
            <w:tcW w:type="dxa" w:w="1003"/>
          </w:tcPr>
          <w:p>
            <w:pPr>
              <w:spacing w:after="0"/>
              <w:jc w:val="left"/>
            </w:pPr>
            <w:r/>
            <w:r>
              <w:rPr>
                <w:rFonts w:ascii="Times New Roman" w:hAnsi="Times New Roman"/>
                <w:sz w:val="22"/>
              </w:rPr>
              <w:t>0.788</w:t>
            </w:r>
          </w:p>
        </w:tc>
        <w:tc>
          <w:tcPr>
            <w:tcW w:type="dxa" w:w="1003"/>
          </w:tcPr>
          <w:p>
            <w:pPr>
              <w:spacing w:after="0"/>
              <w:jc w:val="left"/>
            </w:pPr>
            <w:r/>
            <w:r>
              <w:rPr>
                <w:rFonts w:ascii="Times New Roman" w:hAnsi="Times New Roman"/>
                <w:sz w:val="22"/>
              </w:rPr>
              <w:t>0.763 ± 0.007</w:t>
            </w:r>
          </w:p>
        </w:tc>
        <w:tc>
          <w:tcPr>
            <w:tcW w:type="dxa" w:w="1003"/>
          </w:tcPr>
          <w:p>
            <w:pPr>
              <w:spacing w:after="0"/>
              <w:jc w:val="left"/>
            </w:pPr>
            <w:r/>
            <w:r>
              <w:rPr>
                <w:rFonts w:ascii="Times New Roman" w:hAnsi="Times New Roman"/>
                <w:sz w:val="22"/>
              </w:rPr>
              <w:t>0.755 ± 0.002</w:t>
            </w:r>
          </w:p>
        </w:tc>
        <w:tc>
          <w:tcPr>
            <w:tcW w:type="dxa" w:w="1003"/>
          </w:tcPr>
          <w:p>
            <w:pPr>
              <w:spacing w:after="0"/>
              <w:jc w:val="left"/>
            </w:pPr>
            <w:r/>
            <w:r>
              <w:rPr>
                <w:rFonts w:ascii="Times New Roman" w:hAnsi="Times New Roman"/>
                <w:sz w:val="22"/>
              </w:rPr>
              <w:t>0.166 ± 0.002</w:t>
            </w:r>
          </w:p>
        </w:tc>
      </w:tr>
      <w:tr>
        <w:tc>
          <w:tcPr>
            <w:tcW w:type="dxa" w:w="1003"/>
          </w:tcPr>
          <w:p>
            <w:pPr>
              <w:spacing w:after="0"/>
              <w:jc w:val="left"/>
            </w:pPr>
            <w:r/>
            <w:r>
              <w:rPr>
                <w:rFonts w:ascii="Times New Roman" w:hAnsi="Times New Roman"/>
                <w:sz w:val="22"/>
              </w:rPr>
              <w:t>Random forest</w:t>
            </w:r>
          </w:p>
        </w:tc>
        <w:tc>
          <w:tcPr>
            <w:tcW w:type="dxa" w:w="1003"/>
          </w:tcPr>
          <w:p>
            <w:pPr>
              <w:spacing w:after="0"/>
              <w:jc w:val="left"/>
            </w:pPr>
            <w:r/>
            <w:r>
              <w:rPr>
                <w:rFonts w:ascii="Times New Roman" w:hAnsi="Times New Roman"/>
                <w:sz w:val="22"/>
              </w:rPr>
              <w:t>0.821 ± 0.003</w:t>
            </w:r>
          </w:p>
        </w:tc>
        <w:tc>
          <w:tcPr>
            <w:tcW w:type="dxa" w:w="1003"/>
          </w:tcPr>
          <w:p>
            <w:pPr>
              <w:spacing w:after="0"/>
              <w:jc w:val="left"/>
            </w:pPr>
            <w:r/>
            <w:r>
              <w:rPr>
                <w:rFonts w:ascii="Times New Roman" w:hAnsi="Times New Roman"/>
                <w:sz w:val="22"/>
              </w:rPr>
              <w:t>0.828 ± 0.003</w:t>
            </w:r>
          </w:p>
        </w:tc>
        <w:tc>
          <w:tcPr>
            <w:tcW w:type="dxa" w:w="1003"/>
          </w:tcPr>
          <w:p>
            <w:pPr>
              <w:spacing w:after="0"/>
              <w:jc w:val="left"/>
            </w:pPr>
            <w:r/>
            <w:r>
              <w:rPr>
                <w:rFonts w:ascii="Times New Roman" w:hAnsi="Times New Roman"/>
                <w:sz w:val="22"/>
              </w:rPr>
              <w:t>0.732 ± 0.004</w:t>
            </w:r>
          </w:p>
        </w:tc>
        <w:tc>
          <w:tcPr>
            <w:tcW w:type="dxa" w:w="1003"/>
          </w:tcPr>
          <w:p>
            <w:pPr>
              <w:spacing w:after="0"/>
              <w:jc w:val="left"/>
            </w:pPr>
            <w:r/>
            <w:r>
              <w:rPr>
                <w:rFonts w:ascii="Times New Roman" w:hAnsi="Times New Roman"/>
                <w:sz w:val="22"/>
              </w:rPr>
              <w:t>0.704 ± 0.009</w:t>
            </w:r>
          </w:p>
        </w:tc>
        <w:tc>
          <w:tcPr>
            <w:tcW w:type="dxa" w:w="1003"/>
          </w:tcPr>
          <w:p>
            <w:pPr>
              <w:spacing w:after="0"/>
              <w:jc w:val="left"/>
            </w:pPr>
            <w:r/>
            <w:r>
              <w:rPr>
                <w:rFonts w:ascii="Times New Roman" w:hAnsi="Times New Roman"/>
                <w:sz w:val="22"/>
              </w:rPr>
              <w:t>0.793</w:t>
            </w:r>
          </w:p>
        </w:tc>
        <w:tc>
          <w:tcPr>
            <w:tcW w:type="dxa" w:w="1003"/>
          </w:tcPr>
          <w:p>
            <w:pPr>
              <w:spacing w:after="0"/>
              <w:jc w:val="left"/>
            </w:pPr>
            <w:r/>
            <w:r>
              <w:rPr>
                <w:rFonts w:ascii="Times New Roman" w:hAnsi="Times New Roman"/>
                <w:sz w:val="22"/>
              </w:rPr>
              <w:t>0.762 ± 0.003</w:t>
            </w:r>
          </w:p>
        </w:tc>
        <w:tc>
          <w:tcPr>
            <w:tcW w:type="dxa" w:w="1003"/>
          </w:tcPr>
          <w:p>
            <w:pPr>
              <w:spacing w:after="0"/>
              <w:jc w:val="left"/>
            </w:pPr>
            <w:r/>
            <w:r>
              <w:rPr>
                <w:rFonts w:ascii="Times New Roman" w:hAnsi="Times New Roman"/>
                <w:sz w:val="22"/>
              </w:rPr>
              <w:t>0.750 ± 0.002</w:t>
            </w:r>
          </w:p>
        </w:tc>
        <w:tc>
          <w:tcPr>
            <w:tcW w:type="dxa" w:w="1003"/>
          </w:tcPr>
          <w:p>
            <w:pPr>
              <w:spacing w:after="0"/>
              <w:jc w:val="left"/>
            </w:pPr>
            <w:r/>
            <w:r>
              <w:rPr>
                <w:rFonts w:ascii="Times New Roman" w:hAnsi="Times New Roman"/>
                <w:sz w:val="22"/>
              </w:rPr>
              <w:t>0.173 ± 0.001</w:t>
            </w:r>
          </w:p>
        </w:tc>
      </w:tr>
      <w:tr>
        <w:tc>
          <w:tcPr>
            <w:tcW w:type="dxa" w:w="1003"/>
          </w:tcPr>
          <w:p>
            <w:pPr>
              <w:spacing w:after="0"/>
              <w:jc w:val="left"/>
            </w:pPr>
            <w:r/>
            <w:r>
              <w:rPr>
                <w:rFonts w:ascii="Times New Roman" w:hAnsi="Times New Roman"/>
                <w:sz w:val="22"/>
              </w:rPr>
              <w:t>Logistic regression</w:t>
            </w:r>
          </w:p>
        </w:tc>
        <w:tc>
          <w:tcPr>
            <w:tcW w:type="dxa" w:w="1003"/>
          </w:tcPr>
          <w:p>
            <w:pPr>
              <w:spacing w:after="0"/>
              <w:jc w:val="left"/>
            </w:pPr>
            <w:r/>
            <w:r>
              <w:rPr>
                <w:rFonts w:ascii="Times New Roman" w:hAnsi="Times New Roman"/>
                <w:sz w:val="22"/>
              </w:rPr>
              <w:t>0.820 ± 0.003</w:t>
            </w:r>
          </w:p>
        </w:tc>
        <w:tc>
          <w:tcPr>
            <w:tcW w:type="dxa" w:w="1003"/>
          </w:tcPr>
          <w:p>
            <w:pPr>
              <w:spacing w:after="0"/>
              <w:jc w:val="left"/>
            </w:pPr>
            <w:r/>
            <w:r>
              <w:rPr>
                <w:rFonts w:ascii="Times New Roman" w:hAnsi="Times New Roman"/>
                <w:sz w:val="22"/>
              </w:rPr>
              <w:t>0.825 ± 0.002</w:t>
            </w:r>
          </w:p>
        </w:tc>
        <w:tc>
          <w:tcPr>
            <w:tcW w:type="dxa" w:w="1003"/>
          </w:tcPr>
          <w:p>
            <w:pPr>
              <w:spacing w:after="0"/>
              <w:jc w:val="left"/>
            </w:pPr>
            <w:r/>
            <w:r>
              <w:rPr>
                <w:rFonts w:ascii="Times New Roman" w:hAnsi="Times New Roman"/>
                <w:sz w:val="22"/>
              </w:rPr>
              <w:t>0.739 ± 0.002</w:t>
            </w:r>
          </w:p>
        </w:tc>
        <w:tc>
          <w:tcPr>
            <w:tcW w:type="dxa" w:w="1003"/>
          </w:tcPr>
          <w:p>
            <w:pPr>
              <w:spacing w:after="0"/>
              <w:jc w:val="left"/>
            </w:pPr>
            <w:r/>
            <w:r>
              <w:rPr>
                <w:rFonts w:ascii="Times New Roman" w:hAnsi="Times New Roman"/>
                <w:sz w:val="22"/>
              </w:rPr>
              <w:t>0.740 ± 0.007</w:t>
            </w:r>
          </w:p>
        </w:tc>
        <w:tc>
          <w:tcPr>
            <w:tcW w:type="dxa" w:w="1003"/>
          </w:tcPr>
          <w:p>
            <w:pPr>
              <w:spacing w:after="0"/>
              <w:jc w:val="left"/>
            </w:pPr>
            <w:r/>
            <w:r>
              <w:rPr>
                <w:rFonts w:ascii="Times New Roman" w:hAnsi="Times New Roman"/>
                <w:sz w:val="22"/>
              </w:rPr>
              <w:t>0.751</w:t>
            </w:r>
          </w:p>
        </w:tc>
        <w:tc>
          <w:tcPr>
            <w:tcW w:type="dxa" w:w="1003"/>
          </w:tcPr>
          <w:p>
            <w:pPr>
              <w:spacing w:after="0"/>
              <w:jc w:val="left"/>
            </w:pPr>
            <w:r/>
            <w:r>
              <w:rPr>
                <w:rFonts w:ascii="Times New Roman" w:hAnsi="Times New Roman"/>
                <w:sz w:val="22"/>
              </w:rPr>
              <w:t>0.738 ± 0.005</w:t>
            </w:r>
          </w:p>
        </w:tc>
        <w:tc>
          <w:tcPr>
            <w:tcW w:type="dxa" w:w="1003"/>
          </w:tcPr>
          <w:p>
            <w:pPr>
              <w:spacing w:after="0"/>
              <w:jc w:val="left"/>
            </w:pPr>
            <w:r/>
            <w:r>
              <w:rPr>
                <w:rFonts w:ascii="Times New Roman" w:hAnsi="Times New Roman"/>
                <w:sz w:val="22"/>
              </w:rPr>
              <w:t>0.746 ± 0.002</w:t>
            </w:r>
          </w:p>
        </w:tc>
        <w:tc>
          <w:tcPr>
            <w:tcW w:type="dxa" w:w="1003"/>
          </w:tcPr>
          <w:p>
            <w:pPr>
              <w:spacing w:after="0"/>
              <w:jc w:val="left"/>
            </w:pPr>
            <w:r/>
            <w:r>
              <w:rPr>
                <w:rFonts w:ascii="Times New Roman" w:hAnsi="Times New Roman"/>
                <w:sz w:val="22"/>
              </w:rPr>
              <w:t>0.171 ± 0.001</w:t>
            </w:r>
          </w:p>
        </w:tc>
      </w:tr>
      <w:tr>
        <w:tc>
          <w:tcPr>
            <w:tcW w:type="dxa" w:w="1003"/>
          </w:tcPr>
          <w:p>
            <w:pPr>
              <w:spacing w:after="0"/>
              <w:jc w:val="left"/>
            </w:pPr>
            <w:r/>
            <w:r>
              <w:rPr>
                <w:rFonts w:ascii="Times New Roman" w:hAnsi="Times New Roman"/>
                <w:sz w:val="22"/>
              </w:rPr>
              <w:t>Decision tree</w:t>
            </w:r>
          </w:p>
        </w:tc>
        <w:tc>
          <w:tcPr>
            <w:tcW w:type="dxa" w:w="1003"/>
          </w:tcPr>
          <w:p>
            <w:pPr>
              <w:spacing w:after="0"/>
              <w:jc w:val="left"/>
            </w:pPr>
            <w:r/>
            <w:r>
              <w:rPr>
                <w:rFonts w:ascii="Times New Roman" w:hAnsi="Times New Roman"/>
                <w:sz w:val="22"/>
              </w:rPr>
              <w:t>0.803 ± 0.004</w:t>
            </w:r>
          </w:p>
        </w:tc>
        <w:tc>
          <w:tcPr>
            <w:tcW w:type="dxa" w:w="1003"/>
          </w:tcPr>
          <w:p>
            <w:pPr>
              <w:spacing w:after="0"/>
              <w:jc w:val="left"/>
            </w:pPr>
            <w:r/>
            <w:r>
              <w:rPr>
                <w:rFonts w:ascii="Times New Roman" w:hAnsi="Times New Roman"/>
                <w:sz w:val="22"/>
              </w:rPr>
              <w:t>0.812 ± 0.004</w:t>
            </w:r>
          </w:p>
        </w:tc>
        <w:tc>
          <w:tcPr>
            <w:tcW w:type="dxa" w:w="1003"/>
          </w:tcPr>
          <w:p>
            <w:pPr>
              <w:spacing w:after="0"/>
              <w:jc w:val="left"/>
            </w:pPr>
            <w:r/>
            <w:r>
              <w:rPr>
                <w:rFonts w:ascii="Times New Roman" w:hAnsi="Times New Roman"/>
                <w:sz w:val="22"/>
              </w:rPr>
              <w:t>0.724 ± 0.015</w:t>
            </w:r>
          </w:p>
        </w:tc>
        <w:tc>
          <w:tcPr>
            <w:tcW w:type="dxa" w:w="1003"/>
          </w:tcPr>
          <w:p>
            <w:pPr>
              <w:spacing w:after="0"/>
              <w:jc w:val="left"/>
            </w:pPr>
            <w:r/>
            <w:r>
              <w:rPr>
                <w:rFonts w:ascii="Times New Roman" w:hAnsi="Times New Roman"/>
                <w:sz w:val="22"/>
              </w:rPr>
              <w:t>0.715 ± 0.046</w:t>
            </w:r>
          </w:p>
        </w:tc>
        <w:tc>
          <w:tcPr>
            <w:tcW w:type="dxa" w:w="1003"/>
          </w:tcPr>
          <w:p>
            <w:pPr>
              <w:spacing w:after="0"/>
              <w:jc w:val="left"/>
            </w:pPr>
            <w:r/>
            <w:r>
              <w:rPr>
                <w:rFonts w:ascii="Times New Roman" w:hAnsi="Times New Roman"/>
                <w:sz w:val="22"/>
              </w:rPr>
              <w:t>0.753</w:t>
            </w:r>
          </w:p>
        </w:tc>
        <w:tc>
          <w:tcPr>
            <w:tcW w:type="dxa" w:w="1003"/>
          </w:tcPr>
          <w:p>
            <w:pPr>
              <w:spacing w:after="0"/>
              <w:jc w:val="left"/>
            </w:pPr>
            <w:r/>
            <w:r>
              <w:rPr>
                <w:rFonts w:ascii="Times New Roman" w:hAnsi="Times New Roman"/>
                <w:sz w:val="22"/>
              </w:rPr>
              <w:t>0.735 ± 0.021</w:t>
            </w:r>
          </w:p>
        </w:tc>
        <w:tc>
          <w:tcPr>
            <w:tcW w:type="dxa" w:w="1003"/>
          </w:tcPr>
          <w:p>
            <w:pPr>
              <w:spacing w:after="0"/>
              <w:jc w:val="left"/>
            </w:pPr>
            <w:r/>
            <w:r>
              <w:rPr>
                <w:rFonts w:ascii="Times New Roman" w:hAnsi="Times New Roman"/>
                <w:sz w:val="22"/>
              </w:rPr>
              <w:t>0.735 ± 0.004</w:t>
            </w:r>
          </w:p>
        </w:tc>
        <w:tc>
          <w:tcPr>
            <w:tcW w:type="dxa" w:w="1003"/>
          </w:tcPr>
          <w:p>
            <w:pPr>
              <w:spacing w:after="0"/>
              <w:jc w:val="left"/>
            </w:pPr>
            <w:r/>
            <w:r>
              <w:rPr>
                <w:rFonts w:ascii="Times New Roman" w:hAnsi="Times New Roman"/>
                <w:sz w:val="22"/>
              </w:rPr>
              <w:t>0.176 ± 0.002</w:t>
            </w:r>
          </w:p>
        </w:tc>
      </w:tr>
      <w:tr>
        <w:tc>
          <w:tcPr>
            <w:tcW w:type="dxa" w:w="1003"/>
          </w:tcPr>
          <w:p>
            <w:pPr>
              <w:spacing w:after="0"/>
              <w:jc w:val="left"/>
            </w:pPr>
            <w:r/>
            <w:r>
              <w:rPr>
                <w:rFonts w:ascii="Times New Roman" w:hAnsi="Times New Roman"/>
                <w:sz w:val="22"/>
              </w:rPr>
              <w:t>SVM, RBF kernel</w:t>
            </w:r>
          </w:p>
        </w:tc>
        <w:tc>
          <w:tcPr>
            <w:tcW w:type="dxa" w:w="1003"/>
          </w:tcPr>
          <w:p>
            <w:pPr>
              <w:spacing w:after="0"/>
              <w:jc w:val="left"/>
            </w:pPr>
            <w:r/>
            <w:r>
              <w:rPr>
                <w:rFonts w:ascii="Times New Roman" w:hAnsi="Times New Roman"/>
                <w:sz w:val="22"/>
              </w:rPr>
              <w:t>0.795 ± 0.014</w:t>
            </w:r>
          </w:p>
        </w:tc>
        <w:tc>
          <w:tcPr>
            <w:tcW w:type="dxa" w:w="1003"/>
          </w:tcPr>
          <w:p>
            <w:pPr>
              <w:spacing w:after="0"/>
              <w:jc w:val="left"/>
            </w:pPr>
            <w:r/>
            <w:r>
              <w:rPr>
                <w:rFonts w:ascii="Times New Roman" w:hAnsi="Times New Roman"/>
                <w:sz w:val="22"/>
              </w:rPr>
              <w:t>0.807 ± 0.011</w:t>
            </w:r>
          </w:p>
        </w:tc>
        <w:tc>
          <w:tcPr>
            <w:tcW w:type="dxa" w:w="1003"/>
          </w:tcPr>
          <w:p>
            <w:pPr>
              <w:spacing w:after="0"/>
              <w:jc w:val="left"/>
            </w:pPr>
            <w:r/>
            <w:r>
              <w:rPr>
                <w:rFonts w:ascii="Times New Roman" w:hAnsi="Times New Roman"/>
                <w:sz w:val="22"/>
              </w:rPr>
              <w:t>0.722 ± 0.017</w:t>
            </w:r>
          </w:p>
        </w:tc>
        <w:tc>
          <w:tcPr>
            <w:tcW w:type="dxa" w:w="1003"/>
          </w:tcPr>
          <w:p>
            <w:pPr>
              <w:spacing w:after="0"/>
              <w:jc w:val="left"/>
            </w:pPr>
            <w:r/>
            <w:r>
              <w:rPr>
                <w:rFonts w:ascii="Times New Roman" w:hAnsi="Times New Roman"/>
                <w:sz w:val="22"/>
              </w:rPr>
              <w:t>0.722 ± 0.020</w:t>
            </w:r>
          </w:p>
        </w:tc>
        <w:tc>
          <w:tcPr>
            <w:tcW w:type="dxa" w:w="1003"/>
          </w:tcPr>
          <w:p>
            <w:pPr>
              <w:spacing w:after="0"/>
              <w:jc w:val="left"/>
            </w:pPr>
            <w:r/>
            <w:r>
              <w:rPr>
                <w:rFonts w:ascii="Times New Roman" w:hAnsi="Times New Roman"/>
                <w:sz w:val="22"/>
              </w:rPr>
              <w:t>0.752</w:t>
            </w:r>
          </w:p>
        </w:tc>
        <w:tc>
          <w:tcPr>
            <w:tcW w:type="dxa" w:w="1003"/>
          </w:tcPr>
          <w:p>
            <w:pPr>
              <w:spacing w:after="0"/>
              <w:jc w:val="left"/>
            </w:pPr>
            <w:r/>
            <w:r>
              <w:rPr>
                <w:rFonts w:ascii="Times New Roman" w:hAnsi="Times New Roman"/>
                <w:sz w:val="22"/>
              </w:rPr>
              <w:t>0.723 ± 0.016</w:t>
            </w:r>
          </w:p>
        </w:tc>
        <w:tc>
          <w:tcPr>
            <w:tcW w:type="dxa" w:w="1003"/>
          </w:tcPr>
          <w:p>
            <w:pPr>
              <w:spacing w:after="0"/>
              <w:jc w:val="left"/>
            </w:pPr>
            <w:r/>
            <w:r>
              <w:rPr>
                <w:rFonts w:ascii="Times New Roman" w:hAnsi="Times New Roman"/>
                <w:sz w:val="22"/>
              </w:rPr>
              <w:t>0.731 ± 0.015</w:t>
            </w:r>
          </w:p>
        </w:tc>
        <w:tc>
          <w:tcPr>
            <w:tcW w:type="dxa" w:w="1003"/>
          </w:tcPr>
          <w:p>
            <w:pPr>
              <w:spacing w:after="0"/>
              <w:jc w:val="left"/>
            </w:pPr>
            <w:r/>
            <w:r>
              <w:rPr>
                <w:rFonts w:ascii="Times New Roman" w:hAnsi="Times New Roman"/>
                <w:sz w:val="22"/>
              </w:rPr>
              <w:t>0.179 ± 0.005</w:t>
            </w:r>
          </w:p>
        </w:tc>
      </w:tr>
      <w:tr>
        <w:tc>
          <w:tcPr>
            <w:tcW w:type="dxa" w:w="1003"/>
          </w:tcPr>
          <w:p>
            <w:pPr>
              <w:spacing w:after="0"/>
              <w:jc w:val="left"/>
            </w:pPr>
            <w:r/>
            <w:r>
              <w:rPr>
                <w:rFonts w:ascii="Times New Roman" w:hAnsi="Times New Roman"/>
                <w:sz w:val="22"/>
              </w:rPr>
              <w:t>KNN</w:t>
            </w:r>
          </w:p>
        </w:tc>
        <w:tc>
          <w:tcPr>
            <w:tcW w:type="dxa" w:w="1003"/>
          </w:tcPr>
          <w:p>
            <w:pPr>
              <w:spacing w:after="0"/>
              <w:jc w:val="left"/>
            </w:pPr>
            <w:r/>
            <w:r>
              <w:rPr>
                <w:rFonts w:ascii="Times New Roman" w:hAnsi="Times New Roman"/>
                <w:sz w:val="22"/>
              </w:rPr>
              <w:t>0.764 ± 0.009</w:t>
            </w:r>
          </w:p>
        </w:tc>
        <w:tc>
          <w:tcPr>
            <w:tcW w:type="dxa" w:w="1003"/>
          </w:tcPr>
          <w:p>
            <w:pPr>
              <w:spacing w:after="0"/>
              <w:jc w:val="left"/>
            </w:pPr>
            <w:r/>
            <w:r>
              <w:rPr>
                <w:rFonts w:ascii="Times New Roman" w:hAnsi="Times New Roman"/>
                <w:sz w:val="22"/>
              </w:rPr>
              <w:t>0.766 ± 0.008</w:t>
            </w:r>
          </w:p>
        </w:tc>
        <w:tc>
          <w:tcPr>
            <w:tcW w:type="dxa" w:w="1003"/>
          </w:tcPr>
          <w:p>
            <w:pPr>
              <w:spacing w:after="0"/>
              <w:jc w:val="left"/>
            </w:pPr>
            <w:r/>
            <w:r>
              <w:rPr>
                <w:rFonts w:ascii="Times New Roman" w:hAnsi="Times New Roman"/>
                <w:sz w:val="22"/>
              </w:rPr>
              <w:t>0.648 ± 0.013</w:t>
            </w:r>
          </w:p>
        </w:tc>
        <w:tc>
          <w:tcPr>
            <w:tcW w:type="dxa" w:w="1003"/>
          </w:tcPr>
          <w:p>
            <w:pPr>
              <w:spacing w:after="0"/>
              <w:jc w:val="left"/>
            </w:pPr>
            <w:r/>
            <w:r>
              <w:rPr>
                <w:rFonts w:ascii="Times New Roman" w:hAnsi="Times New Roman"/>
                <w:sz w:val="22"/>
              </w:rPr>
              <w:t>0.585 ± 0.017</w:t>
            </w:r>
          </w:p>
        </w:tc>
        <w:tc>
          <w:tcPr>
            <w:tcW w:type="dxa" w:w="1003"/>
          </w:tcPr>
          <w:p>
            <w:pPr>
              <w:spacing w:after="0"/>
              <w:jc w:val="left"/>
            </w:pPr>
            <w:r/>
            <w:r>
              <w:rPr>
                <w:rFonts w:ascii="Times New Roman" w:hAnsi="Times New Roman"/>
                <w:sz w:val="22"/>
              </w:rPr>
              <w:t>0.793</w:t>
            </w:r>
          </w:p>
        </w:tc>
        <w:tc>
          <w:tcPr>
            <w:tcW w:type="dxa" w:w="1003"/>
          </w:tcPr>
          <w:p>
            <w:pPr>
              <w:spacing w:after="0"/>
              <w:jc w:val="left"/>
            </w:pPr>
            <w:r/>
            <w:r>
              <w:rPr>
                <w:rFonts w:ascii="Times New Roman" w:hAnsi="Times New Roman"/>
                <w:sz w:val="22"/>
              </w:rPr>
              <w:t>0.725 ± 0.014</w:t>
            </w:r>
          </w:p>
        </w:tc>
        <w:tc>
          <w:tcPr>
            <w:tcW w:type="dxa" w:w="1003"/>
          </w:tcPr>
          <w:p>
            <w:pPr>
              <w:spacing w:after="0"/>
              <w:jc w:val="left"/>
            </w:pPr>
            <w:r/>
            <w:r>
              <w:rPr>
                <w:rFonts w:ascii="Times New Roman" w:hAnsi="Times New Roman"/>
                <w:sz w:val="22"/>
              </w:rPr>
              <w:t>0.691 ± 0.010</w:t>
            </w:r>
          </w:p>
        </w:tc>
        <w:tc>
          <w:tcPr>
            <w:tcW w:type="dxa" w:w="1003"/>
          </w:tcPr>
          <w:p>
            <w:pPr>
              <w:spacing w:after="0"/>
              <w:jc w:val="left"/>
            </w:pPr>
            <w:r/>
            <w:r>
              <w:rPr>
                <w:rFonts w:ascii="Times New Roman" w:hAnsi="Times New Roman"/>
                <w:sz w:val="22"/>
              </w:rPr>
              <w:t>0.197 ± 0.003</w:t>
            </w:r>
          </w:p>
        </w:tc>
      </w:tr>
      <w:tr>
        <w:tc>
          <w:tcPr>
            <w:tcW w:type="dxa" w:w="1003"/>
          </w:tcPr>
          <w:p>
            <w:pPr>
              <w:spacing w:after="0"/>
              <w:jc w:val="left"/>
            </w:pPr>
            <w:r/>
            <w:r>
              <w:rPr>
                <w:rFonts w:ascii="Times New Roman" w:hAnsi="Times New Roman"/>
                <w:sz w:val="22"/>
              </w:rPr>
              <w:t>Gaussian naive Bayes</w:t>
            </w:r>
          </w:p>
        </w:tc>
        <w:tc>
          <w:tcPr>
            <w:tcW w:type="dxa" w:w="1003"/>
          </w:tcPr>
          <w:p>
            <w:pPr>
              <w:spacing w:after="0"/>
              <w:jc w:val="left"/>
            </w:pPr>
            <w:r/>
            <w:r>
              <w:rPr>
                <w:rFonts w:ascii="Times New Roman" w:hAnsi="Times New Roman"/>
                <w:sz w:val="22"/>
              </w:rPr>
              <w:t>0.734 ± 0.006</w:t>
            </w:r>
          </w:p>
        </w:tc>
        <w:tc>
          <w:tcPr>
            <w:tcW w:type="dxa" w:w="1003"/>
          </w:tcPr>
          <w:p>
            <w:pPr>
              <w:spacing w:after="0"/>
              <w:jc w:val="left"/>
            </w:pPr>
            <w:r/>
            <w:r>
              <w:rPr>
                <w:rFonts w:ascii="Times New Roman" w:hAnsi="Times New Roman"/>
                <w:sz w:val="22"/>
              </w:rPr>
              <w:t>0.735 ± 0.002</w:t>
            </w:r>
          </w:p>
        </w:tc>
        <w:tc>
          <w:tcPr>
            <w:tcW w:type="dxa" w:w="1003"/>
          </w:tcPr>
          <w:p>
            <w:pPr>
              <w:spacing w:after="0"/>
              <w:jc w:val="left"/>
            </w:pPr>
            <w:r/>
            <w:r>
              <w:rPr>
                <w:rFonts w:ascii="Times New Roman" w:hAnsi="Times New Roman"/>
                <w:sz w:val="22"/>
              </w:rPr>
              <w:t>0.601 ± 0.003</w:t>
            </w:r>
          </w:p>
        </w:tc>
        <w:tc>
          <w:tcPr>
            <w:tcW w:type="dxa" w:w="1003"/>
          </w:tcPr>
          <w:p>
            <w:pPr>
              <w:spacing w:after="0"/>
              <w:jc w:val="left"/>
            </w:pPr>
            <w:r/>
            <w:r>
              <w:rPr>
                <w:rFonts w:ascii="Times New Roman" w:hAnsi="Times New Roman"/>
                <w:sz w:val="22"/>
              </w:rPr>
              <w:t>0.529 ± 0.006</w:t>
            </w:r>
          </w:p>
        </w:tc>
        <w:tc>
          <w:tcPr>
            <w:tcW w:type="dxa" w:w="1003"/>
          </w:tcPr>
          <w:p>
            <w:pPr>
              <w:spacing w:after="0"/>
              <w:jc w:val="left"/>
            </w:pPr>
            <w:r/>
            <w:r>
              <w:rPr>
                <w:rFonts w:ascii="Times New Roman" w:hAnsi="Times New Roman"/>
                <w:sz w:val="22"/>
              </w:rPr>
              <w:t>0.781</w:t>
            </w:r>
          </w:p>
        </w:tc>
        <w:tc>
          <w:tcPr>
            <w:tcW w:type="dxa" w:w="1003"/>
          </w:tcPr>
          <w:p>
            <w:pPr>
              <w:spacing w:after="0"/>
              <w:jc w:val="left"/>
            </w:pPr>
            <w:r/>
            <w:r>
              <w:rPr>
                <w:rFonts w:ascii="Times New Roman" w:hAnsi="Times New Roman"/>
                <w:sz w:val="22"/>
              </w:rPr>
              <w:t>0.696 ± 0.006</w:t>
            </w:r>
          </w:p>
        </w:tc>
        <w:tc>
          <w:tcPr>
            <w:tcW w:type="dxa" w:w="1003"/>
          </w:tcPr>
          <w:p>
            <w:pPr>
              <w:spacing w:after="0"/>
              <w:jc w:val="left"/>
            </w:pPr>
            <w:r/>
            <w:r>
              <w:rPr>
                <w:rFonts w:ascii="Times New Roman" w:hAnsi="Times New Roman"/>
                <w:sz w:val="22"/>
              </w:rPr>
              <w:t>0.659 ± 0.003</w:t>
            </w:r>
          </w:p>
        </w:tc>
        <w:tc>
          <w:tcPr>
            <w:tcW w:type="dxa" w:w="1003"/>
          </w:tcPr>
          <w:p>
            <w:pPr>
              <w:spacing w:after="0"/>
              <w:jc w:val="left"/>
            </w:pPr>
            <w:r/>
            <w:r>
              <w:rPr>
                <w:rFonts w:ascii="Times New Roman" w:hAnsi="Times New Roman"/>
                <w:sz w:val="22"/>
              </w:rPr>
              <w:t>0.305 ± 0.003</w:t>
            </w:r>
          </w:p>
        </w:tc>
      </w:tr>
    </w:tbl>
    <w:p>
      <w:pPr>
        <w:spacing w:after="80"/>
      </w:pP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Test-set scores of the eight tuned models and four baselines on the 20,320 held-out reports at the default threshold of 0.5, in the brief's column order with F1, PR-AUC and accuracy added and ordered by PR-AUC; TPR equals recall, TP / (TP + FN), and both columns are kept because the brief lists both, while TNR is specificity, TN / (TN + FP). Source: author's analysis of MSHA open data.</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E7E6E6"/>
          </w:tcPr>
          <w:p>
            <w:pPr>
              <w:jc w:val="left"/>
            </w:pPr>
            <w:r>
              <w:rPr>
                <w:b/>
              </w:rPr>
            </w:r>
            <w:r>
              <w:rPr>
                <w:rFonts w:ascii="Times New Roman" w:hAnsi="Times New Roman"/>
                <w:b/>
                <w:sz w:val="22"/>
              </w:rPr>
              <w:t>Model</w:t>
            </w:r>
          </w:p>
        </w:tc>
        <w:tc>
          <w:tcPr>
            <w:tcW w:type="dxa" w:w="1003"/>
            <w:shd w:val="clear" w:color="auto" w:fill="E7E6E6"/>
          </w:tcPr>
          <w:p>
            <w:pPr>
              <w:jc w:val="left"/>
            </w:pPr>
            <w:r>
              <w:rPr>
                <w:b/>
              </w:rPr>
            </w:r>
            <w:r>
              <w:rPr>
                <w:rFonts w:ascii="Times New Roman" w:hAnsi="Times New Roman"/>
                <w:b/>
                <w:sz w:val="22"/>
              </w:rPr>
              <w:t>TPR</w:t>
            </w:r>
          </w:p>
        </w:tc>
        <w:tc>
          <w:tcPr>
            <w:tcW w:type="dxa" w:w="1003"/>
            <w:shd w:val="clear" w:color="auto" w:fill="E7E6E6"/>
          </w:tcPr>
          <w:p>
            <w:pPr>
              <w:jc w:val="left"/>
            </w:pPr>
            <w:r>
              <w:rPr>
                <w:b/>
              </w:rPr>
            </w:r>
            <w:r>
              <w:rPr>
                <w:rFonts w:ascii="Times New Roman" w:hAnsi="Times New Roman"/>
                <w:b/>
                <w:sz w:val="22"/>
              </w:rPr>
              <w:t>TNR</w:t>
            </w:r>
          </w:p>
        </w:tc>
        <w:tc>
          <w:tcPr>
            <w:tcW w:type="dxa" w:w="1003"/>
            <w:shd w:val="clear" w:color="auto" w:fill="E7E6E6"/>
          </w:tcPr>
          <w:p>
            <w:pPr>
              <w:jc w:val="left"/>
            </w:pPr>
            <w:r>
              <w:rPr>
                <w:b/>
              </w:rPr>
            </w:r>
            <w:r>
              <w:rPr>
                <w:rFonts w:ascii="Times New Roman" w:hAnsi="Times New Roman"/>
                <w:b/>
                <w:sz w:val="22"/>
              </w:rPr>
              <w:t>AUC</w:t>
            </w:r>
          </w:p>
        </w:tc>
        <w:tc>
          <w:tcPr>
            <w:tcW w:type="dxa" w:w="1003"/>
            <w:shd w:val="clear" w:color="auto" w:fill="E7E6E6"/>
          </w:tcPr>
          <w:p>
            <w:pPr>
              <w:jc w:val="left"/>
            </w:pPr>
            <w:r>
              <w:rPr>
                <w:b/>
              </w:rPr>
            </w:r>
            <w:r>
              <w:rPr>
                <w:rFonts w:ascii="Times New Roman" w:hAnsi="Times New Roman"/>
                <w:b/>
                <w:sz w:val="22"/>
              </w:rPr>
              <w:t>Recall</w:t>
            </w:r>
          </w:p>
        </w:tc>
        <w:tc>
          <w:tcPr>
            <w:tcW w:type="dxa" w:w="1003"/>
            <w:shd w:val="clear" w:color="auto" w:fill="E7E6E6"/>
          </w:tcPr>
          <w:p>
            <w:pPr>
              <w:jc w:val="left"/>
            </w:pPr>
            <w:r>
              <w:rPr>
                <w:b/>
              </w:rPr>
            </w:r>
            <w:r>
              <w:rPr>
                <w:rFonts w:ascii="Times New Roman" w:hAnsi="Times New Roman"/>
                <w:b/>
                <w:sz w:val="22"/>
              </w:rPr>
              <w:t>Precision</w:t>
            </w:r>
          </w:p>
        </w:tc>
        <w:tc>
          <w:tcPr>
            <w:tcW w:type="dxa" w:w="1003"/>
            <w:shd w:val="clear" w:color="auto" w:fill="E7E6E6"/>
          </w:tcPr>
          <w:p>
            <w:pPr>
              <w:jc w:val="left"/>
            </w:pPr>
            <w:r>
              <w:rPr>
                <w:b/>
              </w:rPr>
            </w:r>
            <w:r>
              <w:rPr>
                <w:rFonts w:ascii="Times New Roman" w:hAnsi="Times New Roman"/>
                <w:b/>
                <w:sz w:val="22"/>
              </w:rPr>
              <w:t>F1</w:t>
            </w:r>
          </w:p>
        </w:tc>
        <w:tc>
          <w:tcPr>
            <w:tcW w:type="dxa" w:w="1003"/>
            <w:shd w:val="clear" w:color="auto" w:fill="E7E6E6"/>
          </w:tcPr>
          <w:p>
            <w:pPr>
              <w:jc w:val="left"/>
            </w:pPr>
            <w:r>
              <w:rPr>
                <w:b/>
              </w:rPr>
            </w:r>
            <w:r>
              <w:rPr>
                <w:rFonts w:ascii="Times New Roman" w:hAnsi="Times New Roman"/>
                <w:b/>
                <w:sz w:val="22"/>
              </w:rPr>
              <w:t>PR-AUC</w:t>
            </w:r>
          </w:p>
        </w:tc>
        <w:tc>
          <w:tcPr>
            <w:tcW w:type="dxa" w:w="1003"/>
            <w:shd w:val="clear" w:color="auto" w:fill="E7E6E6"/>
          </w:tcPr>
          <w:p>
            <w:pPr>
              <w:jc w:val="left"/>
            </w:pPr>
            <w:r>
              <w:rPr>
                <w:b/>
              </w:rPr>
            </w:r>
            <w:r>
              <w:rPr>
                <w:rFonts w:ascii="Times New Roman" w:hAnsi="Times New Roman"/>
                <w:b/>
                <w:sz w:val="22"/>
              </w:rPr>
              <w:t>Accuracy</w:t>
            </w:r>
          </w:p>
        </w:tc>
      </w:tr>
      <w:tr>
        <w:tc>
          <w:tcPr>
            <w:tcW w:type="dxa" w:w="1003"/>
          </w:tcPr>
          <w:p>
            <w:pPr>
              <w:spacing w:after="0"/>
              <w:jc w:val="left"/>
            </w:pPr>
            <w:r/>
            <w:r>
              <w:rPr>
                <w:rFonts w:ascii="Times New Roman" w:hAnsi="Times New Roman"/>
                <w:sz w:val="22"/>
              </w:rPr>
              <w:t>HGB</w:t>
            </w:r>
          </w:p>
        </w:tc>
        <w:tc>
          <w:tcPr>
            <w:tcW w:type="dxa" w:w="1003"/>
          </w:tcPr>
          <w:p>
            <w:pPr>
              <w:spacing w:after="0"/>
              <w:jc w:val="left"/>
            </w:pPr>
            <w:r/>
            <w:r>
              <w:rPr>
                <w:rFonts w:ascii="Times New Roman" w:hAnsi="Times New Roman"/>
                <w:sz w:val="22"/>
              </w:rPr>
              <w:t>0.738</w:t>
            </w:r>
          </w:p>
        </w:tc>
        <w:tc>
          <w:tcPr>
            <w:tcW w:type="dxa" w:w="1003"/>
          </w:tcPr>
          <w:p>
            <w:pPr>
              <w:spacing w:after="0"/>
              <w:jc w:val="left"/>
            </w:pPr>
            <w:r/>
            <w:r>
              <w:rPr>
                <w:rFonts w:ascii="Times New Roman" w:hAnsi="Times New Roman"/>
                <w:sz w:val="22"/>
              </w:rPr>
              <w:t>0.785</w:t>
            </w:r>
          </w:p>
        </w:tc>
        <w:tc>
          <w:tcPr>
            <w:tcW w:type="dxa" w:w="1003"/>
          </w:tcPr>
          <w:p>
            <w:pPr>
              <w:spacing w:after="0"/>
              <w:jc w:val="left"/>
            </w:pPr>
            <w:r/>
            <w:r>
              <w:rPr>
                <w:rFonts w:ascii="Times New Roman" w:hAnsi="Times New Roman"/>
                <w:sz w:val="22"/>
              </w:rPr>
              <w:t>0.843</w:t>
            </w:r>
          </w:p>
        </w:tc>
        <w:tc>
          <w:tcPr>
            <w:tcW w:type="dxa" w:w="1003"/>
          </w:tcPr>
          <w:p>
            <w:pPr>
              <w:spacing w:after="0"/>
              <w:jc w:val="left"/>
            </w:pPr>
            <w:r/>
            <w:r>
              <w:rPr>
                <w:rFonts w:ascii="Times New Roman" w:hAnsi="Times New Roman"/>
                <w:sz w:val="22"/>
              </w:rPr>
              <w:t>0.738</w:t>
            </w:r>
          </w:p>
        </w:tc>
        <w:tc>
          <w:tcPr>
            <w:tcW w:type="dxa" w:w="1003"/>
          </w:tcPr>
          <w:p>
            <w:pPr>
              <w:spacing w:after="0"/>
              <w:jc w:val="left"/>
            </w:pPr>
            <w:r/>
            <w:r>
              <w:rPr>
                <w:rFonts w:ascii="Times New Roman" w:hAnsi="Times New Roman"/>
                <w:sz w:val="22"/>
              </w:rPr>
              <w:t>0.764</w:t>
            </w:r>
          </w:p>
        </w:tc>
        <w:tc>
          <w:tcPr>
            <w:tcW w:type="dxa" w:w="1003"/>
          </w:tcPr>
          <w:p>
            <w:pPr>
              <w:spacing w:after="0"/>
              <w:jc w:val="left"/>
            </w:pPr>
            <w:r/>
            <w:r>
              <w:rPr>
                <w:rFonts w:ascii="Times New Roman" w:hAnsi="Times New Roman"/>
                <w:sz w:val="22"/>
              </w:rPr>
              <w:t>0.751</w:t>
            </w:r>
          </w:p>
        </w:tc>
        <w:tc>
          <w:tcPr>
            <w:tcW w:type="dxa" w:w="1003"/>
          </w:tcPr>
          <w:p>
            <w:pPr>
              <w:spacing w:after="0"/>
              <w:jc w:val="left"/>
            </w:pPr>
            <w:r/>
            <w:r>
              <w:rPr>
                <w:rFonts w:ascii="Times New Roman" w:hAnsi="Times New Roman"/>
                <w:sz w:val="22"/>
              </w:rPr>
              <w:t>0.841</w:t>
            </w:r>
          </w:p>
        </w:tc>
        <w:tc>
          <w:tcPr>
            <w:tcW w:type="dxa" w:w="1003"/>
          </w:tcPr>
          <w:p>
            <w:pPr>
              <w:spacing w:after="0"/>
              <w:jc w:val="left"/>
            </w:pPr>
            <w:r/>
            <w:r>
              <w:rPr>
                <w:rFonts w:ascii="Times New Roman" w:hAnsi="Times New Roman"/>
                <w:sz w:val="22"/>
              </w:rPr>
              <w:t>0.762</w:t>
            </w:r>
          </w:p>
        </w:tc>
      </w:tr>
      <w:tr>
        <w:tc>
          <w:tcPr>
            <w:tcW w:type="dxa" w:w="1003"/>
          </w:tcPr>
          <w:p>
            <w:pPr>
              <w:spacing w:after="0"/>
              <w:jc w:val="left"/>
            </w:pPr>
            <w:r/>
            <w:r>
              <w:rPr>
                <w:rFonts w:ascii="Times New Roman" w:hAnsi="Times New Roman"/>
                <w:sz w:val="22"/>
              </w:rPr>
              <w:t>MLP</w:t>
            </w:r>
          </w:p>
        </w:tc>
        <w:tc>
          <w:tcPr>
            <w:tcW w:type="dxa" w:w="1003"/>
          </w:tcPr>
          <w:p>
            <w:pPr>
              <w:spacing w:after="0"/>
              <w:jc w:val="left"/>
            </w:pPr>
            <w:r/>
            <w:r>
              <w:rPr>
                <w:rFonts w:ascii="Times New Roman" w:hAnsi="Times New Roman"/>
                <w:sz w:val="22"/>
              </w:rPr>
              <w:t>0.749</w:t>
            </w:r>
          </w:p>
        </w:tc>
        <w:tc>
          <w:tcPr>
            <w:tcW w:type="dxa" w:w="1003"/>
          </w:tcPr>
          <w:p>
            <w:pPr>
              <w:spacing w:after="0"/>
              <w:jc w:val="left"/>
            </w:pPr>
            <w:r/>
            <w:r>
              <w:rPr>
                <w:rFonts w:ascii="Times New Roman" w:hAnsi="Times New Roman"/>
                <w:sz w:val="22"/>
              </w:rPr>
              <w:t>0.769</w:t>
            </w:r>
          </w:p>
        </w:tc>
        <w:tc>
          <w:tcPr>
            <w:tcW w:type="dxa" w:w="1003"/>
          </w:tcPr>
          <w:p>
            <w:pPr>
              <w:spacing w:after="0"/>
              <w:jc w:val="left"/>
            </w:pPr>
            <w:r/>
            <w:r>
              <w:rPr>
                <w:rFonts w:ascii="Times New Roman" w:hAnsi="Times New Roman"/>
                <w:sz w:val="22"/>
              </w:rPr>
              <w:t>0.839</w:t>
            </w:r>
          </w:p>
        </w:tc>
        <w:tc>
          <w:tcPr>
            <w:tcW w:type="dxa" w:w="1003"/>
          </w:tcPr>
          <w:p>
            <w:pPr>
              <w:spacing w:after="0"/>
              <w:jc w:val="left"/>
            </w:pPr>
            <w:r/>
            <w:r>
              <w:rPr>
                <w:rFonts w:ascii="Times New Roman" w:hAnsi="Times New Roman"/>
                <w:sz w:val="22"/>
              </w:rPr>
              <w:t>0.749</w:t>
            </w:r>
          </w:p>
        </w:tc>
        <w:tc>
          <w:tcPr>
            <w:tcW w:type="dxa" w:w="1003"/>
          </w:tcPr>
          <w:p>
            <w:pPr>
              <w:spacing w:after="0"/>
              <w:jc w:val="left"/>
            </w:pPr>
            <w:r/>
            <w:r>
              <w:rPr>
                <w:rFonts w:ascii="Times New Roman" w:hAnsi="Times New Roman"/>
                <w:sz w:val="22"/>
              </w:rPr>
              <w:t>0.754</w:t>
            </w:r>
          </w:p>
        </w:tc>
        <w:tc>
          <w:tcPr>
            <w:tcW w:type="dxa" w:w="1003"/>
          </w:tcPr>
          <w:p>
            <w:pPr>
              <w:spacing w:after="0"/>
              <w:jc w:val="left"/>
            </w:pPr>
            <w:r/>
            <w:r>
              <w:rPr>
                <w:rFonts w:ascii="Times New Roman" w:hAnsi="Times New Roman"/>
                <w:sz w:val="22"/>
              </w:rPr>
              <w:t>0.752</w:t>
            </w:r>
          </w:p>
        </w:tc>
        <w:tc>
          <w:tcPr>
            <w:tcW w:type="dxa" w:w="1003"/>
          </w:tcPr>
          <w:p>
            <w:pPr>
              <w:spacing w:after="0"/>
              <w:jc w:val="left"/>
            </w:pPr>
            <w:r/>
            <w:r>
              <w:rPr>
                <w:rFonts w:ascii="Times New Roman" w:hAnsi="Times New Roman"/>
                <w:sz w:val="22"/>
              </w:rPr>
              <w:t>0.837</w:t>
            </w:r>
          </w:p>
        </w:tc>
        <w:tc>
          <w:tcPr>
            <w:tcW w:type="dxa" w:w="1003"/>
          </w:tcPr>
          <w:p>
            <w:pPr>
              <w:spacing w:after="0"/>
              <w:jc w:val="left"/>
            </w:pPr>
            <w:r/>
            <w:r>
              <w:rPr>
                <w:rFonts w:ascii="Times New Roman" w:hAnsi="Times New Roman"/>
                <w:sz w:val="22"/>
              </w:rPr>
              <w:t>0.759</w:t>
            </w:r>
          </w:p>
        </w:tc>
      </w:tr>
      <w:tr>
        <w:tc>
          <w:tcPr>
            <w:tcW w:type="dxa" w:w="1003"/>
          </w:tcPr>
          <w:p>
            <w:pPr>
              <w:spacing w:after="0"/>
              <w:jc w:val="left"/>
            </w:pPr>
            <w:r/>
            <w:r>
              <w:rPr>
                <w:rFonts w:ascii="Times New Roman" w:hAnsi="Times New Roman"/>
                <w:sz w:val="22"/>
              </w:rPr>
              <w:t>Random forest</w:t>
            </w:r>
          </w:p>
        </w:tc>
        <w:tc>
          <w:tcPr>
            <w:tcW w:type="dxa" w:w="1003"/>
          </w:tcPr>
          <w:p>
            <w:pPr>
              <w:spacing w:after="0"/>
              <w:jc w:val="left"/>
            </w:pPr>
            <w:r/>
            <w:r>
              <w:rPr>
                <w:rFonts w:ascii="Times New Roman" w:hAnsi="Times New Roman"/>
                <w:sz w:val="22"/>
              </w:rPr>
              <w:t>0.707</w:t>
            </w:r>
          </w:p>
        </w:tc>
        <w:tc>
          <w:tcPr>
            <w:tcW w:type="dxa" w:w="1003"/>
          </w:tcPr>
          <w:p>
            <w:pPr>
              <w:spacing w:after="0"/>
              <w:jc w:val="left"/>
            </w:pPr>
            <w:r/>
            <w:r>
              <w:rPr>
                <w:rFonts w:ascii="Times New Roman" w:hAnsi="Times New Roman"/>
                <w:sz w:val="22"/>
              </w:rPr>
              <w:t>0.799</w:t>
            </w:r>
          </w:p>
        </w:tc>
        <w:tc>
          <w:tcPr>
            <w:tcW w:type="dxa" w:w="1003"/>
          </w:tcPr>
          <w:p>
            <w:pPr>
              <w:spacing w:after="0"/>
              <w:jc w:val="left"/>
            </w:pPr>
            <w:r/>
            <w:r>
              <w:rPr>
                <w:rFonts w:ascii="Times New Roman" w:hAnsi="Times New Roman"/>
                <w:sz w:val="22"/>
              </w:rPr>
              <w:t>0.833</w:t>
            </w:r>
          </w:p>
        </w:tc>
        <w:tc>
          <w:tcPr>
            <w:tcW w:type="dxa" w:w="1003"/>
          </w:tcPr>
          <w:p>
            <w:pPr>
              <w:spacing w:after="0"/>
              <w:jc w:val="left"/>
            </w:pPr>
            <w:r/>
            <w:r>
              <w:rPr>
                <w:rFonts w:ascii="Times New Roman" w:hAnsi="Times New Roman"/>
                <w:sz w:val="22"/>
              </w:rPr>
              <w:t>0.707</w:t>
            </w:r>
          </w:p>
        </w:tc>
        <w:tc>
          <w:tcPr>
            <w:tcW w:type="dxa" w:w="1003"/>
          </w:tcPr>
          <w:p>
            <w:pPr>
              <w:spacing w:after="0"/>
              <w:jc w:val="left"/>
            </w:pPr>
            <w:r/>
            <w:r>
              <w:rPr>
                <w:rFonts w:ascii="Times New Roman" w:hAnsi="Times New Roman"/>
                <w:sz w:val="22"/>
              </w:rPr>
              <w:t>0.769</w:t>
            </w:r>
          </w:p>
        </w:tc>
        <w:tc>
          <w:tcPr>
            <w:tcW w:type="dxa" w:w="1003"/>
          </w:tcPr>
          <w:p>
            <w:pPr>
              <w:spacing w:after="0"/>
              <w:jc w:val="left"/>
            </w:pPr>
            <w:r/>
            <w:r>
              <w:rPr>
                <w:rFonts w:ascii="Times New Roman" w:hAnsi="Times New Roman"/>
                <w:sz w:val="22"/>
              </w:rPr>
              <w:t>0.737</w:t>
            </w:r>
          </w:p>
        </w:tc>
        <w:tc>
          <w:tcPr>
            <w:tcW w:type="dxa" w:w="1003"/>
          </w:tcPr>
          <w:p>
            <w:pPr>
              <w:spacing w:after="0"/>
              <w:jc w:val="left"/>
            </w:pPr>
            <w:r/>
            <w:r>
              <w:rPr>
                <w:rFonts w:ascii="Times New Roman" w:hAnsi="Times New Roman"/>
                <w:sz w:val="22"/>
              </w:rPr>
              <w:t>0.827</w:t>
            </w:r>
          </w:p>
        </w:tc>
        <w:tc>
          <w:tcPr>
            <w:tcW w:type="dxa" w:w="1003"/>
          </w:tcPr>
          <w:p>
            <w:pPr>
              <w:spacing w:after="0"/>
              <w:jc w:val="left"/>
            </w:pPr>
            <w:r/>
            <w:r>
              <w:rPr>
                <w:rFonts w:ascii="Times New Roman" w:hAnsi="Times New Roman"/>
                <w:sz w:val="22"/>
              </w:rPr>
              <w:t>0.755</w:t>
            </w:r>
          </w:p>
        </w:tc>
      </w:tr>
      <w:tr>
        <w:tc>
          <w:tcPr>
            <w:tcW w:type="dxa" w:w="1003"/>
          </w:tcPr>
          <w:p>
            <w:pPr>
              <w:spacing w:after="0"/>
              <w:jc w:val="left"/>
            </w:pPr>
            <w:r/>
            <w:r>
              <w:rPr>
                <w:rFonts w:ascii="Times New Roman" w:hAnsi="Times New Roman"/>
                <w:sz w:val="22"/>
              </w:rPr>
              <w:t>Logistic regression</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0.758</w:t>
            </w:r>
          </w:p>
        </w:tc>
        <w:tc>
          <w:tcPr>
            <w:tcW w:type="dxa" w:w="1003"/>
          </w:tcPr>
          <w:p>
            <w:pPr>
              <w:spacing w:after="0"/>
              <w:jc w:val="left"/>
            </w:pPr>
            <w:r/>
            <w:r>
              <w:rPr>
                <w:rFonts w:ascii="Times New Roman" w:hAnsi="Times New Roman"/>
                <w:sz w:val="22"/>
              </w:rPr>
              <w:t>0.829</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0.825</w:t>
            </w:r>
          </w:p>
        </w:tc>
        <w:tc>
          <w:tcPr>
            <w:tcW w:type="dxa" w:w="1003"/>
          </w:tcPr>
          <w:p>
            <w:pPr>
              <w:spacing w:after="0"/>
              <w:jc w:val="left"/>
            </w:pPr>
            <w:r/>
            <w:r>
              <w:rPr>
                <w:rFonts w:ascii="Times New Roman" w:hAnsi="Times New Roman"/>
                <w:sz w:val="22"/>
              </w:rPr>
              <w:t>0.751</w:t>
            </w:r>
          </w:p>
        </w:tc>
      </w:tr>
      <w:tr>
        <w:tc>
          <w:tcPr>
            <w:tcW w:type="dxa" w:w="1003"/>
          </w:tcPr>
          <w:p>
            <w:pPr>
              <w:spacing w:after="0"/>
              <w:jc w:val="left"/>
            </w:pPr>
            <w:r/>
            <w:r>
              <w:rPr>
                <w:rFonts w:ascii="Times New Roman" w:hAnsi="Times New Roman"/>
                <w:sz w:val="22"/>
              </w:rPr>
              <w:t>SVM, RBF kernel</w:t>
            </w:r>
          </w:p>
        </w:tc>
        <w:tc>
          <w:tcPr>
            <w:tcW w:type="dxa" w:w="1003"/>
          </w:tcPr>
          <w:p>
            <w:pPr>
              <w:spacing w:after="0"/>
              <w:jc w:val="left"/>
            </w:pPr>
            <w:r/>
            <w:r>
              <w:rPr>
                <w:rFonts w:ascii="Times New Roman" w:hAnsi="Times New Roman"/>
                <w:sz w:val="22"/>
              </w:rPr>
              <w:t>0.731</w:t>
            </w:r>
          </w:p>
        </w:tc>
        <w:tc>
          <w:tcPr>
            <w:tcW w:type="dxa" w:w="1003"/>
          </w:tcPr>
          <w:p>
            <w:pPr>
              <w:spacing w:after="0"/>
              <w:jc w:val="left"/>
            </w:pPr>
            <w:r/>
            <w:r>
              <w:rPr>
                <w:rFonts w:ascii="Times New Roman" w:hAnsi="Times New Roman"/>
                <w:sz w:val="22"/>
              </w:rPr>
              <w:t>0.763</w:t>
            </w:r>
          </w:p>
        </w:tc>
        <w:tc>
          <w:tcPr>
            <w:tcW w:type="dxa" w:w="1003"/>
          </w:tcPr>
          <w:p>
            <w:pPr>
              <w:spacing w:after="0"/>
              <w:jc w:val="left"/>
            </w:pPr>
            <w:r/>
            <w:r>
              <w:rPr>
                <w:rFonts w:ascii="Times New Roman" w:hAnsi="Times New Roman"/>
                <w:sz w:val="22"/>
              </w:rPr>
              <w:t>0.820</w:t>
            </w:r>
          </w:p>
        </w:tc>
        <w:tc>
          <w:tcPr>
            <w:tcW w:type="dxa" w:w="1003"/>
          </w:tcPr>
          <w:p>
            <w:pPr>
              <w:spacing w:after="0"/>
              <w:jc w:val="left"/>
            </w:pPr>
            <w:r/>
            <w:r>
              <w:rPr>
                <w:rFonts w:ascii="Times New Roman" w:hAnsi="Times New Roman"/>
                <w:sz w:val="22"/>
              </w:rPr>
              <w:t>0.731</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0.737</w:t>
            </w:r>
          </w:p>
        </w:tc>
        <w:tc>
          <w:tcPr>
            <w:tcW w:type="dxa" w:w="1003"/>
          </w:tcPr>
          <w:p>
            <w:pPr>
              <w:spacing w:after="0"/>
              <w:jc w:val="left"/>
            </w:pPr>
            <w:r/>
            <w:r>
              <w:rPr>
                <w:rFonts w:ascii="Times New Roman" w:hAnsi="Times New Roman"/>
                <w:sz w:val="22"/>
              </w:rPr>
              <w:t>0.811</w:t>
            </w:r>
          </w:p>
        </w:tc>
        <w:tc>
          <w:tcPr>
            <w:tcW w:type="dxa" w:w="1003"/>
          </w:tcPr>
          <w:p>
            <w:pPr>
              <w:spacing w:after="0"/>
              <w:jc w:val="left"/>
            </w:pPr>
            <w:r/>
            <w:r>
              <w:rPr>
                <w:rFonts w:ascii="Times New Roman" w:hAnsi="Times New Roman"/>
                <w:sz w:val="22"/>
              </w:rPr>
              <w:t>0.747</w:t>
            </w:r>
          </w:p>
        </w:tc>
      </w:tr>
      <w:tr>
        <w:tc>
          <w:tcPr>
            <w:tcW w:type="dxa" w:w="1003"/>
          </w:tcPr>
          <w:p>
            <w:pPr>
              <w:spacing w:after="0"/>
              <w:jc w:val="left"/>
            </w:pPr>
            <w:r/>
            <w:r>
              <w:rPr>
                <w:rFonts w:ascii="Times New Roman" w:hAnsi="Times New Roman"/>
                <w:sz w:val="22"/>
              </w:rPr>
              <w:t>Decision tree</w:t>
            </w:r>
          </w:p>
        </w:tc>
        <w:tc>
          <w:tcPr>
            <w:tcW w:type="dxa" w:w="1003"/>
          </w:tcPr>
          <w:p>
            <w:pPr>
              <w:spacing w:after="0"/>
              <w:jc w:val="left"/>
            </w:pPr>
            <w:r/>
            <w:r>
              <w:rPr>
                <w:rFonts w:ascii="Times New Roman" w:hAnsi="Times New Roman"/>
                <w:sz w:val="22"/>
              </w:rPr>
              <w:t>0.676</w:t>
            </w:r>
          </w:p>
        </w:tc>
        <w:tc>
          <w:tcPr>
            <w:tcW w:type="dxa" w:w="1003"/>
          </w:tcPr>
          <w:p>
            <w:pPr>
              <w:spacing w:after="0"/>
              <w:jc w:val="left"/>
            </w:pPr>
            <w:r/>
            <w:r>
              <w:rPr>
                <w:rFonts w:ascii="Times New Roman" w:hAnsi="Times New Roman"/>
                <w:sz w:val="22"/>
              </w:rPr>
              <w:t>0.799</w:t>
            </w:r>
          </w:p>
        </w:tc>
        <w:tc>
          <w:tcPr>
            <w:tcW w:type="dxa" w:w="1003"/>
          </w:tcPr>
          <w:p>
            <w:pPr>
              <w:spacing w:after="0"/>
              <w:jc w:val="left"/>
            </w:pPr>
            <w:r/>
            <w:r>
              <w:rPr>
                <w:rFonts w:ascii="Times New Roman" w:hAnsi="Times New Roman"/>
                <w:sz w:val="22"/>
              </w:rPr>
              <w:t>0.817</w:t>
            </w:r>
          </w:p>
        </w:tc>
        <w:tc>
          <w:tcPr>
            <w:tcW w:type="dxa" w:w="1003"/>
          </w:tcPr>
          <w:p>
            <w:pPr>
              <w:spacing w:after="0"/>
              <w:jc w:val="left"/>
            </w:pPr>
            <w:r/>
            <w:r>
              <w:rPr>
                <w:rFonts w:ascii="Times New Roman" w:hAnsi="Times New Roman"/>
                <w:sz w:val="22"/>
              </w:rPr>
              <w:t>0.676</w:t>
            </w:r>
          </w:p>
        </w:tc>
        <w:tc>
          <w:tcPr>
            <w:tcW w:type="dxa" w:w="1003"/>
          </w:tcPr>
          <w:p>
            <w:pPr>
              <w:spacing w:after="0"/>
              <w:jc w:val="left"/>
            </w:pPr>
            <w:r/>
            <w:r>
              <w:rPr>
                <w:rFonts w:ascii="Times New Roman" w:hAnsi="Times New Roman"/>
                <w:sz w:val="22"/>
              </w:rPr>
              <w:t>0.761</w:t>
            </w:r>
          </w:p>
        </w:tc>
        <w:tc>
          <w:tcPr>
            <w:tcW w:type="dxa" w:w="1003"/>
          </w:tcPr>
          <w:p>
            <w:pPr>
              <w:spacing w:after="0"/>
              <w:jc w:val="left"/>
            </w:pPr>
            <w:r/>
            <w:r>
              <w:rPr>
                <w:rFonts w:ascii="Times New Roman" w:hAnsi="Times New Roman"/>
                <w:sz w:val="22"/>
              </w:rPr>
              <w:t>0.716</w:t>
            </w:r>
          </w:p>
        </w:tc>
        <w:tc>
          <w:tcPr>
            <w:tcW w:type="dxa" w:w="1003"/>
          </w:tcPr>
          <w:p>
            <w:pPr>
              <w:spacing w:after="0"/>
              <w:jc w:val="left"/>
            </w:pPr>
            <w:r/>
            <w:r>
              <w:rPr>
                <w:rFonts w:ascii="Times New Roman" w:hAnsi="Times New Roman"/>
                <w:sz w:val="22"/>
              </w:rPr>
              <w:t>0.805</w:t>
            </w:r>
          </w:p>
        </w:tc>
        <w:tc>
          <w:tcPr>
            <w:tcW w:type="dxa" w:w="1003"/>
          </w:tcPr>
          <w:p>
            <w:pPr>
              <w:spacing w:after="0"/>
              <w:jc w:val="left"/>
            </w:pPr>
            <w:r/>
            <w:r>
              <w:rPr>
                <w:rFonts w:ascii="Times New Roman" w:hAnsi="Times New Roman"/>
                <w:sz w:val="22"/>
              </w:rPr>
              <w:t>0.739</w:t>
            </w:r>
          </w:p>
        </w:tc>
      </w:tr>
      <w:tr>
        <w:tc>
          <w:tcPr>
            <w:tcW w:type="dxa" w:w="1003"/>
          </w:tcPr>
          <w:p>
            <w:pPr>
              <w:spacing w:after="0"/>
              <w:jc w:val="left"/>
            </w:pPr>
            <w:r/>
            <w:r>
              <w:rPr>
                <w:rFonts w:ascii="Times New Roman" w:hAnsi="Times New Roman"/>
                <w:sz w:val="22"/>
              </w:rPr>
              <w:t>Lookup baseline (nature x body part x sector)</w:t>
            </w:r>
          </w:p>
        </w:tc>
        <w:tc>
          <w:tcPr>
            <w:tcW w:type="dxa" w:w="1003"/>
          </w:tcPr>
          <w:p>
            <w:pPr>
              <w:spacing w:after="0"/>
              <w:jc w:val="left"/>
            </w:pPr>
            <w:r/>
            <w:r>
              <w:rPr>
                <w:rFonts w:ascii="Times New Roman" w:hAnsi="Times New Roman"/>
                <w:sz w:val="22"/>
              </w:rPr>
              <w:t>0.655</w:t>
            </w:r>
          </w:p>
        </w:tc>
        <w:tc>
          <w:tcPr>
            <w:tcW w:type="dxa" w:w="1003"/>
          </w:tcPr>
          <w:p>
            <w:pPr>
              <w:spacing w:after="0"/>
              <w:jc w:val="left"/>
            </w:pPr>
            <w:r/>
            <w:r>
              <w:rPr>
                <w:rFonts w:ascii="Times New Roman" w:hAnsi="Times New Roman"/>
                <w:sz w:val="22"/>
              </w:rPr>
              <w:t>0.801</w:t>
            </w:r>
          </w:p>
        </w:tc>
        <w:tc>
          <w:tcPr>
            <w:tcW w:type="dxa" w:w="1003"/>
          </w:tcPr>
          <w:p>
            <w:pPr>
              <w:spacing w:after="0"/>
              <w:jc w:val="left"/>
            </w:pPr>
            <w:r/>
            <w:r>
              <w:rPr>
                <w:rFonts w:ascii="Times New Roman" w:hAnsi="Times New Roman"/>
                <w:sz w:val="22"/>
              </w:rPr>
              <w:t>0.804</w:t>
            </w:r>
          </w:p>
        </w:tc>
        <w:tc>
          <w:tcPr>
            <w:tcW w:type="dxa" w:w="1003"/>
          </w:tcPr>
          <w:p>
            <w:pPr>
              <w:spacing w:after="0"/>
              <w:jc w:val="left"/>
            </w:pPr>
            <w:r/>
            <w:r>
              <w:rPr>
                <w:rFonts w:ascii="Times New Roman" w:hAnsi="Times New Roman"/>
                <w:sz w:val="22"/>
              </w:rPr>
              <w:t>0.655</w:t>
            </w:r>
          </w:p>
        </w:tc>
        <w:tc>
          <w:tcPr>
            <w:tcW w:type="dxa" w:w="1003"/>
          </w:tcPr>
          <w:p>
            <w:pPr>
              <w:spacing w:after="0"/>
              <w:jc w:val="left"/>
            </w:pPr>
            <w:r/>
            <w:r>
              <w:rPr>
                <w:rFonts w:ascii="Times New Roman" w:hAnsi="Times New Roman"/>
                <w:sz w:val="22"/>
              </w:rPr>
              <w:t>0.756</w:t>
            </w:r>
          </w:p>
        </w:tc>
        <w:tc>
          <w:tcPr>
            <w:tcW w:type="dxa" w:w="1003"/>
          </w:tcPr>
          <w:p>
            <w:pPr>
              <w:spacing w:after="0"/>
              <w:jc w:val="left"/>
            </w:pPr>
            <w:r/>
            <w:r>
              <w:rPr>
                <w:rFonts w:ascii="Times New Roman" w:hAnsi="Times New Roman"/>
                <w:sz w:val="22"/>
              </w:rPr>
              <w:t>0.702</w:t>
            </w:r>
          </w:p>
        </w:tc>
        <w:tc>
          <w:tcPr>
            <w:tcW w:type="dxa" w:w="1003"/>
          </w:tcPr>
          <w:p>
            <w:pPr>
              <w:spacing w:after="0"/>
              <w:jc w:val="left"/>
            </w:pPr>
            <w:r/>
            <w:r>
              <w:rPr>
                <w:rFonts w:ascii="Times New Roman" w:hAnsi="Times New Roman"/>
                <w:sz w:val="22"/>
              </w:rPr>
              <w:t>0.790</w:t>
            </w:r>
          </w:p>
        </w:tc>
        <w:tc>
          <w:tcPr>
            <w:tcW w:type="dxa" w:w="1003"/>
          </w:tcPr>
          <w:p>
            <w:pPr>
              <w:spacing w:after="0"/>
              <w:jc w:val="left"/>
            </w:pPr>
            <w:r/>
            <w:r>
              <w:rPr>
                <w:rFonts w:ascii="Times New Roman" w:hAnsi="Times New Roman"/>
                <w:sz w:val="22"/>
              </w:rPr>
              <w:t>0.730</w:t>
            </w:r>
          </w:p>
        </w:tc>
      </w:tr>
      <w:tr>
        <w:tc>
          <w:tcPr>
            <w:tcW w:type="dxa" w:w="1003"/>
          </w:tcPr>
          <w:p>
            <w:pPr>
              <w:spacing w:after="0"/>
              <w:jc w:val="left"/>
            </w:pPr>
            <w:r/>
            <w:r>
              <w:rPr>
                <w:rFonts w:ascii="Times New Roman" w:hAnsi="Times New Roman"/>
                <w:sz w:val="22"/>
              </w:rPr>
              <w:t>KNN</w:t>
            </w:r>
          </w:p>
        </w:tc>
        <w:tc>
          <w:tcPr>
            <w:tcW w:type="dxa" w:w="1003"/>
          </w:tcPr>
          <w:p>
            <w:pPr>
              <w:spacing w:after="0"/>
              <w:jc w:val="left"/>
            </w:pPr>
            <w:r/>
            <w:r>
              <w:rPr>
                <w:rFonts w:ascii="Times New Roman" w:hAnsi="Times New Roman"/>
                <w:sz w:val="22"/>
              </w:rPr>
              <w:t>0.589</w:t>
            </w:r>
          </w:p>
        </w:tc>
        <w:tc>
          <w:tcPr>
            <w:tcW w:type="dxa" w:w="1003"/>
          </w:tcPr>
          <w:p>
            <w:pPr>
              <w:spacing w:after="0"/>
              <w:jc w:val="left"/>
            </w:pPr>
            <w:r/>
            <w:r>
              <w:rPr>
                <w:rFonts w:ascii="Times New Roman" w:hAnsi="Times New Roman"/>
                <w:sz w:val="22"/>
              </w:rPr>
              <w:t>0.807</w:t>
            </w:r>
          </w:p>
        </w:tc>
        <w:tc>
          <w:tcPr>
            <w:tcW w:type="dxa" w:w="1003"/>
          </w:tcPr>
          <w:p>
            <w:pPr>
              <w:spacing w:after="0"/>
              <w:jc w:val="left"/>
            </w:pPr>
            <w:r/>
            <w:r>
              <w:rPr>
                <w:rFonts w:ascii="Times New Roman" w:hAnsi="Times New Roman"/>
                <w:sz w:val="22"/>
              </w:rPr>
              <w:t>0.773</w:t>
            </w:r>
          </w:p>
        </w:tc>
        <w:tc>
          <w:tcPr>
            <w:tcW w:type="dxa" w:w="1003"/>
          </w:tcPr>
          <w:p>
            <w:pPr>
              <w:spacing w:after="0"/>
              <w:jc w:val="left"/>
            </w:pPr>
            <w:r/>
            <w:r>
              <w:rPr>
                <w:rFonts w:ascii="Times New Roman" w:hAnsi="Times New Roman"/>
                <w:sz w:val="22"/>
              </w:rPr>
              <w:t>0.589</w:t>
            </w:r>
          </w:p>
        </w:tc>
        <w:tc>
          <w:tcPr>
            <w:tcW w:type="dxa" w:w="1003"/>
          </w:tcPr>
          <w:p>
            <w:pPr>
              <w:spacing w:after="0"/>
              <w:jc w:val="left"/>
            </w:pPr>
            <w:r/>
            <w:r>
              <w:rPr>
                <w:rFonts w:ascii="Times New Roman" w:hAnsi="Times New Roman"/>
                <w:sz w:val="22"/>
              </w:rPr>
              <w:t>0.743</w:t>
            </w:r>
          </w:p>
        </w:tc>
        <w:tc>
          <w:tcPr>
            <w:tcW w:type="dxa" w:w="1003"/>
          </w:tcPr>
          <w:p>
            <w:pPr>
              <w:spacing w:after="0"/>
              <w:jc w:val="left"/>
            </w:pPr>
            <w:r/>
            <w:r>
              <w:rPr>
                <w:rFonts w:ascii="Times New Roman" w:hAnsi="Times New Roman"/>
                <w:sz w:val="22"/>
              </w:rPr>
              <w:t>0.657</w:t>
            </w:r>
          </w:p>
        </w:tc>
        <w:tc>
          <w:tcPr>
            <w:tcW w:type="dxa" w:w="1003"/>
          </w:tcPr>
          <w:p>
            <w:pPr>
              <w:spacing w:after="0"/>
              <w:jc w:val="left"/>
            </w:pPr>
            <w:r/>
            <w:r>
              <w:rPr>
                <w:rFonts w:ascii="Times New Roman" w:hAnsi="Times New Roman"/>
                <w:sz w:val="22"/>
              </w:rPr>
              <w:t>0.770</w:t>
            </w:r>
          </w:p>
        </w:tc>
        <w:tc>
          <w:tcPr>
            <w:tcW w:type="dxa" w:w="1003"/>
          </w:tcPr>
          <w:p>
            <w:pPr>
              <w:spacing w:after="0"/>
              <w:jc w:val="left"/>
            </w:pPr>
            <w:r/>
            <w:r>
              <w:rPr>
                <w:rFonts w:ascii="Times New Roman" w:hAnsi="Times New Roman"/>
                <w:sz w:val="22"/>
              </w:rPr>
              <w:t>0.701</w:t>
            </w:r>
          </w:p>
        </w:tc>
      </w:tr>
      <w:tr>
        <w:tc>
          <w:tcPr>
            <w:tcW w:type="dxa" w:w="1003"/>
          </w:tcPr>
          <w:p>
            <w:pPr>
              <w:spacing w:after="0"/>
              <w:jc w:val="left"/>
            </w:pPr>
            <w:r/>
            <w:r>
              <w:rPr>
                <w:rFonts w:ascii="Times New Roman" w:hAnsi="Times New Roman"/>
                <w:sz w:val="22"/>
              </w:rPr>
              <w:t>Gaussian naive Bayes</w:t>
            </w:r>
          </w:p>
        </w:tc>
        <w:tc>
          <w:tcPr>
            <w:tcW w:type="dxa" w:w="1003"/>
          </w:tcPr>
          <w:p>
            <w:pPr>
              <w:spacing w:after="0"/>
              <w:jc w:val="left"/>
            </w:pPr>
            <w:r/>
            <w:r>
              <w:rPr>
                <w:rFonts w:ascii="Times New Roman" w:hAnsi="Times New Roman"/>
                <w:sz w:val="22"/>
              </w:rPr>
              <w:t>0.524</w:t>
            </w:r>
          </w:p>
        </w:tc>
        <w:tc>
          <w:tcPr>
            <w:tcW w:type="dxa" w:w="1003"/>
          </w:tcPr>
          <w:p>
            <w:pPr>
              <w:spacing w:after="0"/>
              <w:jc w:val="left"/>
            </w:pPr>
            <w:r/>
            <w:r>
              <w:rPr>
                <w:rFonts w:ascii="Times New Roman" w:hAnsi="Times New Roman"/>
                <w:sz w:val="22"/>
              </w:rPr>
              <w:t>0.802</w:t>
            </w:r>
          </w:p>
        </w:tc>
        <w:tc>
          <w:tcPr>
            <w:tcW w:type="dxa" w:w="1003"/>
          </w:tcPr>
          <w:p>
            <w:pPr>
              <w:spacing w:after="0"/>
              <w:jc w:val="left"/>
            </w:pPr>
            <w:r/>
            <w:r>
              <w:rPr>
                <w:rFonts w:ascii="Times New Roman" w:hAnsi="Times New Roman"/>
                <w:sz w:val="22"/>
              </w:rPr>
              <w:t>0.741</w:t>
            </w:r>
          </w:p>
        </w:tc>
        <w:tc>
          <w:tcPr>
            <w:tcW w:type="dxa" w:w="1003"/>
          </w:tcPr>
          <w:p>
            <w:pPr>
              <w:spacing w:after="0"/>
              <w:jc w:val="left"/>
            </w:pPr>
            <w:r/>
            <w:r>
              <w:rPr>
                <w:rFonts w:ascii="Times New Roman" w:hAnsi="Times New Roman"/>
                <w:sz w:val="22"/>
              </w:rPr>
              <w:t>0.524</w:t>
            </w:r>
          </w:p>
        </w:tc>
        <w:tc>
          <w:tcPr>
            <w:tcW w:type="dxa" w:w="1003"/>
          </w:tcPr>
          <w:p>
            <w:pPr>
              <w:spacing w:after="0"/>
              <w:jc w:val="left"/>
            </w:pPr>
            <w:r/>
            <w:r>
              <w:rPr>
                <w:rFonts w:ascii="Times New Roman" w:hAnsi="Times New Roman"/>
                <w:sz w:val="22"/>
              </w:rPr>
              <w:t>0.715</w:t>
            </w:r>
          </w:p>
        </w:tc>
        <w:tc>
          <w:tcPr>
            <w:tcW w:type="dxa" w:w="1003"/>
          </w:tcPr>
          <w:p>
            <w:pPr>
              <w:spacing w:after="0"/>
              <w:jc w:val="left"/>
            </w:pPr>
            <w:r/>
            <w:r>
              <w:rPr>
                <w:rFonts w:ascii="Times New Roman" w:hAnsi="Times New Roman"/>
                <w:sz w:val="22"/>
              </w:rPr>
              <w:t>0.605</w:t>
            </w:r>
          </w:p>
        </w:tc>
        <w:tc>
          <w:tcPr>
            <w:tcW w:type="dxa" w:w="1003"/>
          </w:tcPr>
          <w:p>
            <w:pPr>
              <w:spacing w:after="0"/>
              <w:jc w:val="left"/>
            </w:pPr>
            <w:r/>
            <w:r>
              <w:rPr>
                <w:rFonts w:ascii="Times New Roman" w:hAnsi="Times New Roman"/>
                <w:sz w:val="22"/>
              </w:rPr>
              <w:t>0.741</w:t>
            </w:r>
          </w:p>
        </w:tc>
        <w:tc>
          <w:tcPr>
            <w:tcW w:type="dxa" w:w="1003"/>
          </w:tcPr>
          <w:p>
            <w:pPr>
              <w:spacing w:after="0"/>
              <w:jc w:val="left"/>
            </w:pPr>
            <w:r/>
            <w:r>
              <w:rPr>
                <w:rFonts w:ascii="Times New Roman" w:hAnsi="Times New Roman"/>
                <w:sz w:val="22"/>
              </w:rPr>
              <w:t>0.667</w:t>
            </w:r>
          </w:p>
        </w:tc>
      </w:tr>
      <w:tr>
        <w:tc>
          <w:tcPr>
            <w:tcW w:type="dxa" w:w="1003"/>
          </w:tcPr>
          <w:p>
            <w:pPr>
              <w:spacing w:after="0"/>
              <w:jc w:val="left"/>
            </w:pPr>
            <w:r/>
            <w:r>
              <w:rPr>
                <w:rFonts w:ascii="Times New Roman" w:hAnsi="Times New Roman"/>
                <w:sz w:val="22"/>
              </w:rPr>
              <w:t>Baseline: hand rule (not a cut, dust in the eye or a scratch)</w:t>
            </w:r>
          </w:p>
        </w:tc>
        <w:tc>
          <w:tcPr>
            <w:tcW w:type="dxa" w:w="1003"/>
          </w:tcPr>
          <w:p>
            <w:pPr>
              <w:spacing w:after="0"/>
              <w:jc w:val="left"/>
            </w:pPr>
            <w:r/>
            <w:r>
              <w:rPr>
                <w:rFonts w:ascii="Times New Roman" w:hAnsi="Times New Roman"/>
                <w:sz w:val="22"/>
              </w:rPr>
              <w:t>0.898</w:t>
            </w:r>
          </w:p>
        </w:tc>
        <w:tc>
          <w:tcPr>
            <w:tcW w:type="dxa" w:w="1003"/>
          </w:tcPr>
          <w:p>
            <w:pPr>
              <w:spacing w:after="0"/>
              <w:jc w:val="left"/>
            </w:pPr>
            <w:r/>
            <w:r>
              <w:rPr>
                <w:rFonts w:ascii="Times New Roman" w:hAnsi="Times New Roman"/>
                <w:sz w:val="22"/>
              </w:rPr>
              <w:t>0.423</w:t>
            </w:r>
          </w:p>
        </w:tc>
        <w:tc>
          <w:tcPr>
            <w:tcW w:type="dxa" w:w="1003"/>
          </w:tcPr>
          <w:p>
            <w:pPr>
              <w:spacing w:after="0"/>
              <w:jc w:val="left"/>
            </w:pPr>
            <w:r/>
            <w:r>
              <w:rPr>
                <w:rFonts w:ascii="Times New Roman" w:hAnsi="Times New Roman"/>
                <w:sz w:val="22"/>
              </w:rPr>
              <w:t>0.660</w:t>
            </w:r>
          </w:p>
        </w:tc>
        <w:tc>
          <w:tcPr>
            <w:tcW w:type="dxa" w:w="1003"/>
          </w:tcPr>
          <w:p>
            <w:pPr>
              <w:spacing w:after="0"/>
              <w:jc w:val="left"/>
            </w:pPr>
            <w:r/>
            <w:r>
              <w:rPr>
                <w:rFonts w:ascii="Times New Roman" w:hAnsi="Times New Roman"/>
                <w:sz w:val="22"/>
              </w:rPr>
              <w:t>0.898</w:t>
            </w:r>
          </w:p>
        </w:tc>
        <w:tc>
          <w:tcPr>
            <w:tcW w:type="dxa" w:w="1003"/>
          </w:tcPr>
          <w:p>
            <w:pPr>
              <w:spacing w:after="0"/>
              <w:jc w:val="left"/>
            </w:pPr>
            <w:r/>
            <w:r>
              <w:rPr>
                <w:rFonts w:ascii="Times New Roman" w:hAnsi="Times New Roman"/>
                <w:sz w:val="22"/>
              </w:rPr>
              <w:t>0.595</w:t>
            </w:r>
          </w:p>
        </w:tc>
        <w:tc>
          <w:tcPr>
            <w:tcW w:type="dxa" w:w="1003"/>
          </w:tcPr>
          <w:p>
            <w:pPr>
              <w:spacing w:after="0"/>
              <w:jc w:val="left"/>
            </w:pPr>
            <w:r/>
            <w:r>
              <w:rPr>
                <w:rFonts w:ascii="Times New Roman" w:hAnsi="Times New Roman"/>
                <w:sz w:val="22"/>
              </w:rPr>
              <w:t>0.716</w:t>
            </w:r>
          </w:p>
        </w:tc>
        <w:tc>
          <w:tcPr>
            <w:tcW w:type="dxa" w:w="1003"/>
          </w:tcPr>
          <w:p>
            <w:pPr>
              <w:spacing w:after="0"/>
              <w:jc w:val="left"/>
            </w:pPr>
            <w:r/>
            <w:r>
              <w:rPr>
                <w:rFonts w:ascii="Times New Roman" w:hAnsi="Times New Roman"/>
                <w:sz w:val="22"/>
              </w:rPr>
              <w:t>0.584</w:t>
            </w:r>
          </w:p>
        </w:tc>
        <w:tc>
          <w:tcPr>
            <w:tcW w:type="dxa" w:w="1003"/>
          </w:tcPr>
          <w:p>
            <w:pPr>
              <w:spacing w:after="0"/>
              <w:jc w:val="left"/>
            </w:pPr>
            <w:r/>
            <w:r>
              <w:rPr>
                <w:rFonts w:ascii="Times New Roman" w:hAnsi="Times New Roman"/>
                <w:sz w:val="22"/>
              </w:rPr>
              <w:t>0.654</w:t>
            </w:r>
          </w:p>
        </w:tc>
      </w:tr>
      <w:tr>
        <w:tc>
          <w:tcPr>
            <w:tcW w:type="dxa" w:w="1003"/>
          </w:tcPr>
          <w:p>
            <w:pPr>
              <w:spacing w:after="0"/>
              <w:jc w:val="left"/>
            </w:pPr>
            <w:r/>
            <w:r>
              <w:rPr>
                <w:rFonts w:ascii="Times New Roman" w:hAnsi="Times New Roman"/>
                <w:sz w:val="22"/>
              </w:rPr>
              <w:t>Baseline: majority class</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1.000</w:t>
            </w:r>
          </w:p>
        </w:tc>
        <w:tc>
          <w:tcPr>
            <w:tcW w:type="dxa" w:w="1003"/>
          </w:tcPr>
          <w:p>
            <w:pPr>
              <w:spacing w:after="0"/>
              <w:jc w:val="left"/>
            </w:pPr>
            <w:r/>
            <w:r>
              <w:rPr>
                <w:rFonts w:ascii="Times New Roman" w:hAnsi="Times New Roman"/>
                <w:sz w:val="22"/>
              </w:rPr>
              <w:t>0.500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0.486</w:t>
            </w:r>
          </w:p>
        </w:tc>
        <w:tc>
          <w:tcPr>
            <w:tcW w:type="dxa" w:w="1003"/>
          </w:tcPr>
          <w:p>
            <w:pPr>
              <w:spacing w:after="0"/>
              <w:jc w:val="left"/>
            </w:pPr>
            <w:r/>
            <w:r>
              <w:rPr>
                <w:rFonts w:ascii="Times New Roman" w:hAnsi="Times New Roman"/>
                <w:sz w:val="22"/>
              </w:rPr>
              <w:t>0.514</w:t>
            </w:r>
          </w:p>
        </w:tc>
      </w:tr>
      <w:tr>
        <w:tc>
          <w:tcPr>
            <w:tcW w:type="dxa" w:w="1003"/>
          </w:tcPr>
          <w:p>
            <w:pPr>
              <w:spacing w:after="0"/>
              <w:jc w:val="left"/>
            </w:pPr>
            <w:r/>
            <w:r>
              <w:rPr>
                <w:rFonts w:ascii="Times New Roman" w:hAnsi="Times New Roman"/>
                <w:sz w:val="22"/>
              </w:rPr>
              <w:t>Baseline: review everything</w:t>
            </w:r>
          </w:p>
        </w:tc>
        <w:tc>
          <w:tcPr>
            <w:tcW w:type="dxa" w:w="1003"/>
          </w:tcPr>
          <w:p>
            <w:pPr>
              <w:spacing w:after="0"/>
              <w:jc w:val="left"/>
            </w:pPr>
            <w:r/>
            <w:r>
              <w:rPr>
                <w:rFonts w:ascii="Times New Roman" w:hAnsi="Times New Roman"/>
                <w:sz w:val="22"/>
              </w:rPr>
              <w:t>1.000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0.500</w:t>
            </w:r>
          </w:p>
        </w:tc>
        <w:tc>
          <w:tcPr>
            <w:tcW w:type="dxa" w:w="1003"/>
          </w:tcPr>
          <w:p>
            <w:pPr>
              <w:spacing w:after="0"/>
              <w:jc w:val="left"/>
            </w:pPr>
            <w:r/>
            <w:r>
              <w:rPr>
                <w:rFonts w:ascii="Times New Roman" w:hAnsi="Times New Roman"/>
                <w:sz w:val="22"/>
              </w:rPr>
              <w:t>1.000</w:t>
            </w:r>
          </w:p>
        </w:tc>
        <w:tc>
          <w:tcPr>
            <w:tcW w:type="dxa" w:w="1003"/>
          </w:tcPr>
          <w:p>
            <w:pPr>
              <w:spacing w:after="0"/>
              <w:jc w:val="left"/>
            </w:pPr>
            <w:r/>
            <w:r>
              <w:rPr>
                <w:rFonts w:ascii="Times New Roman" w:hAnsi="Times New Roman"/>
                <w:sz w:val="22"/>
              </w:rPr>
              <w:t>0.486</w:t>
            </w:r>
          </w:p>
        </w:tc>
        <w:tc>
          <w:tcPr>
            <w:tcW w:type="dxa" w:w="1003"/>
          </w:tcPr>
          <w:p>
            <w:pPr>
              <w:spacing w:after="0"/>
              <w:jc w:val="left"/>
            </w:pPr>
            <w:r/>
            <w:r>
              <w:rPr>
                <w:rFonts w:ascii="Times New Roman" w:hAnsi="Times New Roman"/>
                <w:sz w:val="22"/>
              </w:rPr>
              <w:t>0.654</w:t>
            </w:r>
          </w:p>
        </w:tc>
        <w:tc>
          <w:tcPr>
            <w:tcW w:type="dxa" w:w="1003"/>
          </w:tcPr>
          <w:p>
            <w:pPr>
              <w:spacing w:after="0"/>
              <w:jc w:val="left"/>
            </w:pPr>
            <w:r/>
            <w:r>
              <w:rPr>
                <w:rFonts w:ascii="Times New Roman" w:hAnsi="Times New Roman"/>
                <w:sz w:val="22"/>
              </w:rPr>
              <w:t>0.486</w:t>
            </w:r>
          </w:p>
        </w:tc>
        <w:tc>
          <w:tcPr>
            <w:tcW w:type="dxa" w:w="1003"/>
          </w:tcPr>
          <w:p>
            <w:pPr>
              <w:spacing w:after="0"/>
              <w:jc w:val="left"/>
            </w:pPr>
            <w:r/>
            <w:r>
              <w:rPr>
                <w:rFonts w:ascii="Times New Roman" w:hAnsi="Times New Roman"/>
                <w:sz w:val="22"/>
              </w:rPr>
              <w:t>0.486</w:t>
            </w:r>
          </w:p>
        </w:tc>
      </w:tr>
    </w:tbl>
    <w:p>
      <w:pPr>
        <w:spacing w:after="80"/>
      </w:pPr>
    </w:p>
    <w:p>
      <w:pPr>
        <w:keepNext/>
        <w:jc w:val="center"/>
      </w:pPr>
      <w:r>
        <w:drawing>
          <wp:inline xmlns:a="http://schemas.openxmlformats.org/drawingml/2006/main" xmlns:pic="http://schemas.openxmlformats.org/drawingml/2006/picture">
            <wp:extent cx="4572000" cy="4466448"/>
            <wp:docPr id="16" name="Picture 16" descr="Figure 16. ROC curves of the eight tuned models and the lookup baseline on the 20,320 test reports, with test ROC-AUC in the legend and the chance diagonal dotted; ROC space is shown because it does not depend on prevalence. Source: author's analysis of MSHA open data." title="Figure 16"/>
            <wp:cNvGraphicFramePr>
              <a:graphicFrameLocks noChangeAspect="1"/>
            </wp:cNvGraphicFramePr>
            <a:graphic>
              <a:graphicData uri="http://schemas.openxmlformats.org/drawingml/2006/picture">
                <pic:pic>
                  <pic:nvPicPr>
                    <pic:cNvPr id="0" name="F12_roc_curves.png"/>
                    <pic:cNvPicPr/>
                  </pic:nvPicPr>
                  <pic:blipFill>
                    <a:blip r:embed="rId26"/>
                    <a:stretch>
                      <a:fillRect/>
                    </a:stretch>
                  </pic:blipFill>
                  <pic:spPr>
                    <a:xfrm>
                      <a:off x="0" y="0"/>
                      <a:ext cx="4572000" cy="446644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ROC curves of the eight tuned models and the lookup baseline on the 20,320 test reports, with test ROC-AUC in the legend and the chance diagonal dotted; ROC space is shown because it does not depend on prevalence. Source: author's analysis of MSHA open data.</w:t>
      </w:r>
    </w:p>
    <w:p>
      <w:pPr>
        <w:keepNext/>
        <w:jc w:val="center"/>
      </w:pPr>
      <w:r>
        <w:drawing>
          <wp:inline xmlns:a="http://schemas.openxmlformats.org/drawingml/2006/main" xmlns:pic="http://schemas.openxmlformats.org/drawingml/2006/picture">
            <wp:extent cx="4572000" cy="4466448"/>
            <wp:docPr id="17" name="Picture 17" descr="Figure 17. 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 title="Figure 17"/>
            <wp:cNvGraphicFramePr>
              <a:graphicFrameLocks noChangeAspect="1"/>
            </wp:cNvGraphicFramePr>
            <a:graphic>
              <a:graphicData uri="http://schemas.openxmlformats.org/drawingml/2006/picture">
                <pic:pic>
                  <pic:nvPicPr>
                    <pic:cNvPr id="0" name="F13_pr_curves.png"/>
                    <pic:cNvPicPr/>
                  </pic:nvPicPr>
                  <pic:blipFill>
                    <a:blip r:embed="rId27"/>
                    <a:stretch>
                      <a:fillRect/>
                    </a:stretch>
                  </pic:blipFill>
                  <pic:spPr>
                    <a:xfrm>
                      <a:off x="0" y="0"/>
                      <a:ext cx="4572000" cy="446644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Test-set scores on the 20,320 held-out reports at each model's capacity threshold, the lowest threshold whose out-of-fold specificity reached 0.40 on the training split, with the resulting flag rate, balanced accuracy, MCC and Brier score; the threshold-free AUC and PR-AUC are in Table 12, and the two constant baselines are omitted because no threshold changes a constant score. Source: author's analysis of MSHA open data.</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shd w:val="clear" w:color="auto" w:fill="E7E6E6"/>
          </w:tcPr>
          <w:p>
            <w:pPr>
              <w:jc w:val="left"/>
            </w:pPr>
            <w:r>
              <w:rPr>
                <w:b/>
              </w:rPr>
            </w:r>
            <w:r>
              <w:rPr>
                <w:rFonts w:ascii="Times New Roman" w:hAnsi="Times New Roman"/>
                <w:b/>
                <w:sz w:val="22"/>
              </w:rPr>
              <w:t>Model</w:t>
            </w:r>
          </w:p>
        </w:tc>
        <w:tc>
          <w:tcPr>
            <w:tcW w:type="dxa" w:w="903"/>
            <w:shd w:val="clear" w:color="auto" w:fill="E7E6E6"/>
          </w:tcPr>
          <w:p>
            <w:pPr>
              <w:jc w:val="left"/>
            </w:pPr>
            <w:r>
              <w:rPr>
                <w:b/>
              </w:rPr>
            </w:r>
            <w:r>
              <w:rPr>
                <w:rFonts w:ascii="Times New Roman" w:hAnsi="Times New Roman"/>
                <w:b/>
                <w:sz w:val="22"/>
              </w:rPr>
              <w:t>Threshold</w:t>
            </w:r>
          </w:p>
        </w:tc>
        <w:tc>
          <w:tcPr>
            <w:tcW w:type="dxa" w:w="903"/>
            <w:shd w:val="clear" w:color="auto" w:fill="E7E6E6"/>
          </w:tcPr>
          <w:p>
            <w:pPr>
              <w:jc w:val="left"/>
            </w:pPr>
            <w:r>
              <w:rPr>
                <w:b/>
              </w:rPr>
            </w:r>
            <w:r>
              <w:rPr>
                <w:rFonts w:ascii="Times New Roman" w:hAnsi="Times New Roman"/>
                <w:b/>
                <w:sz w:val="22"/>
              </w:rPr>
              <w:t>Flag rate</w:t>
            </w:r>
          </w:p>
        </w:tc>
        <w:tc>
          <w:tcPr>
            <w:tcW w:type="dxa" w:w="903"/>
            <w:shd w:val="clear" w:color="auto" w:fill="E7E6E6"/>
          </w:tcPr>
          <w:p>
            <w:pPr>
              <w:jc w:val="left"/>
            </w:pPr>
            <w:r>
              <w:rPr>
                <w:b/>
              </w:rPr>
            </w:r>
            <w:r>
              <w:rPr>
                <w:rFonts w:ascii="Times New Roman" w:hAnsi="Times New Roman"/>
                <w:b/>
                <w:sz w:val="22"/>
              </w:rPr>
              <w:t>TPR (recall)</w:t>
            </w:r>
          </w:p>
        </w:tc>
        <w:tc>
          <w:tcPr>
            <w:tcW w:type="dxa" w:w="903"/>
            <w:shd w:val="clear" w:color="auto" w:fill="E7E6E6"/>
          </w:tcPr>
          <w:p>
            <w:pPr>
              <w:jc w:val="left"/>
            </w:pPr>
            <w:r>
              <w:rPr>
                <w:b/>
              </w:rPr>
            </w:r>
            <w:r>
              <w:rPr>
                <w:rFonts w:ascii="Times New Roman" w:hAnsi="Times New Roman"/>
                <w:b/>
                <w:sz w:val="22"/>
              </w:rPr>
              <w:t>TNR</w:t>
            </w:r>
          </w:p>
        </w:tc>
        <w:tc>
          <w:tcPr>
            <w:tcW w:type="dxa" w:w="903"/>
            <w:shd w:val="clear" w:color="auto" w:fill="E7E6E6"/>
          </w:tcPr>
          <w:p>
            <w:pPr>
              <w:jc w:val="left"/>
            </w:pPr>
            <w:r>
              <w:rPr>
                <w:b/>
              </w:rPr>
            </w:r>
            <w:r>
              <w:rPr>
                <w:rFonts w:ascii="Times New Roman" w:hAnsi="Times New Roman"/>
                <w:b/>
                <w:sz w:val="22"/>
              </w:rPr>
              <w:t>Precision</w:t>
            </w:r>
          </w:p>
        </w:tc>
        <w:tc>
          <w:tcPr>
            <w:tcW w:type="dxa" w:w="903"/>
            <w:shd w:val="clear" w:color="auto" w:fill="E7E6E6"/>
          </w:tcPr>
          <w:p>
            <w:pPr>
              <w:jc w:val="left"/>
            </w:pPr>
            <w:r>
              <w:rPr>
                <w:b/>
              </w:rPr>
            </w:r>
            <w:r>
              <w:rPr>
                <w:rFonts w:ascii="Times New Roman" w:hAnsi="Times New Roman"/>
                <w:b/>
                <w:sz w:val="22"/>
              </w:rPr>
              <w:t>F1</w:t>
            </w:r>
          </w:p>
        </w:tc>
        <w:tc>
          <w:tcPr>
            <w:tcW w:type="dxa" w:w="903"/>
            <w:shd w:val="clear" w:color="auto" w:fill="E7E6E6"/>
          </w:tcPr>
          <w:p>
            <w:pPr>
              <w:jc w:val="left"/>
            </w:pPr>
            <w:r>
              <w:rPr>
                <w:b/>
              </w:rPr>
            </w:r>
            <w:r>
              <w:rPr>
                <w:rFonts w:ascii="Times New Roman" w:hAnsi="Times New Roman"/>
                <w:b/>
                <w:sz w:val="22"/>
              </w:rPr>
              <w:t>Balanced accuracy</w:t>
            </w:r>
          </w:p>
        </w:tc>
        <w:tc>
          <w:tcPr>
            <w:tcW w:type="dxa" w:w="903"/>
            <w:shd w:val="clear" w:color="auto" w:fill="E7E6E6"/>
          </w:tcPr>
          <w:p>
            <w:pPr>
              <w:jc w:val="left"/>
            </w:pPr>
            <w:r>
              <w:rPr>
                <w:b/>
              </w:rPr>
            </w:r>
            <w:r>
              <w:rPr>
                <w:rFonts w:ascii="Times New Roman" w:hAnsi="Times New Roman"/>
                <w:b/>
                <w:sz w:val="22"/>
              </w:rPr>
              <w:t>MCC</w:t>
            </w:r>
          </w:p>
        </w:tc>
        <w:tc>
          <w:tcPr>
            <w:tcW w:type="dxa" w:w="903"/>
            <w:shd w:val="clear" w:color="auto" w:fill="E7E6E6"/>
          </w:tcPr>
          <w:p>
            <w:pPr>
              <w:jc w:val="left"/>
            </w:pPr>
            <w:r>
              <w:rPr>
                <w:b/>
              </w:rPr>
            </w:r>
            <w:r>
              <w:rPr>
                <w:rFonts w:ascii="Times New Roman" w:hAnsi="Times New Roman"/>
                <w:b/>
                <w:sz w:val="22"/>
              </w:rPr>
              <w:t>Brier</w:t>
            </w:r>
          </w:p>
        </w:tc>
      </w:tr>
      <w:tr>
        <w:tc>
          <w:tcPr>
            <w:tcW w:type="dxa" w:w="903"/>
          </w:tcPr>
          <w:p>
            <w:pPr>
              <w:spacing w:after="0"/>
              <w:jc w:val="left"/>
            </w:pPr>
            <w:r/>
            <w:r>
              <w:rPr>
                <w:rFonts w:ascii="Times New Roman" w:hAnsi="Times New Roman"/>
                <w:sz w:val="22"/>
              </w:rPr>
              <w:t>HGB</w:t>
            </w:r>
          </w:p>
        </w:tc>
        <w:tc>
          <w:tcPr>
            <w:tcW w:type="dxa" w:w="903"/>
          </w:tcPr>
          <w:p>
            <w:pPr>
              <w:spacing w:after="0"/>
              <w:jc w:val="left"/>
            </w:pPr>
            <w:r/>
            <w:r>
              <w:rPr>
                <w:rFonts w:ascii="Times New Roman" w:hAnsi="Times New Roman"/>
                <w:sz w:val="22"/>
              </w:rPr>
              <w:t>0.210</w:t>
            </w:r>
          </w:p>
        </w:tc>
        <w:tc>
          <w:tcPr>
            <w:tcW w:type="dxa" w:w="903"/>
          </w:tcPr>
          <w:p>
            <w:pPr>
              <w:spacing w:after="0"/>
              <w:jc w:val="left"/>
            </w:pPr>
            <w:r/>
            <w:r>
              <w:rPr>
                <w:rFonts w:ascii="Times New Roman" w:hAnsi="Times New Roman"/>
                <w:sz w:val="22"/>
              </w:rPr>
              <w:t>0.765</w:t>
            </w:r>
          </w:p>
        </w:tc>
        <w:tc>
          <w:tcPr>
            <w:tcW w:type="dxa" w:w="903"/>
          </w:tcPr>
          <w:p>
            <w:pPr>
              <w:spacing w:after="0"/>
              <w:jc w:val="left"/>
            </w:pPr>
            <w:r/>
            <w:r>
              <w:rPr>
                <w:rFonts w:ascii="Times New Roman" w:hAnsi="Times New Roman"/>
                <w:sz w:val="22"/>
              </w:rPr>
              <w:t>0.943</w:t>
            </w:r>
          </w:p>
        </w:tc>
        <w:tc>
          <w:tcPr>
            <w:tcW w:type="dxa" w:w="903"/>
          </w:tcPr>
          <w:p>
            <w:pPr>
              <w:spacing w:after="0"/>
              <w:jc w:val="left"/>
            </w:pPr>
            <w:r/>
            <w:r>
              <w:rPr>
                <w:rFonts w:ascii="Times New Roman" w:hAnsi="Times New Roman"/>
                <w:sz w:val="22"/>
              </w:rPr>
              <w:t>0.403</w:t>
            </w:r>
          </w:p>
        </w:tc>
        <w:tc>
          <w:tcPr>
            <w:tcW w:type="dxa" w:w="903"/>
          </w:tcPr>
          <w:p>
            <w:pPr>
              <w:spacing w:after="0"/>
              <w:jc w:val="left"/>
            </w:pPr>
            <w:r/>
            <w:r>
              <w:rPr>
                <w:rFonts w:ascii="Times New Roman" w:hAnsi="Times New Roman"/>
                <w:sz w:val="22"/>
              </w:rPr>
              <w:t>0.599</w:t>
            </w:r>
          </w:p>
        </w:tc>
        <w:tc>
          <w:tcPr>
            <w:tcW w:type="dxa" w:w="903"/>
          </w:tcPr>
          <w:p>
            <w:pPr>
              <w:spacing w:after="0"/>
              <w:jc w:val="left"/>
            </w:pPr>
            <w:r/>
            <w:r>
              <w:rPr>
                <w:rFonts w:ascii="Times New Roman" w:hAnsi="Times New Roman"/>
                <w:sz w:val="22"/>
              </w:rPr>
              <w:t>0.733</w:t>
            </w:r>
          </w:p>
        </w:tc>
        <w:tc>
          <w:tcPr>
            <w:tcW w:type="dxa" w:w="903"/>
          </w:tcPr>
          <w:p>
            <w:pPr>
              <w:spacing w:after="0"/>
              <w:jc w:val="left"/>
            </w:pPr>
            <w:r/>
            <w:r>
              <w:rPr>
                <w:rFonts w:ascii="Times New Roman" w:hAnsi="Times New Roman"/>
                <w:sz w:val="22"/>
              </w:rPr>
              <w:t>0.673</w:t>
            </w:r>
          </w:p>
        </w:tc>
        <w:tc>
          <w:tcPr>
            <w:tcW w:type="dxa" w:w="903"/>
          </w:tcPr>
          <w:p>
            <w:pPr>
              <w:spacing w:after="0"/>
              <w:jc w:val="left"/>
            </w:pPr>
            <w:r/>
            <w:r>
              <w:rPr>
                <w:rFonts w:ascii="Times New Roman" w:hAnsi="Times New Roman"/>
                <w:sz w:val="22"/>
              </w:rPr>
              <w:t>0.409</w:t>
            </w:r>
          </w:p>
        </w:tc>
        <w:tc>
          <w:tcPr>
            <w:tcW w:type="dxa" w:w="903"/>
          </w:tcPr>
          <w:p>
            <w:pPr>
              <w:spacing w:after="0"/>
              <w:jc w:val="left"/>
            </w:pPr>
            <w:r/>
            <w:r>
              <w:rPr>
                <w:rFonts w:ascii="Times New Roman" w:hAnsi="Times New Roman"/>
                <w:sz w:val="22"/>
              </w:rPr>
              <w:t>0.161</w:t>
            </w:r>
          </w:p>
        </w:tc>
      </w:tr>
      <w:tr>
        <w:tc>
          <w:tcPr>
            <w:tcW w:type="dxa" w:w="903"/>
          </w:tcPr>
          <w:p>
            <w:pPr>
              <w:spacing w:after="0"/>
              <w:jc w:val="left"/>
            </w:pPr>
            <w:r/>
            <w:r>
              <w:rPr>
                <w:rFonts w:ascii="Times New Roman" w:hAnsi="Times New Roman"/>
                <w:sz w:val="22"/>
              </w:rPr>
              <w:t>MLP</w:t>
            </w:r>
          </w:p>
        </w:tc>
        <w:tc>
          <w:tcPr>
            <w:tcW w:type="dxa" w:w="903"/>
          </w:tcPr>
          <w:p>
            <w:pPr>
              <w:spacing w:after="0"/>
              <w:jc w:val="left"/>
            </w:pPr>
            <w:r/>
            <w:r>
              <w:rPr>
                <w:rFonts w:ascii="Times New Roman" w:hAnsi="Times New Roman"/>
                <w:sz w:val="22"/>
              </w:rPr>
              <w:t>0.187</w:t>
            </w:r>
          </w:p>
        </w:tc>
        <w:tc>
          <w:tcPr>
            <w:tcW w:type="dxa" w:w="903"/>
          </w:tcPr>
          <w:p>
            <w:pPr>
              <w:spacing w:after="0"/>
              <w:jc w:val="left"/>
            </w:pPr>
            <w:r/>
            <w:r>
              <w:rPr>
                <w:rFonts w:ascii="Times New Roman" w:hAnsi="Times New Roman"/>
                <w:sz w:val="22"/>
              </w:rPr>
              <w:t>0.783</w:t>
            </w:r>
          </w:p>
        </w:tc>
        <w:tc>
          <w:tcPr>
            <w:tcW w:type="dxa" w:w="903"/>
          </w:tcPr>
          <w:p>
            <w:pPr>
              <w:spacing w:after="0"/>
              <w:jc w:val="left"/>
            </w:pPr>
            <w:r/>
            <w:r>
              <w:rPr>
                <w:rFonts w:ascii="Times New Roman" w:hAnsi="Times New Roman"/>
                <w:sz w:val="22"/>
              </w:rPr>
              <w:t>0.948</w:t>
            </w:r>
          </w:p>
        </w:tc>
        <w:tc>
          <w:tcPr>
            <w:tcW w:type="dxa" w:w="903"/>
          </w:tcPr>
          <w:p>
            <w:pPr>
              <w:spacing w:after="0"/>
              <w:jc w:val="left"/>
            </w:pPr>
            <w:r/>
            <w:r>
              <w:rPr>
                <w:rFonts w:ascii="Times New Roman" w:hAnsi="Times New Roman"/>
                <w:sz w:val="22"/>
              </w:rPr>
              <w:t>0.373</w:t>
            </w:r>
          </w:p>
        </w:tc>
        <w:tc>
          <w:tcPr>
            <w:tcW w:type="dxa" w:w="903"/>
          </w:tcPr>
          <w:p>
            <w:pPr>
              <w:spacing w:after="0"/>
              <w:jc w:val="left"/>
            </w:pPr>
            <w:r/>
            <w:r>
              <w:rPr>
                <w:rFonts w:ascii="Times New Roman" w:hAnsi="Times New Roman"/>
                <w:sz w:val="22"/>
              </w:rPr>
              <w:t>0.588</w:t>
            </w:r>
          </w:p>
        </w:tc>
        <w:tc>
          <w:tcPr>
            <w:tcW w:type="dxa" w:w="903"/>
          </w:tcPr>
          <w:p>
            <w:pPr>
              <w:spacing w:after="0"/>
              <w:jc w:val="left"/>
            </w:pPr>
            <w:r/>
            <w:r>
              <w:rPr>
                <w:rFonts w:ascii="Times New Roman" w:hAnsi="Times New Roman"/>
                <w:sz w:val="22"/>
              </w:rPr>
              <w:t>0.726</w:t>
            </w:r>
          </w:p>
        </w:tc>
        <w:tc>
          <w:tcPr>
            <w:tcW w:type="dxa" w:w="903"/>
          </w:tcPr>
          <w:p>
            <w:pPr>
              <w:spacing w:after="0"/>
              <w:jc w:val="left"/>
            </w:pPr>
            <w:r/>
            <w:r>
              <w:rPr>
                <w:rFonts w:ascii="Times New Roman" w:hAnsi="Times New Roman"/>
                <w:sz w:val="22"/>
              </w:rPr>
              <w:t>0.660</w:t>
            </w:r>
          </w:p>
        </w:tc>
        <w:tc>
          <w:tcPr>
            <w:tcW w:type="dxa" w:w="903"/>
          </w:tcPr>
          <w:p>
            <w:pPr>
              <w:spacing w:after="0"/>
              <w:jc w:val="left"/>
            </w:pPr>
            <w:r/>
            <w:r>
              <w:rPr>
                <w:rFonts w:ascii="Times New Roman" w:hAnsi="Times New Roman"/>
                <w:sz w:val="22"/>
              </w:rPr>
              <w:t>0.389</w:t>
            </w:r>
          </w:p>
        </w:tc>
        <w:tc>
          <w:tcPr>
            <w:tcW w:type="dxa" w:w="903"/>
          </w:tcPr>
          <w:p>
            <w:pPr>
              <w:spacing w:after="0"/>
              <w:jc w:val="left"/>
            </w:pPr>
            <w:r/>
            <w:r>
              <w:rPr>
                <w:rFonts w:ascii="Times New Roman" w:hAnsi="Times New Roman"/>
                <w:sz w:val="22"/>
              </w:rPr>
              <w:t>0.163</w:t>
            </w:r>
          </w:p>
        </w:tc>
      </w:tr>
      <w:tr>
        <w:tc>
          <w:tcPr>
            <w:tcW w:type="dxa" w:w="903"/>
          </w:tcPr>
          <w:p>
            <w:pPr>
              <w:spacing w:after="0"/>
              <w:jc w:val="left"/>
            </w:pPr>
            <w:r/>
            <w:r>
              <w:rPr>
                <w:rFonts w:ascii="Times New Roman" w:hAnsi="Times New Roman"/>
                <w:sz w:val="22"/>
              </w:rPr>
              <w:t>Random forest</w:t>
            </w:r>
          </w:p>
        </w:tc>
        <w:tc>
          <w:tcPr>
            <w:tcW w:type="dxa" w:w="903"/>
          </w:tcPr>
          <w:p>
            <w:pPr>
              <w:spacing w:after="0"/>
              <w:jc w:val="left"/>
            </w:pPr>
            <w:r/>
            <w:r>
              <w:rPr>
                <w:rFonts w:ascii="Times New Roman" w:hAnsi="Times New Roman"/>
                <w:sz w:val="22"/>
              </w:rPr>
              <w:t>0.290</w:t>
            </w:r>
          </w:p>
        </w:tc>
        <w:tc>
          <w:tcPr>
            <w:tcW w:type="dxa" w:w="903"/>
          </w:tcPr>
          <w:p>
            <w:pPr>
              <w:spacing w:after="0"/>
              <w:jc w:val="left"/>
            </w:pPr>
            <w:r/>
            <w:r>
              <w:rPr>
                <w:rFonts w:ascii="Times New Roman" w:hAnsi="Times New Roman"/>
                <w:sz w:val="22"/>
              </w:rPr>
              <w:t>0.759</w:t>
            </w:r>
          </w:p>
        </w:tc>
        <w:tc>
          <w:tcPr>
            <w:tcW w:type="dxa" w:w="903"/>
          </w:tcPr>
          <w:p>
            <w:pPr>
              <w:spacing w:after="0"/>
              <w:jc w:val="left"/>
            </w:pPr>
            <w:r/>
            <w:r>
              <w:rPr>
                <w:rFonts w:ascii="Times New Roman" w:hAnsi="Times New Roman"/>
                <w:sz w:val="22"/>
              </w:rPr>
              <w:t>0.935</w:t>
            </w:r>
          </w:p>
        </w:tc>
        <w:tc>
          <w:tcPr>
            <w:tcW w:type="dxa" w:w="903"/>
          </w:tcPr>
          <w:p>
            <w:pPr>
              <w:spacing w:after="0"/>
              <w:jc w:val="left"/>
            </w:pPr>
            <w:r/>
            <w:r>
              <w:rPr>
                <w:rFonts w:ascii="Times New Roman" w:hAnsi="Times New Roman"/>
                <w:sz w:val="22"/>
              </w:rPr>
              <w:t>0.408</w:t>
            </w:r>
          </w:p>
        </w:tc>
        <w:tc>
          <w:tcPr>
            <w:tcW w:type="dxa" w:w="903"/>
          </w:tcPr>
          <w:p>
            <w:pPr>
              <w:spacing w:after="0"/>
              <w:jc w:val="left"/>
            </w:pPr>
            <w:r/>
            <w:r>
              <w:rPr>
                <w:rFonts w:ascii="Times New Roman" w:hAnsi="Times New Roman"/>
                <w:sz w:val="22"/>
              </w:rPr>
              <w:t>0.599</w:t>
            </w:r>
          </w:p>
        </w:tc>
        <w:tc>
          <w:tcPr>
            <w:tcW w:type="dxa" w:w="903"/>
          </w:tcPr>
          <w:p>
            <w:pPr>
              <w:spacing w:after="0"/>
              <w:jc w:val="left"/>
            </w:pPr>
            <w:r/>
            <w:r>
              <w:rPr>
                <w:rFonts w:ascii="Times New Roman" w:hAnsi="Times New Roman"/>
                <w:sz w:val="22"/>
              </w:rPr>
              <w:t>0.730</w:t>
            </w:r>
          </w:p>
        </w:tc>
        <w:tc>
          <w:tcPr>
            <w:tcW w:type="dxa" w:w="903"/>
          </w:tcPr>
          <w:p>
            <w:pPr>
              <w:spacing w:after="0"/>
              <w:jc w:val="left"/>
            </w:pPr>
            <w:r/>
            <w:r>
              <w:rPr>
                <w:rFonts w:ascii="Times New Roman" w:hAnsi="Times New Roman"/>
                <w:sz w:val="22"/>
              </w:rPr>
              <w:t>0.672</w:t>
            </w:r>
          </w:p>
        </w:tc>
        <w:tc>
          <w:tcPr>
            <w:tcW w:type="dxa" w:w="903"/>
          </w:tcPr>
          <w:p>
            <w:pPr>
              <w:spacing w:after="0"/>
              <w:jc w:val="left"/>
            </w:pPr>
            <w:r/>
            <w:r>
              <w:rPr>
                <w:rFonts w:ascii="Times New Roman" w:hAnsi="Times New Roman"/>
                <w:sz w:val="22"/>
              </w:rPr>
              <w:t>0.401</w:t>
            </w:r>
          </w:p>
        </w:tc>
        <w:tc>
          <w:tcPr>
            <w:tcW w:type="dxa" w:w="903"/>
          </w:tcPr>
          <w:p>
            <w:pPr>
              <w:spacing w:after="0"/>
              <w:jc w:val="left"/>
            </w:pPr>
            <w:r/>
            <w:r>
              <w:rPr>
                <w:rFonts w:ascii="Times New Roman" w:hAnsi="Times New Roman"/>
                <w:sz w:val="22"/>
              </w:rPr>
              <w:t>0.170</w:t>
            </w:r>
          </w:p>
        </w:tc>
      </w:tr>
      <w:tr>
        <w:tc>
          <w:tcPr>
            <w:tcW w:type="dxa" w:w="903"/>
          </w:tcPr>
          <w:p>
            <w:pPr>
              <w:spacing w:after="0"/>
              <w:jc w:val="left"/>
            </w:pPr>
            <w:r/>
            <w:r>
              <w:rPr>
                <w:rFonts w:ascii="Times New Roman" w:hAnsi="Times New Roman"/>
                <w:sz w:val="22"/>
              </w:rPr>
              <w:t>Logistic regression</w:t>
            </w:r>
          </w:p>
        </w:tc>
        <w:tc>
          <w:tcPr>
            <w:tcW w:type="dxa" w:w="903"/>
          </w:tcPr>
          <w:p>
            <w:pPr>
              <w:spacing w:after="0"/>
              <w:jc w:val="left"/>
            </w:pPr>
            <w:r/>
            <w:r>
              <w:rPr>
                <w:rFonts w:ascii="Times New Roman" w:hAnsi="Times New Roman"/>
                <w:sz w:val="22"/>
              </w:rPr>
              <w:t>0.222</w:t>
            </w:r>
          </w:p>
        </w:tc>
        <w:tc>
          <w:tcPr>
            <w:tcW w:type="dxa" w:w="903"/>
          </w:tcPr>
          <w:p>
            <w:pPr>
              <w:spacing w:after="0"/>
              <w:jc w:val="left"/>
            </w:pPr>
            <w:r/>
            <w:r>
              <w:rPr>
                <w:rFonts w:ascii="Times New Roman" w:hAnsi="Times New Roman"/>
                <w:sz w:val="22"/>
              </w:rPr>
              <w:t>0.760</w:t>
            </w:r>
          </w:p>
        </w:tc>
        <w:tc>
          <w:tcPr>
            <w:tcW w:type="dxa" w:w="903"/>
          </w:tcPr>
          <w:p>
            <w:pPr>
              <w:spacing w:after="0"/>
              <w:jc w:val="left"/>
            </w:pPr>
            <w:r/>
            <w:r>
              <w:rPr>
                <w:rFonts w:ascii="Times New Roman" w:hAnsi="Times New Roman"/>
                <w:sz w:val="22"/>
              </w:rPr>
              <w:t>0.934</w:t>
            </w:r>
          </w:p>
        </w:tc>
        <w:tc>
          <w:tcPr>
            <w:tcW w:type="dxa" w:w="903"/>
          </w:tcPr>
          <w:p>
            <w:pPr>
              <w:spacing w:after="0"/>
              <w:jc w:val="left"/>
            </w:pPr>
            <w:r/>
            <w:r>
              <w:rPr>
                <w:rFonts w:ascii="Times New Roman" w:hAnsi="Times New Roman"/>
                <w:sz w:val="22"/>
              </w:rPr>
              <w:t>0.405</w:t>
            </w:r>
          </w:p>
        </w:tc>
        <w:tc>
          <w:tcPr>
            <w:tcW w:type="dxa" w:w="903"/>
          </w:tcPr>
          <w:p>
            <w:pPr>
              <w:spacing w:after="0"/>
              <w:jc w:val="left"/>
            </w:pPr>
            <w:r/>
            <w:r>
              <w:rPr>
                <w:rFonts w:ascii="Times New Roman" w:hAnsi="Times New Roman"/>
                <w:sz w:val="22"/>
              </w:rPr>
              <w:t>0.597</w:t>
            </w:r>
          </w:p>
        </w:tc>
        <w:tc>
          <w:tcPr>
            <w:tcW w:type="dxa" w:w="903"/>
          </w:tcPr>
          <w:p>
            <w:pPr>
              <w:spacing w:after="0"/>
              <w:jc w:val="left"/>
            </w:pPr>
            <w:r/>
            <w:r>
              <w:rPr>
                <w:rFonts w:ascii="Times New Roman" w:hAnsi="Times New Roman"/>
                <w:sz w:val="22"/>
              </w:rPr>
              <w:t>0.728</w:t>
            </w:r>
          </w:p>
        </w:tc>
        <w:tc>
          <w:tcPr>
            <w:tcW w:type="dxa" w:w="903"/>
          </w:tcPr>
          <w:p>
            <w:pPr>
              <w:spacing w:after="0"/>
              <w:jc w:val="left"/>
            </w:pPr>
            <w:r/>
            <w:r>
              <w:rPr>
                <w:rFonts w:ascii="Times New Roman" w:hAnsi="Times New Roman"/>
                <w:sz w:val="22"/>
              </w:rPr>
              <w:t>0.669</w:t>
            </w:r>
          </w:p>
        </w:tc>
        <w:tc>
          <w:tcPr>
            <w:tcW w:type="dxa" w:w="903"/>
          </w:tcPr>
          <w:p>
            <w:pPr>
              <w:spacing w:after="0"/>
              <w:jc w:val="left"/>
            </w:pPr>
            <w:r/>
            <w:r>
              <w:rPr>
                <w:rFonts w:ascii="Times New Roman" w:hAnsi="Times New Roman"/>
                <w:sz w:val="22"/>
              </w:rPr>
              <w:t>0.396</w:t>
            </w:r>
          </w:p>
        </w:tc>
        <w:tc>
          <w:tcPr>
            <w:tcW w:type="dxa" w:w="903"/>
          </w:tcPr>
          <w:p>
            <w:pPr>
              <w:spacing w:after="0"/>
              <w:jc w:val="left"/>
            </w:pPr>
            <w:r/>
            <w:r>
              <w:rPr>
                <w:rFonts w:ascii="Times New Roman" w:hAnsi="Times New Roman"/>
                <w:sz w:val="22"/>
              </w:rPr>
              <w:t>0.169</w:t>
            </w:r>
          </w:p>
        </w:tc>
      </w:tr>
      <w:tr>
        <w:tc>
          <w:tcPr>
            <w:tcW w:type="dxa" w:w="903"/>
          </w:tcPr>
          <w:p>
            <w:pPr>
              <w:spacing w:after="0"/>
              <w:jc w:val="left"/>
            </w:pPr>
            <w:r/>
            <w:r>
              <w:rPr>
                <w:rFonts w:ascii="Times New Roman" w:hAnsi="Times New Roman"/>
                <w:sz w:val="22"/>
              </w:rPr>
              <w:t>SVM, RBF kernel</w:t>
            </w:r>
          </w:p>
        </w:tc>
        <w:tc>
          <w:tcPr>
            <w:tcW w:type="dxa" w:w="903"/>
          </w:tcPr>
          <w:p>
            <w:pPr>
              <w:spacing w:after="0"/>
              <w:jc w:val="left"/>
            </w:pPr>
            <w:r/>
            <w:r>
              <w:rPr>
                <w:rFonts w:ascii="Times New Roman" w:hAnsi="Times New Roman"/>
                <w:sz w:val="22"/>
              </w:rPr>
              <w:t>0.237</w:t>
            </w:r>
          </w:p>
        </w:tc>
        <w:tc>
          <w:tcPr>
            <w:tcW w:type="dxa" w:w="903"/>
          </w:tcPr>
          <w:p>
            <w:pPr>
              <w:spacing w:after="0"/>
              <w:jc w:val="left"/>
            </w:pPr>
            <w:r/>
            <w:r>
              <w:rPr>
                <w:rFonts w:ascii="Times New Roman" w:hAnsi="Times New Roman"/>
                <w:sz w:val="22"/>
              </w:rPr>
              <w:t>0.753</w:t>
            </w:r>
          </w:p>
        </w:tc>
        <w:tc>
          <w:tcPr>
            <w:tcW w:type="dxa" w:w="903"/>
          </w:tcPr>
          <w:p>
            <w:pPr>
              <w:spacing w:after="0"/>
              <w:jc w:val="left"/>
            </w:pPr>
            <w:r/>
            <w:r>
              <w:rPr>
                <w:rFonts w:ascii="Times New Roman" w:hAnsi="Times New Roman"/>
                <w:sz w:val="22"/>
              </w:rPr>
              <w:t>0.927</w:t>
            </w:r>
          </w:p>
        </w:tc>
        <w:tc>
          <w:tcPr>
            <w:tcW w:type="dxa" w:w="903"/>
          </w:tcPr>
          <w:p>
            <w:pPr>
              <w:spacing w:after="0"/>
              <w:jc w:val="left"/>
            </w:pPr>
            <w:r/>
            <w:r>
              <w:rPr>
                <w:rFonts w:ascii="Times New Roman" w:hAnsi="Times New Roman"/>
                <w:sz w:val="22"/>
              </w:rPr>
              <w:t>0.411</w:t>
            </w:r>
          </w:p>
        </w:tc>
        <w:tc>
          <w:tcPr>
            <w:tcW w:type="dxa" w:w="903"/>
          </w:tcPr>
          <w:p>
            <w:pPr>
              <w:spacing w:after="0"/>
              <w:jc w:val="left"/>
            </w:pPr>
            <w:r/>
            <w:r>
              <w:rPr>
                <w:rFonts w:ascii="Times New Roman" w:hAnsi="Times New Roman"/>
                <w:sz w:val="22"/>
              </w:rPr>
              <w:t>0.598</w:t>
            </w:r>
          </w:p>
        </w:tc>
        <w:tc>
          <w:tcPr>
            <w:tcW w:type="dxa" w:w="903"/>
          </w:tcPr>
          <w:p>
            <w:pPr>
              <w:spacing w:after="0"/>
              <w:jc w:val="left"/>
            </w:pPr>
            <w:r/>
            <w:r>
              <w:rPr>
                <w:rFonts w:ascii="Times New Roman" w:hAnsi="Times New Roman"/>
                <w:sz w:val="22"/>
              </w:rPr>
              <w:t>0.727</w:t>
            </w:r>
          </w:p>
        </w:tc>
        <w:tc>
          <w:tcPr>
            <w:tcW w:type="dxa" w:w="903"/>
          </w:tcPr>
          <w:p>
            <w:pPr>
              <w:spacing w:after="0"/>
              <w:jc w:val="left"/>
            </w:pPr>
            <w:r/>
            <w:r>
              <w:rPr>
                <w:rFonts w:ascii="Times New Roman" w:hAnsi="Times New Roman"/>
                <w:sz w:val="22"/>
              </w:rPr>
              <w:t>0.669</w:t>
            </w:r>
          </w:p>
        </w:tc>
        <w:tc>
          <w:tcPr>
            <w:tcW w:type="dxa" w:w="903"/>
          </w:tcPr>
          <w:p>
            <w:pPr>
              <w:spacing w:after="0"/>
              <w:jc w:val="left"/>
            </w:pPr>
            <w:r/>
            <w:r>
              <w:rPr>
                <w:rFonts w:ascii="Times New Roman" w:hAnsi="Times New Roman"/>
                <w:sz w:val="22"/>
              </w:rPr>
              <w:t>0.391</w:t>
            </w:r>
          </w:p>
        </w:tc>
        <w:tc>
          <w:tcPr>
            <w:tcW w:type="dxa" w:w="903"/>
          </w:tcPr>
          <w:p>
            <w:pPr>
              <w:spacing w:after="0"/>
              <w:jc w:val="left"/>
            </w:pPr>
            <w:r/>
            <w:r>
              <w:rPr>
                <w:rFonts w:ascii="Times New Roman" w:hAnsi="Times New Roman"/>
                <w:sz w:val="22"/>
              </w:rPr>
              <w:t>0.173</w:t>
            </w:r>
          </w:p>
        </w:tc>
      </w:tr>
      <w:tr>
        <w:tc>
          <w:tcPr>
            <w:tcW w:type="dxa" w:w="903"/>
          </w:tcPr>
          <w:p>
            <w:pPr>
              <w:spacing w:after="0"/>
              <w:jc w:val="left"/>
            </w:pPr>
            <w:r/>
            <w:r>
              <w:rPr>
                <w:rFonts w:ascii="Times New Roman" w:hAnsi="Times New Roman"/>
                <w:sz w:val="22"/>
              </w:rPr>
              <w:t>Decision tree</w:t>
            </w:r>
          </w:p>
        </w:tc>
        <w:tc>
          <w:tcPr>
            <w:tcW w:type="dxa" w:w="903"/>
          </w:tcPr>
          <w:p>
            <w:pPr>
              <w:spacing w:after="0"/>
              <w:jc w:val="left"/>
            </w:pPr>
            <w:r/>
            <w:r>
              <w:rPr>
                <w:rFonts w:ascii="Times New Roman" w:hAnsi="Times New Roman"/>
                <w:sz w:val="22"/>
              </w:rPr>
              <w:t>0.239</w:t>
            </w:r>
          </w:p>
        </w:tc>
        <w:tc>
          <w:tcPr>
            <w:tcW w:type="dxa" w:w="903"/>
          </w:tcPr>
          <w:p>
            <w:pPr>
              <w:spacing w:after="0"/>
              <w:jc w:val="left"/>
            </w:pPr>
            <w:r/>
            <w:r>
              <w:rPr>
                <w:rFonts w:ascii="Times New Roman" w:hAnsi="Times New Roman"/>
                <w:sz w:val="22"/>
              </w:rPr>
              <w:t>0.774</w:t>
            </w:r>
          </w:p>
        </w:tc>
        <w:tc>
          <w:tcPr>
            <w:tcW w:type="dxa" w:w="903"/>
          </w:tcPr>
          <w:p>
            <w:pPr>
              <w:spacing w:after="0"/>
              <w:jc w:val="left"/>
            </w:pPr>
            <w:r/>
            <w:r>
              <w:rPr>
                <w:rFonts w:ascii="Times New Roman" w:hAnsi="Times New Roman"/>
                <w:sz w:val="22"/>
              </w:rPr>
              <w:t>0.932</w:t>
            </w:r>
          </w:p>
        </w:tc>
        <w:tc>
          <w:tcPr>
            <w:tcW w:type="dxa" w:w="903"/>
          </w:tcPr>
          <w:p>
            <w:pPr>
              <w:spacing w:after="0"/>
              <w:jc w:val="left"/>
            </w:pPr>
            <w:r/>
            <w:r>
              <w:rPr>
                <w:rFonts w:ascii="Times New Roman" w:hAnsi="Times New Roman"/>
                <w:sz w:val="22"/>
              </w:rPr>
              <w:t>0.376</w:t>
            </w:r>
          </w:p>
        </w:tc>
        <w:tc>
          <w:tcPr>
            <w:tcW w:type="dxa" w:w="903"/>
          </w:tcPr>
          <w:p>
            <w:pPr>
              <w:spacing w:after="0"/>
              <w:jc w:val="left"/>
            </w:pPr>
            <w:r/>
            <w:r>
              <w:rPr>
                <w:rFonts w:ascii="Times New Roman" w:hAnsi="Times New Roman"/>
                <w:sz w:val="22"/>
              </w:rPr>
              <w:t>0.585</w:t>
            </w:r>
          </w:p>
        </w:tc>
        <w:tc>
          <w:tcPr>
            <w:tcW w:type="dxa" w:w="903"/>
          </w:tcPr>
          <w:p>
            <w:pPr>
              <w:spacing w:after="0"/>
              <w:jc w:val="left"/>
            </w:pPr>
            <w:r/>
            <w:r>
              <w:rPr>
                <w:rFonts w:ascii="Times New Roman" w:hAnsi="Times New Roman"/>
                <w:sz w:val="22"/>
              </w:rPr>
              <w:t>0.719</w:t>
            </w:r>
          </w:p>
        </w:tc>
        <w:tc>
          <w:tcPr>
            <w:tcW w:type="dxa" w:w="903"/>
          </w:tcPr>
          <w:p>
            <w:pPr>
              <w:spacing w:after="0"/>
              <w:jc w:val="left"/>
            </w:pPr>
            <w:r/>
            <w:r>
              <w:rPr>
                <w:rFonts w:ascii="Times New Roman" w:hAnsi="Times New Roman"/>
                <w:sz w:val="22"/>
              </w:rPr>
              <w:t>0.654</w:t>
            </w:r>
          </w:p>
        </w:tc>
        <w:tc>
          <w:tcPr>
            <w:tcW w:type="dxa" w:w="903"/>
          </w:tcPr>
          <w:p>
            <w:pPr>
              <w:spacing w:after="0"/>
              <w:jc w:val="left"/>
            </w:pPr>
            <w:r/>
            <w:r>
              <w:rPr>
                <w:rFonts w:ascii="Times New Roman" w:hAnsi="Times New Roman"/>
                <w:sz w:val="22"/>
              </w:rPr>
              <w:t>0.368</w:t>
            </w:r>
          </w:p>
        </w:tc>
        <w:tc>
          <w:tcPr>
            <w:tcW w:type="dxa" w:w="903"/>
          </w:tcPr>
          <w:p>
            <w:pPr>
              <w:spacing w:after="0"/>
              <w:jc w:val="left"/>
            </w:pPr>
            <w:r/>
            <w:r>
              <w:rPr>
                <w:rFonts w:ascii="Times New Roman" w:hAnsi="Times New Roman"/>
                <w:sz w:val="22"/>
              </w:rPr>
              <w:t>0.174</w:t>
            </w:r>
          </w:p>
        </w:tc>
      </w:tr>
      <w:tr>
        <w:tc>
          <w:tcPr>
            <w:tcW w:type="dxa" w:w="903"/>
          </w:tcPr>
          <w:p>
            <w:pPr>
              <w:spacing w:after="0"/>
              <w:jc w:val="left"/>
            </w:pPr>
            <w:r/>
            <w:r>
              <w:rPr>
                <w:rFonts w:ascii="Times New Roman" w:hAnsi="Times New Roman"/>
                <w:sz w:val="22"/>
              </w:rPr>
              <w:t>Lookup baseline (nature x body part x sector)</w:t>
            </w:r>
          </w:p>
        </w:tc>
        <w:tc>
          <w:tcPr>
            <w:tcW w:type="dxa" w:w="903"/>
          </w:tcPr>
          <w:p>
            <w:pPr>
              <w:spacing w:after="0"/>
              <w:jc w:val="left"/>
            </w:pPr>
            <w:r/>
            <w:r>
              <w:rPr>
                <w:rFonts w:ascii="Times New Roman" w:hAnsi="Times New Roman"/>
                <w:sz w:val="22"/>
              </w:rPr>
              <w:t>0.225</w:t>
            </w:r>
          </w:p>
        </w:tc>
        <w:tc>
          <w:tcPr>
            <w:tcW w:type="dxa" w:w="903"/>
          </w:tcPr>
          <w:p>
            <w:pPr>
              <w:spacing w:after="0"/>
              <w:jc w:val="left"/>
            </w:pPr>
            <w:r/>
            <w:r>
              <w:rPr>
                <w:rFonts w:ascii="Times New Roman" w:hAnsi="Times New Roman"/>
                <w:sz w:val="22"/>
              </w:rPr>
              <w:t>0.753</w:t>
            </w:r>
          </w:p>
        </w:tc>
        <w:tc>
          <w:tcPr>
            <w:tcW w:type="dxa" w:w="903"/>
          </w:tcPr>
          <w:p>
            <w:pPr>
              <w:spacing w:after="0"/>
              <w:jc w:val="left"/>
            </w:pPr>
            <w:r/>
            <w:r>
              <w:rPr>
                <w:rFonts w:ascii="Times New Roman" w:hAnsi="Times New Roman"/>
                <w:sz w:val="22"/>
              </w:rPr>
              <w:t>0.916</w:t>
            </w:r>
          </w:p>
        </w:tc>
        <w:tc>
          <w:tcPr>
            <w:tcW w:type="dxa" w:w="903"/>
          </w:tcPr>
          <w:p>
            <w:pPr>
              <w:spacing w:after="0"/>
              <w:jc w:val="left"/>
            </w:pPr>
            <w:r/>
            <w:r>
              <w:rPr>
                <w:rFonts w:ascii="Times New Roman" w:hAnsi="Times New Roman"/>
                <w:sz w:val="22"/>
              </w:rPr>
              <w:t>0.402</w:t>
            </w:r>
          </w:p>
        </w:tc>
        <w:tc>
          <w:tcPr>
            <w:tcW w:type="dxa" w:w="903"/>
          </w:tcPr>
          <w:p>
            <w:pPr>
              <w:spacing w:after="0"/>
              <w:jc w:val="left"/>
            </w:pPr>
            <w:r/>
            <w:r>
              <w:rPr>
                <w:rFonts w:ascii="Times New Roman" w:hAnsi="Times New Roman"/>
                <w:sz w:val="22"/>
              </w:rPr>
              <w:t>0.591</w:t>
            </w:r>
          </w:p>
        </w:tc>
        <w:tc>
          <w:tcPr>
            <w:tcW w:type="dxa" w:w="903"/>
          </w:tcPr>
          <w:p>
            <w:pPr>
              <w:spacing w:after="0"/>
              <w:jc w:val="left"/>
            </w:pPr>
            <w:r/>
            <w:r>
              <w:rPr>
                <w:rFonts w:ascii="Times New Roman" w:hAnsi="Times New Roman"/>
                <w:sz w:val="22"/>
              </w:rPr>
              <w:t>0.719</w:t>
            </w:r>
          </w:p>
        </w:tc>
        <w:tc>
          <w:tcPr>
            <w:tcW w:type="dxa" w:w="903"/>
          </w:tcPr>
          <w:p>
            <w:pPr>
              <w:spacing w:after="0"/>
              <w:jc w:val="left"/>
            </w:pPr>
            <w:r/>
            <w:r>
              <w:rPr>
                <w:rFonts w:ascii="Times New Roman" w:hAnsi="Times New Roman"/>
                <w:sz w:val="22"/>
              </w:rPr>
              <w:t>0.659</w:t>
            </w:r>
          </w:p>
        </w:tc>
        <w:tc>
          <w:tcPr>
            <w:tcW w:type="dxa" w:w="903"/>
          </w:tcPr>
          <w:p>
            <w:pPr>
              <w:spacing w:after="0"/>
              <w:jc w:val="left"/>
            </w:pPr>
            <w:r/>
            <w:r>
              <w:rPr>
                <w:rFonts w:ascii="Times New Roman" w:hAnsi="Times New Roman"/>
                <w:sz w:val="22"/>
              </w:rPr>
              <w:t>0.368</w:t>
            </w:r>
          </w:p>
        </w:tc>
        <w:tc>
          <w:tcPr>
            <w:tcW w:type="dxa" w:w="903"/>
          </w:tcPr>
          <w:p>
            <w:pPr>
              <w:spacing w:after="0"/>
              <w:jc w:val="left"/>
            </w:pPr>
            <w:r/>
            <w:r>
              <w:rPr>
                <w:rFonts w:ascii="Times New Roman" w:hAnsi="Times New Roman"/>
                <w:sz w:val="22"/>
              </w:rPr>
              <w:t>0.179</w:t>
            </w:r>
          </w:p>
        </w:tc>
      </w:tr>
      <w:tr>
        <w:tc>
          <w:tcPr>
            <w:tcW w:type="dxa" w:w="903"/>
          </w:tcPr>
          <w:p>
            <w:pPr>
              <w:spacing w:after="0"/>
              <w:jc w:val="left"/>
            </w:pPr>
            <w:r/>
            <w:r>
              <w:rPr>
                <w:rFonts w:ascii="Times New Roman" w:hAnsi="Times New Roman"/>
                <w:sz w:val="22"/>
              </w:rPr>
              <w:t>KNN</w:t>
            </w:r>
          </w:p>
        </w:tc>
        <w:tc>
          <w:tcPr>
            <w:tcW w:type="dxa" w:w="903"/>
          </w:tcPr>
          <w:p>
            <w:pPr>
              <w:spacing w:after="0"/>
              <w:jc w:val="left"/>
            </w:pPr>
            <w:r/>
            <w:r>
              <w:rPr>
                <w:rFonts w:ascii="Times New Roman" w:hAnsi="Times New Roman"/>
                <w:sz w:val="22"/>
              </w:rPr>
              <w:t>0.308</w:t>
            </w:r>
          </w:p>
        </w:tc>
        <w:tc>
          <w:tcPr>
            <w:tcW w:type="dxa" w:w="903"/>
          </w:tcPr>
          <w:p>
            <w:pPr>
              <w:spacing w:after="0"/>
              <w:jc w:val="left"/>
            </w:pPr>
            <w:r/>
            <w:r>
              <w:rPr>
                <w:rFonts w:ascii="Times New Roman" w:hAnsi="Times New Roman"/>
                <w:sz w:val="22"/>
              </w:rPr>
              <w:t>0.733</w:t>
            </w:r>
          </w:p>
        </w:tc>
        <w:tc>
          <w:tcPr>
            <w:tcW w:type="dxa" w:w="903"/>
          </w:tcPr>
          <w:p>
            <w:pPr>
              <w:spacing w:after="0"/>
              <w:jc w:val="left"/>
            </w:pPr>
            <w:r/>
            <w:r>
              <w:rPr>
                <w:rFonts w:ascii="Times New Roman" w:hAnsi="Times New Roman"/>
                <w:sz w:val="22"/>
              </w:rPr>
              <w:t>0.886</w:t>
            </w:r>
          </w:p>
        </w:tc>
        <w:tc>
          <w:tcPr>
            <w:tcW w:type="dxa" w:w="903"/>
          </w:tcPr>
          <w:p>
            <w:pPr>
              <w:spacing w:after="0"/>
              <w:jc w:val="left"/>
            </w:pPr>
            <w:r/>
            <w:r>
              <w:rPr>
                <w:rFonts w:ascii="Times New Roman" w:hAnsi="Times New Roman"/>
                <w:sz w:val="22"/>
              </w:rPr>
              <w:t>0.412</w:t>
            </w:r>
          </w:p>
        </w:tc>
        <w:tc>
          <w:tcPr>
            <w:tcW w:type="dxa" w:w="903"/>
          </w:tcPr>
          <w:p>
            <w:pPr>
              <w:spacing w:after="0"/>
              <w:jc w:val="left"/>
            </w:pPr>
            <w:r/>
            <w:r>
              <w:rPr>
                <w:rFonts w:ascii="Times New Roman" w:hAnsi="Times New Roman"/>
                <w:sz w:val="22"/>
              </w:rPr>
              <w:t>0.588</w:t>
            </w:r>
          </w:p>
        </w:tc>
        <w:tc>
          <w:tcPr>
            <w:tcW w:type="dxa" w:w="903"/>
          </w:tcPr>
          <w:p>
            <w:pPr>
              <w:spacing w:after="0"/>
              <w:jc w:val="left"/>
            </w:pPr>
            <w:r/>
            <w:r>
              <w:rPr>
                <w:rFonts w:ascii="Times New Roman" w:hAnsi="Times New Roman"/>
                <w:sz w:val="22"/>
              </w:rPr>
              <w:t>0.707</w:t>
            </w:r>
          </w:p>
        </w:tc>
        <w:tc>
          <w:tcPr>
            <w:tcW w:type="dxa" w:w="903"/>
          </w:tcPr>
          <w:p>
            <w:pPr>
              <w:spacing w:after="0"/>
              <w:jc w:val="left"/>
            </w:pPr>
            <w:r/>
            <w:r>
              <w:rPr>
                <w:rFonts w:ascii="Times New Roman" w:hAnsi="Times New Roman"/>
                <w:sz w:val="22"/>
              </w:rPr>
              <w:t>0.649</w:t>
            </w:r>
          </w:p>
        </w:tc>
        <w:tc>
          <w:tcPr>
            <w:tcW w:type="dxa" w:w="903"/>
          </w:tcPr>
          <w:p>
            <w:pPr>
              <w:spacing w:after="0"/>
              <w:jc w:val="left"/>
            </w:pPr>
            <w:r/>
            <w:r>
              <w:rPr>
                <w:rFonts w:ascii="Times New Roman" w:hAnsi="Times New Roman"/>
                <w:sz w:val="22"/>
              </w:rPr>
              <w:t>0.337</w:t>
            </w:r>
          </w:p>
        </w:tc>
        <w:tc>
          <w:tcPr>
            <w:tcW w:type="dxa" w:w="903"/>
          </w:tcPr>
          <w:p>
            <w:pPr>
              <w:spacing w:after="0"/>
              <w:jc w:val="left"/>
            </w:pPr>
            <w:r/>
            <w:r>
              <w:rPr>
                <w:rFonts w:ascii="Times New Roman" w:hAnsi="Times New Roman"/>
                <w:sz w:val="22"/>
              </w:rPr>
              <w:t>0.195</w:t>
            </w:r>
          </w:p>
        </w:tc>
      </w:tr>
      <w:tr>
        <w:tc>
          <w:tcPr>
            <w:tcW w:type="dxa" w:w="903"/>
          </w:tcPr>
          <w:p>
            <w:pPr>
              <w:spacing w:after="0"/>
              <w:jc w:val="left"/>
            </w:pPr>
            <w:r/>
            <w:r>
              <w:rPr>
                <w:rFonts w:ascii="Times New Roman" w:hAnsi="Times New Roman"/>
                <w:sz w:val="22"/>
              </w:rPr>
              <w:t>Gaussian naive Bayes</w:t>
            </w:r>
          </w:p>
        </w:tc>
        <w:tc>
          <w:tcPr>
            <w:tcW w:type="dxa" w:w="903"/>
          </w:tcPr>
          <w:p>
            <w:pPr>
              <w:spacing w:after="0"/>
              <w:jc w:val="left"/>
            </w:pPr>
            <w:r/>
            <w:r>
              <w:rPr>
                <w:rFonts w:ascii="Times New Roman" w:hAnsi="Times New Roman"/>
                <w:sz w:val="22"/>
              </w:rPr>
              <w:t>0.001</w:t>
            </w:r>
          </w:p>
        </w:tc>
        <w:tc>
          <w:tcPr>
            <w:tcW w:type="dxa" w:w="903"/>
          </w:tcPr>
          <w:p>
            <w:pPr>
              <w:spacing w:after="0"/>
              <w:jc w:val="left"/>
            </w:pPr>
            <w:r/>
            <w:r>
              <w:rPr>
                <w:rFonts w:ascii="Times New Roman" w:hAnsi="Times New Roman"/>
                <w:sz w:val="22"/>
              </w:rPr>
              <w:t>0.727</w:t>
            </w:r>
          </w:p>
        </w:tc>
        <w:tc>
          <w:tcPr>
            <w:tcW w:type="dxa" w:w="903"/>
          </w:tcPr>
          <w:p>
            <w:pPr>
              <w:spacing w:after="0"/>
              <w:jc w:val="left"/>
            </w:pPr>
            <w:r/>
            <w:r>
              <w:rPr>
                <w:rFonts w:ascii="Times New Roman" w:hAnsi="Times New Roman"/>
                <w:sz w:val="22"/>
              </w:rPr>
              <w:t>0.868</w:t>
            </w:r>
          </w:p>
        </w:tc>
        <w:tc>
          <w:tcPr>
            <w:tcW w:type="dxa" w:w="903"/>
          </w:tcPr>
          <w:p>
            <w:pPr>
              <w:spacing w:after="0"/>
              <w:jc w:val="left"/>
            </w:pPr>
            <w:r/>
            <w:r>
              <w:rPr>
                <w:rFonts w:ascii="Times New Roman" w:hAnsi="Times New Roman"/>
                <w:sz w:val="22"/>
              </w:rPr>
              <w:t>0.407</w:t>
            </w:r>
          </w:p>
        </w:tc>
        <w:tc>
          <w:tcPr>
            <w:tcW w:type="dxa" w:w="903"/>
          </w:tcPr>
          <w:p>
            <w:pPr>
              <w:spacing w:after="0"/>
              <w:jc w:val="left"/>
            </w:pPr>
            <w:r/>
            <w:r>
              <w:rPr>
                <w:rFonts w:ascii="Times New Roman" w:hAnsi="Times New Roman"/>
                <w:sz w:val="22"/>
              </w:rPr>
              <w:t>0.580</w:t>
            </w:r>
          </w:p>
        </w:tc>
        <w:tc>
          <w:tcPr>
            <w:tcW w:type="dxa" w:w="903"/>
          </w:tcPr>
          <w:p>
            <w:pPr>
              <w:spacing w:after="0"/>
              <w:jc w:val="left"/>
            </w:pPr>
            <w:r/>
            <w:r>
              <w:rPr>
                <w:rFonts w:ascii="Times New Roman" w:hAnsi="Times New Roman"/>
                <w:sz w:val="22"/>
              </w:rPr>
              <w:t>0.696</w:t>
            </w:r>
          </w:p>
        </w:tc>
        <w:tc>
          <w:tcPr>
            <w:tcW w:type="dxa" w:w="903"/>
          </w:tcPr>
          <w:p>
            <w:pPr>
              <w:spacing w:after="0"/>
              <w:jc w:val="left"/>
            </w:pPr>
            <w:r/>
            <w:r>
              <w:rPr>
                <w:rFonts w:ascii="Times New Roman" w:hAnsi="Times New Roman"/>
                <w:sz w:val="22"/>
              </w:rPr>
              <w:t>0.637</w:t>
            </w:r>
          </w:p>
        </w:tc>
        <w:tc>
          <w:tcPr>
            <w:tcW w:type="dxa" w:w="903"/>
          </w:tcPr>
          <w:p>
            <w:pPr>
              <w:spacing w:after="0"/>
              <w:jc w:val="left"/>
            </w:pPr>
            <w:r/>
            <w:r>
              <w:rPr>
                <w:rFonts w:ascii="Times New Roman" w:hAnsi="Times New Roman"/>
                <w:sz w:val="22"/>
              </w:rPr>
              <w:t>0.308</w:t>
            </w:r>
          </w:p>
        </w:tc>
        <w:tc>
          <w:tcPr>
            <w:tcW w:type="dxa" w:w="903"/>
          </w:tcPr>
          <w:p>
            <w:pPr>
              <w:spacing w:after="0"/>
              <w:jc w:val="left"/>
            </w:pPr>
            <w:r/>
            <w:r>
              <w:rPr>
                <w:rFonts w:ascii="Times New Roman" w:hAnsi="Times New Roman"/>
                <w:sz w:val="22"/>
              </w:rPr>
              <w:t>0.298</w:t>
            </w:r>
          </w:p>
        </w:tc>
      </w:tr>
      <w:tr>
        <w:tc>
          <w:tcPr>
            <w:tcW w:type="dxa" w:w="903"/>
          </w:tcPr>
          <w:p>
            <w:pPr>
              <w:spacing w:after="0"/>
              <w:jc w:val="left"/>
            </w:pPr>
            <w:r/>
            <w:r>
              <w:rPr>
                <w:rFonts w:ascii="Times New Roman" w:hAnsi="Times New Roman"/>
                <w:sz w:val="22"/>
              </w:rPr>
              <w:t>Baseline: hand rule (not a cut, dust in the eye or a scratch)</w:t>
            </w:r>
          </w:p>
        </w:tc>
        <w:tc>
          <w:tcPr>
            <w:tcW w:type="dxa" w:w="903"/>
          </w:tcPr>
          <w:p>
            <w:pPr>
              <w:spacing w:after="0"/>
              <w:jc w:val="left"/>
            </w:pPr>
            <w:r/>
            <w:r>
              <w:rPr>
                <w:rFonts w:ascii="Times New Roman" w:hAnsi="Times New Roman"/>
                <w:sz w:val="22"/>
              </w:rPr>
              <w:t>not applicable (fixed rule)</w:t>
            </w:r>
          </w:p>
        </w:tc>
        <w:tc>
          <w:tcPr>
            <w:tcW w:type="dxa" w:w="903"/>
          </w:tcPr>
          <w:p>
            <w:pPr>
              <w:spacing w:after="0"/>
              <w:jc w:val="left"/>
            </w:pPr>
            <w:r/>
            <w:r>
              <w:rPr>
                <w:rFonts w:ascii="Times New Roman" w:hAnsi="Times New Roman"/>
                <w:sz w:val="22"/>
              </w:rPr>
              <w:t>0.733</w:t>
            </w:r>
          </w:p>
        </w:tc>
        <w:tc>
          <w:tcPr>
            <w:tcW w:type="dxa" w:w="903"/>
          </w:tcPr>
          <w:p>
            <w:pPr>
              <w:spacing w:after="0"/>
              <w:jc w:val="left"/>
            </w:pPr>
            <w:r/>
            <w:r>
              <w:rPr>
                <w:rFonts w:ascii="Times New Roman" w:hAnsi="Times New Roman"/>
                <w:sz w:val="22"/>
              </w:rPr>
              <w:t>0.898</w:t>
            </w:r>
          </w:p>
        </w:tc>
        <w:tc>
          <w:tcPr>
            <w:tcW w:type="dxa" w:w="903"/>
          </w:tcPr>
          <w:p>
            <w:pPr>
              <w:spacing w:after="0"/>
              <w:jc w:val="left"/>
            </w:pPr>
            <w:r/>
            <w:r>
              <w:rPr>
                <w:rFonts w:ascii="Times New Roman" w:hAnsi="Times New Roman"/>
                <w:sz w:val="22"/>
              </w:rPr>
              <w:t>0.423</w:t>
            </w:r>
          </w:p>
        </w:tc>
        <w:tc>
          <w:tcPr>
            <w:tcW w:type="dxa" w:w="903"/>
          </w:tcPr>
          <w:p>
            <w:pPr>
              <w:spacing w:after="0"/>
              <w:jc w:val="left"/>
            </w:pPr>
            <w:r/>
            <w:r>
              <w:rPr>
                <w:rFonts w:ascii="Times New Roman" w:hAnsi="Times New Roman"/>
                <w:sz w:val="22"/>
              </w:rPr>
              <w:t>0.595</w:t>
            </w:r>
          </w:p>
        </w:tc>
        <w:tc>
          <w:tcPr>
            <w:tcW w:type="dxa" w:w="903"/>
          </w:tcPr>
          <w:p>
            <w:pPr>
              <w:spacing w:after="0"/>
              <w:jc w:val="left"/>
            </w:pPr>
            <w:r/>
            <w:r>
              <w:rPr>
                <w:rFonts w:ascii="Times New Roman" w:hAnsi="Times New Roman"/>
                <w:sz w:val="22"/>
              </w:rPr>
              <w:t>0.716</w:t>
            </w:r>
          </w:p>
        </w:tc>
        <w:tc>
          <w:tcPr>
            <w:tcW w:type="dxa" w:w="903"/>
          </w:tcPr>
          <w:p>
            <w:pPr>
              <w:spacing w:after="0"/>
              <w:jc w:val="left"/>
            </w:pPr>
            <w:r/>
            <w:r>
              <w:rPr>
                <w:rFonts w:ascii="Times New Roman" w:hAnsi="Times New Roman"/>
                <w:sz w:val="22"/>
              </w:rPr>
              <w:t>0.660</w:t>
            </w:r>
          </w:p>
        </w:tc>
        <w:tc>
          <w:tcPr>
            <w:tcW w:type="dxa" w:w="903"/>
          </w:tcPr>
          <w:p>
            <w:pPr>
              <w:spacing w:after="0"/>
              <w:jc w:val="left"/>
            </w:pPr>
            <w:r/>
            <w:r>
              <w:rPr>
                <w:rFonts w:ascii="Times New Roman" w:hAnsi="Times New Roman"/>
                <w:sz w:val="22"/>
              </w:rPr>
              <w:t>0.363</w:t>
            </w:r>
          </w:p>
        </w:tc>
        <w:tc>
          <w:tcPr>
            <w:tcW w:type="dxa" w:w="903"/>
          </w:tcPr>
          <w:p>
            <w:pPr>
              <w:spacing w:after="0"/>
              <w:jc w:val="left"/>
            </w:pPr>
            <w:r/>
            <w:r>
              <w:rPr>
                <w:rFonts w:ascii="Times New Roman" w:hAnsi="Times New Roman"/>
                <w:sz w:val="22"/>
              </w:rPr>
              <w:t>0.346</w:t>
            </w:r>
          </w:p>
        </w:tc>
      </w:tr>
    </w:tbl>
    <w:p>
      <w:pPr>
        <w:spacing w:after="80"/>
      </w:pPr>
    </w:p>
    <w:p>
      <w:r>
        <w:rPr>
          <w:rFonts w:ascii="Times New Roman" w:hAnsi="Times New Roman"/>
          <w:sz w:val="24"/>
        </w:rPr>
        <w:t>Table 14 tests whether these differences exceed noise (Dietterich, 1998; Demšar, 2006). McNemar's test rejects equal error rates between HGB and the lookup baseline at both thresholds, also when clustered by mine-year (Durkalski et al., 2003). Between the top two, the paired fold test gives p = 0.044 after the Nadeau and Bengio (2003) correction for overlapping training folds, while the Wilcoxon test cannot fall below 0.0625 with five folds. The MLP's test PR-AUC lies inside HGB's mine-year bootstrap interval, so the gap between the top two sits at the edge of noise and the gap to the lookup baseline does not.</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Statistical comparisons of HGB, namely McNemar tests against the lookup baseline on the 20,320 test reports at the default and capacity thresholds, row-wise and clustered by the 6,724 test mine-years, paired tests against the MLP on the five cross-validation folds of PR-AUC, and 95% percentile bootstrap intervals (1,000 resamples) of test metrics by rows and by mine-years.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Comparison</w:t>
            </w:r>
          </w:p>
        </w:tc>
        <w:tc>
          <w:tcPr>
            <w:tcW w:type="dxa" w:w="2256"/>
            <w:shd w:val="clear" w:color="auto" w:fill="E7E6E6"/>
          </w:tcPr>
          <w:p>
            <w:pPr>
              <w:jc w:val="left"/>
            </w:pPr>
            <w:r>
              <w:rPr>
                <w:b/>
              </w:rPr>
            </w:r>
            <w:r>
              <w:rPr>
                <w:rFonts w:ascii="Times New Roman" w:hAnsi="Times New Roman"/>
                <w:b/>
                <w:sz w:val="22"/>
              </w:rPr>
              <w:t>Test</w:t>
            </w:r>
          </w:p>
        </w:tc>
        <w:tc>
          <w:tcPr>
            <w:tcW w:type="dxa" w:w="2256"/>
            <w:shd w:val="clear" w:color="auto" w:fill="E7E6E6"/>
          </w:tcPr>
          <w:p>
            <w:pPr>
              <w:jc w:val="left"/>
            </w:pPr>
            <w:r>
              <w:rPr>
                <w:b/>
              </w:rPr>
            </w:r>
            <w:r>
              <w:rPr>
                <w:rFonts w:ascii="Times New Roman" w:hAnsi="Times New Roman"/>
                <w:b/>
                <w:sz w:val="22"/>
              </w:rPr>
              <w:t>Result</w:t>
            </w:r>
          </w:p>
        </w:tc>
        <w:tc>
          <w:tcPr>
            <w:tcW w:type="dxa" w:w="2256"/>
            <w:shd w:val="clear" w:color="auto" w:fill="E7E6E6"/>
          </w:tcPr>
          <w:p>
            <w:pPr>
              <w:jc w:val="left"/>
            </w:pPr>
            <w:r>
              <w:rPr>
                <w:b/>
              </w:rPr>
            </w:r>
            <w:r>
              <w:rPr>
                <w:rFonts w:ascii="Times New Roman" w:hAnsi="Times New Roman"/>
                <w:b/>
                <w:sz w:val="22"/>
              </w:rPr>
              <w:t>p-value</w:t>
            </w:r>
          </w:p>
        </w:tc>
      </w:tr>
      <w:tr>
        <w:tc>
          <w:tcPr>
            <w:tcW w:type="dxa" w:w="2256"/>
          </w:tcPr>
          <w:p>
            <w:pPr>
              <w:spacing w:after="0"/>
              <w:jc w:val="left"/>
            </w:pPr>
            <w:r/>
            <w:r>
              <w:rPr>
                <w:rFonts w:ascii="Times New Roman" w:hAnsi="Times New Roman"/>
                <w:sz w:val="22"/>
              </w:rPr>
              <w:t>HGB against lookup baseline, threshold 0.5</w:t>
            </w:r>
          </w:p>
        </w:tc>
        <w:tc>
          <w:tcPr>
            <w:tcW w:type="dxa" w:w="2256"/>
          </w:tcPr>
          <w:p>
            <w:pPr>
              <w:spacing w:after="0"/>
              <w:jc w:val="left"/>
            </w:pPr>
            <w:r/>
            <w:r>
              <w:rPr>
                <w:rFonts w:ascii="Times New Roman" w:hAnsi="Times New Roman"/>
                <w:sz w:val="22"/>
              </w:rPr>
              <w:t>McNemar, rows treated as independent</w:t>
            </w:r>
          </w:p>
        </w:tc>
        <w:tc>
          <w:tcPr>
            <w:tcW w:type="dxa" w:w="2256"/>
          </w:tcPr>
          <w:p>
            <w:pPr>
              <w:spacing w:after="0"/>
              <w:jc w:val="left"/>
            </w:pPr>
            <w:r/>
            <w:r>
              <w:rPr>
                <w:rFonts w:ascii="Times New Roman" w:hAnsi="Times New Roman"/>
                <w:sz w:val="22"/>
              </w:rPr>
              <w:t>chi-square 131.7; HGB alone correct on 1,929 reports, lookup baseline alone on 1,278</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lookup baseline, threshold 0.5</w:t>
            </w:r>
          </w:p>
        </w:tc>
        <w:tc>
          <w:tcPr>
            <w:tcW w:type="dxa" w:w="2256"/>
          </w:tcPr>
          <w:p>
            <w:pPr>
              <w:spacing w:after="0"/>
              <w:jc w:val="left"/>
            </w:pPr>
            <w:r/>
            <w:r>
              <w:rPr>
                <w:rFonts w:ascii="Times New Roman" w:hAnsi="Times New Roman"/>
                <w:sz w:val="22"/>
              </w:rPr>
              <w:t>McNemar clustered by mine-year (Durkalski et al., 2003)</w:t>
            </w:r>
          </w:p>
        </w:tc>
        <w:tc>
          <w:tcPr>
            <w:tcW w:type="dxa" w:w="2256"/>
          </w:tcPr>
          <w:p>
            <w:pPr>
              <w:spacing w:after="0"/>
              <w:jc w:val="left"/>
            </w:pPr>
            <w:r/>
            <w:r>
              <w:rPr>
                <w:rFonts w:ascii="Times New Roman" w:hAnsi="Times New Roman"/>
                <w:sz w:val="22"/>
              </w:rPr>
              <w:t>chi-square 78.5</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lookup baseline, capacity thresholds (0.210 and 0.225)</w:t>
            </w:r>
          </w:p>
        </w:tc>
        <w:tc>
          <w:tcPr>
            <w:tcW w:type="dxa" w:w="2256"/>
          </w:tcPr>
          <w:p>
            <w:pPr>
              <w:spacing w:after="0"/>
              <w:jc w:val="left"/>
            </w:pPr>
            <w:r/>
            <w:r>
              <w:rPr>
                <w:rFonts w:ascii="Times New Roman" w:hAnsi="Times New Roman"/>
                <w:sz w:val="22"/>
              </w:rPr>
              <w:t>McNemar, rows treated as independent</w:t>
            </w:r>
          </w:p>
        </w:tc>
        <w:tc>
          <w:tcPr>
            <w:tcW w:type="dxa" w:w="2256"/>
          </w:tcPr>
          <w:p>
            <w:pPr>
              <w:spacing w:after="0"/>
              <w:jc w:val="left"/>
            </w:pPr>
            <w:r/>
            <w:r>
              <w:rPr>
                <w:rFonts w:ascii="Times New Roman" w:hAnsi="Times New Roman"/>
                <w:sz w:val="22"/>
              </w:rPr>
              <w:t>chi-square 35.2; 1,289 against 1,004 reports</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lookup baseline, capacity thresholds</w:t>
            </w:r>
          </w:p>
        </w:tc>
        <w:tc>
          <w:tcPr>
            <w:tcW w:type="dxa" w:w="2256"/>
          </w:tcPr>
          <w:p>
            <w:pPr>
              <w:spacing w:after="0"/>
              <w:jc w:val="left"/>
            </w:pPr>
            <w:r/>
            <w:r>
              <w:rPr>
                <w:rFonts w:ascii="Times New Roman" w:hAnsi="Times New Roman"/>
                <w:sz w:val="22"/>
              </w:rPr>
              <w:t>McNemar clustered by mine-year (Durkalski et al., 2003)</w:t>
            </w:r>
          </w:p>
        </w:tc>
        <w:tc>
          <w:tcPr>
            <w:tcW w:type="dxa" w:w="2256"/>
          </w:tcPr>
          <w:p>
            <w:pPr>
              <w:spacing w:after="0"/>
              <w:jc w:val="left"/>
            </w:pPr>
            <w:r/>
            <w:r>
              <w:rPr>
                <w:rFonts w:ascii="Times New Roman" w:hAnsi="Times New Roman"/>
                <w:sz w:val="22"/>
              </w:rPr>
              <w:t>chi-square 24.4</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paired t-test</w:t>
            </w:r>
          </w:p>
        </w:tc>
        <w:tc>
          <w:tcPr>
            <w:tcW w:type="dxa" w:w="2256"/>
          </w:tcPr>
          <w:p>
            <w:pPr>
              <w:spacing w:after="0"/>
              <w:jc w:val="left"/>
            </w:pPr>
            <w:r/>
            <w:r>
              <w:rPr>
                <w:rFonts w:ascii="Times New Roman" w:hAnsi="Times New Roman"/>
                <w:sz w:val="22"/>
              </w:rPr>
              <w:t>mean difference 0.0054 (SD 0.0028); HGB higher in all five folds; t = 4.36</w:t>
            </w:r>
          </w:p>
        </w:tc>
        <w:tc>
          <w:tcPr>
            <w:tcW w:type="dxa" w:w="2256"/>
          </w:tcPr>
          <w:p>
            <w:pPr>
              <w:spacing w:after="0"/>
              <w:jc w:val="left"/>
            </w:pPr>
            <w:r/>
            <w:r>
              <w:rPr>
                <w:rFonts w:ascii="Times New Roman" w:hAnsi="Times New Roman"/>
                <w:sz w:val="22"/>
              </w:rPr>
              <w:t>0.012</w:t>
            </w:r>
          </w:p>
        </w:tc>
      </w:tr>
      <w:t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corrected resampled t-test (Nadeau and Bengio, 2003)</w:t>
            </w:r>
          </w:p>
        </w:tc>
        <w:tc>
          <w:tcPr>
            <w:tcW w:type="dxa" w:w="2256"/>
          </w:tcPr>
          <w:p>
            <w:pPr>
              <w:spacing w:after="0"/>
              <w:jc w:val="left"/>
            </w:pPr>
            <w:r/>
            <w:r>
              <w:rPr>
                <w:rFonts w:ascii="Times New Roman" w:hAnsi="Times New Roman"/>
                <w:sz w:val="22"/>
              </w:rPr>
              <w:t>t = 2.90</w:t>
            </w:r>
          </w:p>
        </w:tc>
        <w:tc>
          <w:tcPr>
            <w:tcW w:type="dxa" w:w="2256"/>
          </w:tcPr>
          <w:p>
            <w:pPr>
              <w:spacing w:after="0"/>
              <w:jc w:val="left"/>
            </w:pPr>
            <w:r/>
            <w:r>
              <w:rPr>
                <w:rFonts w:ascii="Times New Roman" w:hAnsi="Times New Roman"/>
                <w:sz w:val="22"/>
              </w:rPr>
              <w:t>0.044</w:t>
            </w:r>
          </w:p>
        </w:tc>
      </w:tr>
      <w:t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Wilcoxon signed-rank</w:t>
            </w:r>
          </w:p>
        </w:tc>
        <w:tc>
          <w:tcPr>
            <w:tcW w:type="dxa" w:w="2256"/>
          </w:tcPr>
          <w:p>
            <w:pPr>
              <w:spacing w:after="0"/>
              <w:jc w:val="left"/>
            </w:pPr>
            <w:r/>
            <w:r>
              <w:rPr>
                <w:rFonts w:ascii="Times New Roman" w:hAnsi="Times New Roman"/>
                <w:sz w:val="22"/>
              </w:rPr>
              <w:t>W = 0</w:t>
            </w:r>
          </w:p>
        </w:tc>
        <w:tc>
          <w:tcPr>
            <w:tcW w:type="dxa" w:w="2256"/>
          </w:tcPr>
          <w:p>
            <w:pPr>
              <w:spacing w:after="0"/>
              <w:jc w:val="left"/>
            </w:pPr>
            <w:r/>
            <w:r>
              <w:rPr>
                <w:rFonts w:ascii="Times New Roman" w:hAnsi="Times New Roman"/>
                <w:sz w:val="22"/>
              </w:rPr>
              <w:t>0.0625, the smallest value possible with five folds</w:t>
            </w:r>
          </w:p>
        </w:tc>
      </w:tr>
      <w:tr>
        <w:tc>
          <w:tcPr>
            <w:tcW w:type="dxa" w:w="2256"/>
          </w:tcPr>
          <w:p>
            <w:pPr>
              <w:spacing w:after="0"/>
              <w:jc w:val="left"/>
            </w:pPr>
            <w:r/>
            <w:r>
              <w:rPr>
                <w:rFonts w:ascii="Times New Roman" w:hAnsi="Times New Roman"/>
                <w:sz w:val="22"/>
              </w:rPr>
              <w:t>HGB, test PR-AUC 0.841</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0.835 to 0.848; 0.825 to 0.856</w:t>
            </w:r>
          </w:p>
        </w:tc>
        <w:tc>
          <w:tcPr>
            <w:tcW w:type="dxa" w:w="2256"/>
          </w:tcPr>
          <w:p>
            <w:pPr>
              <w:spacing w:after="0"/>
              <w:jc w:val="left"/>
            </w:pPr>
            <w:r/>
          </w:p>
        </w:tc>
      </w:tr>
      <w:tr>
        <w:tc>
          <w:tcPr>
            <w:tcW w:type="dxa" w:w="2256"/>
          </w:tcPr>
          <w:p>
            <w:pPr>
              <w:spacing w:after="0"/>
              <w:jc w:val="left"/>
            </w:pPr>
            <w:r/>
            <w:r>
              <w:rPr>
                <w:rFonts w:ascii="Times New Roman" w:hAnsi="Times New Roman"/>
                <w:sz w:val="22"/>
              </w:rPr>
              <w:t>HGB, test ROC-AUC 0.843</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0.838 to 0.848; 0.835 to 0.851</w:t>
            </w:r>
          </w:p>
        </w:tc>
        <w:tc>
          <w:tcPr>
            <w:tcW w:type="dxa" w:w="2256"/>
          </w:tcPr>
          <w:p>
            <w:pPr>
              <w:spacing w:after="0"/>
              <w:jc w:val="left"/>
            </w:pPr>
            <w:r/>
          </w:p>
        </w:tc>
      </w:tr>
      <w:tr>
        <w:tc>
          <w:tcPr>
            <w:tcW w:type="dxa" w:w="2256"/>
          </w:tcPr>
          <w:p>
            <w:pPr>
              <w:spacing w:after="0"/>
              <w:jc w:val="left"/>
            </w:pPr>
            <w:r/>
            <w:r>
              <w:rPr>
                <w:rFonts w:ascii="Times New Roman" w:hAnsi="Times New Roman"/>
                <w:sz w:val="22"/>
              </w:rPr>
              <w:t>HGB, recall 0.943 at the capacity threshold</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0.939 to 0.947; 0.938 to 0.949</w:t>
            </w:r>
          </w:p>
        </w:tc>
        <w:tc>
          <w:tcPr>
            <w:tcW w:type="dxa" w:w="2256"/>
          </w:tcPr>
          <w:p>
            <w:pPr>
              <w:spacing w:after="0"/>
              <w:jc w:val="left"/>
            </w:pPr>
            <w:r/>
          </w:p>
        </w:tc>
      </w:tr>
    </w:tbl>
    <w:p>
      <w:pPr>
        <w:spacing w:after="80"/>
      </w:pPr>
    </w:p>
    <w:p>
      <w:r>
        <w:rPr>
          <w:rFonts w:ascii="Times New Roman" w:hAnsi="Times New Roman"/>
          <w:sz w:val="24"/>
        </w:rPr>
        <w:t>I selected HGB by the rule fixed before any test score was computed, the highest cross-validated PR-AUC, where its lead over the MLP exceeds one fold standard deviation (Table 11). Table 15 reports test-set evidence that checks this choice but did not make it. HGB has the lowest expected cost at the three low cost ratios, and its thresholds landed nearer their targets, where the MLP over-flagged. At an equal workload both catch the same share of lost-time cases. On the temporal split HGB kept the higher PR-AUC, and its specificity barely moved when the 103(i) status or the immediate-reporting flag was removed, unlike the MLP's.</w:t>
      </w:r>
    </w:p>
    <w:p>
      <w:r>
        <w:rPr>
          <w:rFonts w:ascii="Times New Roman" w:hAnsi="Times New Roman"/>
          <w:sz w:val="24"/>
        </w:rPr>
        <w:t>Its permutation importance puts nature of injury and body part first (Figure 18), as do most of the largest logistic coefficients, and two of its four largest mean SHAP values (Table 23; Lundberg and Lee, 2017), for cuts and finger injuries, match negative coefficients (Figure 19). The final pipeline uses the settings of Table 10, refitted on all training rows, at its out-of-fold capacity threshold (Table 16; Figure 20). There it flags about three test reports in four and misses 561 of 9,873 lost-time cases, against 830 misses for the lookup baseline at about the same specificity.</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Multi-criteria comparison of the four strongest tuned models and the SVM, compiled after HGB was selected by cross-validated PR-AUC: test-set cost at the out-of-fold cost-optimal thresholds, transfer of out-of-fold threshold targets to the test set, recall at one equal workload, the temporal split (top two only), explanations, run times on eight workers and the size of the saved pipeline.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2"/>
              </w:rPr>
              <w:t>Criterion</w:t>
            </w:r>
          </w:p>
        </w:tc>
        <w:tc>
          <w:tcPr>
            <w:tcW w:type="dxa" w:w="1504"/>
            <w:shd w:val="clear" w:color="auto" w:fill="E7E6E6"/>
          </w:tcPr>
          <w:p>
            <w:pPr>
              <w:jc w:val="left"/>
            </w:pPr>
            <w:r>
              <w:rPr>
                <w:b/>
              </w:rPr>
            </w:r>
            <w:r>
              <w:rPr>
                <w:rFonts w:ascii="Times New Roman" w:hAnsi="Times New Roman"/>
                <w:b/>
                <w:sz w:val="22"/>
              </w:rPr>
              <w:t>HGB</w:t>
            </w:r>
          </w:p>
        </w:tc>
        <w:tc>
          <w:tcPr>
            <w:tcW w:type="dxa" w:w="1504"/>
            <w:shd w:val="clear" w:color="auto" w:fill="E7E6E6"/>
          </w:tcPr>
          <w:p>
            <w:pPr>
              <w:jc w:val="left"/>
            </w:pPr>
            <w:r>
              <w:rPr>
                <w:b/>
              </w:rPr>
            </w:r>
            <w:r>
              <w:rPr>
                <w:rFonts w:ascii="Times New Roman" w:hAnsi="Times New Roman"/>
                <w:b/>
                <w:sz w:val="22"/>
              </w:rPr>
              <w:t>MLP</w:t>
            </w:r>
          </w:p>
        </w:tc>
        <w:tc>
          <w:tcPr>
            <w:tcW w:type="dxa" w:w="1504"/>
            <w:shd w:val="clear" w:color="auto" w:fill="E7E6E6"/>
          </w:tcPr>
          <w:p>
            <w:pPr>
              <w:jc w:val="left"/>
            </w:pPr>
            <w:r>
              <w:rPr>
                <w:b/>
              </w:rPr>
            </w:r>
            <w:r>
              <w:rPr>
                <w:rFonts w:ascii="Times New Roman" w:hAnsi="Times New Roman"/>
                <w:b/>
                <w:sz w:val="22"/>
              </w:rPr>
              <w:t>Random forest</w:t>
            </w:r>
          </w:p>
        </w:tc>
        <w:tc>
          <w:tcPr>
            <w:tcW w:type="dxa" w:w="1504"/>
            <w:shd w:val="clear" w:color="auto" w:fill="E7E6E6"/>
          </w:tcPr>
          <w:p>
            <w:pPr>
              <w:jc w:val="left"/>
            </w:pPr>
            <w:r>
              <w:rPr>
                <w:b/>
              </w:rPr>
            </w:r>
            <w:r>
              <w:rPr>
                <w:rFonts w:ascii="Times New Roman" w:hAnsi="Times New Roman"/>
                <w:b/>
                <w:sz w:val="22"/>
              </w:rPr>
              <w:t>Logistic regression</w:t>
            </w:r>
          </w:p>
        </w:tc>
        <w:tc>
          <w:tcPr>
            <w:tcW w:type="dxa" w:w="1504"/>
            <w:shd w:val="clear" w:color="auto" w:fill="E7E6E6"/>
          </w:tcPr>
          <w:p>
            <w:pPr>
              <w:jc w:val="left"/>
            </w:pPr>
            <w:r>
              <w:rPr>
                <w:b/>
              </w:rPr>
            </w:r>
            <w:r>
              <w:rPr>
                <w:rFonts w:ascii="Times New Roman" w:hAnsi="Times New Roman"/>
                <w:b/>
                <w:sz w:val="22"/>
              </w:rPr>
              <w:t>SVM, RBF kernel</w:t>
            </w:r>
          </w:p>
        </w:tc>
      </w:tr>
      <w:tr>
        <w:tc>
          <w:tcPr>
            <w:tcW w:type="dxa" w:w="1504"/>
          </w:tcPr>
          <w:p>
            <w:pPr>
              <w:spacing w:after="0"/>
              <w:jc w:val="left"/>
            </w:pPr>
            <w:r/>
            <w:r>
              <w:rPr>
                <w:rFonts w:ascii="Times New Roman" w:hAnsi="Times New Roman"/>
                <w:sz w:val="22"/>
              </w:rPr>
              <w:t>Cross-validated PR-AUC (rank of eight)</w:t>
            </w:r>
          </w:p>
        </w:tc>
        <w:tc>
          <w:tcPr>
            <w:tcW w:type="dxa" w:w="1504"/>
          </w:tcPr>
          <w:p>
            <w:pPr>
              <w:spacing w:after="0"/>
              <w:jc w:val="left"/>
            </w:pPr>
            <w:r/>
            <w:r>
              <w:rPr>
                <w:rFonts w:ascii="Times New Roman" w:hAnsi="Times New Roman"/>
                <w:sz w:val="22"/>
              </w:rPr>
              <w:t>0.838 (1)</w:t>
            </w:r>
          </w:p>
        </w:tc>
        <w:tc>
          <w:tcPr>
            <w:tcW w:type="dxa" w:w="1504"/>
          </w:tcPr>
          <w:p>
            <w:pPr>
              <w:spacing w:after="0"/>
              <w:jc w:val="left"/>
            </w:pPr>
            <w:r/>
            <w:r>
              <w:rPr>
                <w:rFonts w:ascii="Times New Roman" w:hAnsi="Times New Roman"/>
                <w:sz w:val="22"/>
              </w:rPr>
              <w:t>0.833 (2)</w:t>
            </w:r>
          </w:p>
        </w:tc>
        <w:tc>
          <w:tcPr>
            <w:tcW w:type="dxa" w:w="1504"/>
          </w:tcPr>
          <w:p>
            <w:pPr>
              <w:spacing w:after="0"/>
              <w:jc w:val="left"/>
            </w:pPr>
            <w:r/>
            <w:r>
              <w:rPr>
                <w:rFonts w:ascii="Times New Roman" w:hAnsi="Times New Roman"/>
                <w:sz w:val="22"/>
              </w:rPr>
              <w:t>0.821 (3)</w:t>
            </w:r>
          </w:p>
        </w:tc>
        <w:tc>
          <w:tcPr>
            <w:tcW w:type="dxa" w:w="1504"/>
          </w:tcPr>
          <w:p>
            <w:pPr>
              <w:spacing w:after="0"/>
              <w:jc w:val="left"/>
            </w:pPr>
            <w:r/>
            <w:r>
              <w:rPr>
                <w:rFonts w:ascii="Times New Roman" w:hAnsi="Times New Roman"/>
                <w:sz w:val="22"/>
              </w:rPr>
              <w:t>0.820 (4)</w:t>
            </w:r>
          </w:p>
        </w:tc>
        <w:tc>
          <w:tcPr>
            <w:tcW w:type="dxa" w:w="1504"/>
          </w:tcPr>
          <w:p>
            <w:pPr>
              <w:spacing w:after="0"/>
              <w:jc w:val="left"/>
            </w:pPr>
            <w:r/>
            <w:r>
              <w:rPr>
                <w:rFonts w:ascii="Times New Roman" w:hAnsi="Times New Roman"/>
                <w:sz w:val="22"/>
              </w:rPr>
              <w:t>0.795 (6)</w:t>
            </w:r>
          </w:p>
        </w:tc>
      </w:tr>
      <w:tr>
        <w:tc>
          <w:tcPr>
            <w:tcW w:type="dxa" w:w="1504"/>
          </w:tcPr>
          <w:p>
            <w:pPr>
              <w:spacing w:after="0"/>
              <w:jc w:val="left"/>
            </w:pPr>
            <w:r/>
            <w:r>
              <w:rPr>
                <w:rFonts w:ascii="Times New Roman" w:hAnsi="Times New Roman"/>
                <w:sz w:val="22"/>
              </w:rPr>
              <w:t>Test PR-AUC</w:t>
            </w:r>
          </w:p>
        </w:tc>
        <w:tc>
          <w:tcPr>
            <w:tcW w:type="dxa" w:w="1504"/>
          </w:tcPr>
          <w:p>
            <w:pPr>
              <w:spacing w:after="0"/>
              <w:jc w:val="left"/>
            </w:pPr>
            <w:r/>
            <w:r>
              <w:rPr>
                <w:rFonts w:ascii="Times New Roman" w:hAnsi="Times New Roman"/>
                <w:sz w:val="22"/>
              </w:rPr>
              <w:t>0.841</w:t>
            </w:r>
          </w:p>
        </w:tc>
        <w:tc>
          <w:tcPr>
            <w:tcW w:type="dxa" w:w="1504"/>
          </w:tcPr>
          <w:p>
            <w:pPr>
              <w:spacing w:after="0"/>
              <w:jc w:val="left"/>
            </w:pPr>
            <w:r/>
            <w:r>
              <w:rPr>
                <w:rFonts w:ascii="Times New Roman" w:hAnsi="Times New Roman"/>
                <w:sz w:val="22"/>
              </w:rPr>
              <w:t>0.837</w:t>
            </w:r>
          </w:p>
        </w:tc>
        <w:tc>
          <w:tcPr>
            <w:tcW w:type="dxa" w:w="1504"/>
          </w:tcPr>
          <w:p>
            <w:pPr>
              <w:spacing w:after="0"/>
              <w:jc w:val="left"/>
            </w:pPr>
            <w:r/>
            <w:r>
              <w:rPr>
                <w:rFonts w:ascii="Times New Roman" w:hAnsi="Times New Roman"/>
                <w:sz w:val="22"/>
              </w:rPr>
              <w:t>0.827</w:t>
            </w:r>
          </w:p>
        </w:tc>
        <w:tc>
          <w:tcPr>
            <w:tcW w:type="dxa" w:w="1504"/>
          </w:tcPr>
          <w:p>
            <w:pPr>
              <w:spacing w:after="0"/>
              <w:jc w:val="left"/>
            </w:pPr>
            <w:r/>
            <w:r>
              <w:rPr>
                <w:rFonts w:ascii="Times New Roman" w:hAnsi="Times New Roman"/>
                <w:sz w:val="22"/>
              </w:rPr>
              <w:t>0.825</w:t>
            </w:r>
          </w:p>
        </w:tc>
        <w:tc>
          <w:tcPr>
            <w:tcW w:type="dxa" w:w="1504"/>
          </w:tcPr>
          <w:p>
            <w:pPr>
              <w:spacing w:after="0"/>
              <w:jc w:val="left"/>
            </w:pPr>
            <w:r/>
            <w:r>
              <w:rPr>
                <w:rFonts w:ascii="Times New Roman" w:hAnsi="Times New Roman"/>
                <w:sz w:val="22"/>
              </w:rPr>
              <w:t>0.811</w:t>
            </w:r>
          </w:p>
        </w:tc>
      </w:tr>
      <w:tr>
        <w:tc>
          <w:tcPr>
            <w:tcW w:type="dxa" w:w="1504"/>
          </w:tcPr>
          <w:p>
            <w:pPr>
              <w:spacing w:after="0"/>
              <w:jc w:val="left"/>
            </w:pPr>
            <w:r/>
            <w:r>
              <w:rPr>
                <w:rFonts w:ascii="Times New Roman" w:hAnsi="Times New Roman"/>
                <w:sz w:val="22"/>
              </w:rPr>
              <w:t>Test cost per 1,000 cases at 2:1 / 3:1 / 5:1 (USD)</w:t>
            </w:r>
          </w:p>
        </w:tc>
        <w:tc>
          <w:tcPr>
            <w:tcW w:type="dxa" w:w="1504"/>
          </w:tcPr>
          <w:p>
            <w:pPr>
              <w:spacing w:after="0"/>
              <w:jc w:val="left"/>
            </w:pPr>
            <w:r/>
            <w:r>
              <w:rPr>
                <w:rFonts w:ascii="Times New Roman" w:hAnsi="Times New Roman"/>
                <w:sz w:val="22"/>
              </w:rPr>
              <w:t>65,896 / 77,697 / 87,638</w:t>
            </w:r>
          </w:p>
        </w:tc>
        <w:tc>
          <w:tcPr>
            <w:tcW w:type="dxa" w:w="1504"/>
          </w:tcPr>
          <w:p>
            <w:pPr>
              <w:spacing w:after="0"/>
              <w:jc w:val="left"/>
            </w:pPr>
            <w:r/>
            <w:r>
              <w:rPr>
                <w:rFonts w:ascii="Times New Roman" w:hAnsi="Times New Roman"/>
                <w:sz w:val="22"/>
              </w:rPr>
              <w:t>67,274 / 78,031 / 89,085</w:t>
            </w:r>
          </w:p>
        </w:tc>
        <w:tc>
          <w:tcPr>
            <w:tcW w:type="dxa" w:w="1504"/>
          </w:tcPr>
          <w:p>
            <w:pPr>
              <w:spacing w:after="0"/>
              <w:jc w:val="left"/>
            </w:pPr>
            <w:r/>
            <w:r>
              <w:rPr>
                <w:rFonts w:ascii="Times New Roman" w:hAnsi="Times New Roman"/>
                <w:sz w:val="22"/>
              </w:rPr>
              <w:t>67,648 / 78,839 / 90,463</w:t>
            </w:r>
          </w:p>
        </w:tc>
        <w:tc>
          <w:tcPr>
            <w:tcW w:type="dxa" w:w="1504"/>
          </w:tcPr>
          <w:p>
            <w:pPr>
              <w:spacing w:after="0"/>
              <w:jc w:val="left"/>
            </w:pPr>
            <w:r/>
            <w:r>
              <w:rPr>
                <w:rFonts w:ascii="Times New Roman" w:hAnsi="Times New Roman"/>
                <w:sz w:val="22"/>
              </w:rPr>
              <w:t>68,760 / 80,079 / 90,945</w:t>
            </w:r>
          </w:p>
        </w:tc>
        <w:tc>
          <w:tcPr>
            <w:tcW w:type="dxa" w:w="1504"/>
          </w:tcPr>
          <w:p>
            <w:pPr>
              <w:spacing w:after="0"/>
              <w:jc w:val="left"/>
            </w:pPr>
            <w:r/>
            <w:r>
              <w:rPr>
                <w:rFonts w:ascii="Times New Roman" w:hAnsi="Times New Roman"/>
                <w:sz w:val="22"/>
              </w:rPr>
              <w:t>70,955 / 82,234 / 93,317</w:t>
            </w:r>
          </w:p>
        </w:tc>
      </w:tr>
      <w:tr>
        <w:tc>
          <w:tcPr>
            <w:tcW w:type="dxa" w:w="1504"/>
          </w:tcPr>
          <w:p>
            <w:pPr>
              <w:spacing w:after="0"/>
              <w:jc w:val="left"/>
            </w:pPr>
            <w:r/>
            <w:r>
              <w:rPr>
                <w:rFonts w:ascii="Times New Roman" w:hAnsi="Times New Roman"/>
                <w:sz w:val="22"/>
              </w:rPr>
              <w:t>Test specificity at the out-of-fold threshold for specificity 0.40</w:t>
            </w:r>
          </w:p>
        </w:tc>
        <w:tc>
          <w:tcPr>
            <w:tcW w:type="dxa" w:w="1504"/>
          </w:tcPr>
          <w:p>
            <w:pPr>
              <w:spacing w:after="0"/>
              <w:jc w:val="left"/>
            </w:pPr>
            <w:r/>
            <w:r>
              <w:rPr>
                <w:rFonts w:ascii="Times New Roman" w:hAnsi="Times New Roman"/>
                <w:sz w:val="22"/>
              </w:rPr>
              <w:t>0.403</w:t>
            </w:r>
          </w:p>
        </w:tc>
        <w:tc>
          <w:tcPr>
            <w:tcW w:type="dxa" w:w="1504"/>
          </w:tcPr>
          <w:p>
            <w:pPr>
              <w:spacing w:after="0"/>
              <w:jc w:val="left"/>
            </w:pPr>
            <w:r/>
            <w:r>
              <w:rPr>
                <w:rFonts w:ascii="Times New Roman" w:hAnsi="Times New Roman"/>
                <w:sz w:val="22"/>
              </w:rPr>
              <w:t>0.373</w:t>
            </w:r>
          </w:p>
        </w:tc>
        <w:tc>
          <w:tcPr>
            <w:tcW w:type="dxa" w:w="1504"/>
          </w:tcPr>
          <w:p>
            <w:pPr>
              <w:spacing w:after="0"/>
              <w:jc w:val="left"/>
            </w:pPr>
            <w:r/>
            <w:r>
              <w:rPr>
                <w:rFonts w:ascii="Times New Roman" w:hAnsi="Times New Roman"/>
                <w:sz w:val="22"/>
              </w:rPr>
              <w:t>0.408</w:t>
            </w:r>
          </w:p>
        </w:tc>
        <w:tc>
          <w:tcPr>
            <w:tcW w:type="dxa" w:w="1504"/>
          </w:tcPr>
          <w:p>
            <w:pPr>
              <w:spacing w:after="0"/>
              <w:jc w:val="left"/>
            </w:pPr>
            <w:r/>
            <w:r>
              <w:rPr>
                <w:rFonts w:ascii="Times New Roman" w:hAnsi="Times New Roman"/>
                <w:sz w:val="22"/>
              </w:rPr>
              <w:t>0.405</w:t>
            </w:r>
          </w:p>
        </w:tc>
        <w:tc>
          <w:tcPr>
            <w:tcW w:type="dxa" w:w="1504"/>
          </w:tcPr>
          <w:p>
            <w:pPr>
              <w:spacing w:after="0"/>
              <w:jc w:val="left"/>
            </w:pPr>
            <w:r/>
            <w:r>
              <w:rPr>
                <w:rFonts w:ascii="Times New Roman" w:hAnsi="Times New Roman"/>
                <w:sz w:val="22"/>
              </w:rPr>
              <w:t>0.411</w:t>
            </w:r>
          </w:p>
        </w:tc>
      </w:tr>
      <w:tr>
        <w:tc>
          <w:tcPr>
            <w:tcW w:type="dxa" w:w="1504"/>
          </w:tcPr>
          <w:p>
            <w:pPr>
              <w:spacing w:after="0"/>
              <w:jc w:val="left"/>
            </w:pPr>
            <w:r/>
            <w:r>
              <w:rPr>
                <w:rFonts w:ascii="Times New Roman" w:hAnsi="Times New Roman"/>
                <w:sz w:val="22"/>
              </w:rPr>
              <w:t>Test flag rate at the out-of-fold threshold for a 50% flag rate</w:t>
            </w:r>
          </w:p>
        </w:tc>
        <w:tc>
          <w:tcPr>
            <w:tcW w:type="dxa" w:w="1504"/>
          </w:tcPr>
          <w:p>
            <w:pPr>
              <w:spacing w:after="0"/>
              <w:jc w:val="left"/>
            </w:pPr>
            <w:r/>
            <w:r>
              <w:rPr>
                <w:rFonts w:ascii="Times New Roman" w:hAnsi="Times New Roman"/>
                <w:sz w:val="22"/>
              </w:rPr>
              <w:t>0.506</w:t>
            </w:r>
          </w:p>
        </w:tc>
        <w:tc>
          <w:tcPr>
            <w:tcW w:type="dxa" w:w="1504"/>
          </w:tcPr>
          <w:p>
            <w:pPr>
              <w:spacing w:after="0"/>
              <w:jc w:val="left"/>
            </w:pPr>
            <w:r/>
            <w:r>
              <w:rPr>
                <w:rFonts w:ascii="Times New Roman" w:hAnsi="Times New Roman"/>
                <w:sz w:val="22"/>
              </w:rPr>
              <w:t>0.525</w:t>
            </w:r>
          </w:p>
        </w:tc>
        <w:tc>
          <w:tcPr>
            <w:tcW w:type="dxa" w:w="1504"/>
          </w:tcPr>
          <w:p>
            <w:pPr>
              <w:spacing w:after="0"/>
              <w:jc w:val="left"/>
            </w:pPr>
            <w:r/>
            <w:r>
              <w:rPr>
                <w:rFonts w:ascii="Times New Roman" w:hAnsi="Times New Roman"/>
                <w:sz w:val="22"/>
              </w:rPr>
              <w:t>0.497</w:t>
            </w:r>
          </w:p>
        </w:tc>
        <w:tc>
          <w:tcPr>
            <w:tcW w:type="dxa" w:w="1504"/>
          </w:tcPr>
          <w:p>
            <w:pPr>
              <w:spacing w:after="0"/>
              <w:jc w:val="left"/>
            </w:pPr>
            <w:r/>
            <w:r>
              <w:rPr>
                <w:rFonts w:ascii="Times New Roman" w:hAnsi="Times New Roman"/>
                <w:sz w:val="22"/>
              </w:rPr>
              <w:t>0.498</w:t>
            </w:r>
          </w:p>
        </w:tc>
        <w:tc>
          <w:tcPr>
            <w:tcW w:type="dxa" w:w="1504"/>
          </w:tcPr>
          <w:p>
            <w:pPr>
              <w:spacing w:after="0"/>
              <w:jc w:val="left"/>
            </w:pPr>
            <w:r/>
            <w:r>
              <w:rPr>
                <w:rFonts w:ascii="Times New Roman" w:hAnsi="Times New Roman"/>
                <w:sz w:val="22"/>
              </w:rPr>
              <w:t>0.498</w:t>
            </w:r>
          </w:p>
        </w:tc>
      </w:tr>
      <w:tr>
        <w:tc>
          <w:tcPr>
            <w:tcW w:type="dxa" w:w="1504"/>
          </w:tcPr>
          <w:p>
            <w:pPr>
              <w:spacing w:after="0"/>
              <w:jc w:val="left"/>
            </w:pPr>
            <w:r/>
            <w:r>
              <w:rPr>
                <w:rFonts w:ascii="Times New Roman" w:hAnsi="Times New Roman"/>
                <w:sz w:val="22"/>
              </w:rPr>
              <w:t>Test recall at one equal workload, the top 75.9% of test scores (the median flag rate of the eight capacity thresholds)</w:t>
            </w:r>
          </w:p>
        </w:tc>
        <w:tc>
          <w:tcPr>
            <w:tcW w:type="dxa" w:w="1504"/>
          </w:tcPr>
          <w:p>
            <w:pPr>
              <w:spacing w:after="0"/>
              <w:jc w:val="left"/>
            </w:pPr>
            <w:r/>
            <w:r>
              <w:rPr>
                <w:rFonts w:ascii="Times New Roman" w:hAnsi="Times New Roman"/>
                <w:sz w:val="22"/>
              </w:rPr>
              <w:t>0.940</w:t>
            </w:r>
          </w:p>
        </w:tc>
        <w:tc>
          <w:tcPr>
            <w:tcW w:type="dxa" w:w="1504"/>
          </w:tcPr>
          <w:p>
            <w:pPr>
              <w:spacing w:after="0"/>
              <w:jc w:val="left"/>
            </w:pPr>
            <w:r/>
            <w:r>
              <w:rPr>
                <w:rFonts w:ascii="Times New Roman" w:hAnsi="Times New Roman"/>
                <w:sz w:val="22"/>
              </w:rPr>
              <w:t>0.940</w:t>
            </w:r>
          </w:p>
        </w:tc>
        <w:tc>
          <w:tcPr>
            <w:tcW w:type="dxa" w:w="1504"/>
          </w:tcPr>
          <w:p>
            <w:pPr>
              <w:spacing w:after="0"/>
              <w:jc w:val="left"/>
            </w:pPr>
            <w:r/>
            <w:r>
              <w:rPr>
                <w:rFonts w:ascii="Times New Roman" w:hAnsi="Times New Roman"/>
                <w:sz w:val="22"/>
              </w:rPr>
              <w:t>0.935</w:t>
            </w:r>
          </w:p>
        </w:tc>
        <w:tc>
          <w:tcPr>
            <w:tcW w:type="dxa" w:w="1504"/>
          </w:tcPr>
          <w:p>
            <w:pPr>
              <w:spacing w:after="0"/>
              <w:jc w:val="left"/>
            </w:pPr>
            <w:r/>
            <w:r>
              <w:rPr>
                <w:rFonts w:ascii="Times New Roman" w:hAnsi="Times New Roman"/>
                <w:sz w:val="22"/>
              </w:rPr>
              <w:t>0.933</w:t>
            </w:r>
          </w:p>
        </w:tc>
        <w:tc>
          <w:tcPr>
            <w:tcW w:type="dxa" w:w="1504"/>
          </w:tcPr>
          <w:p>
            <w:pPr>
              <w:spacing w:after="0"/>
              <w:jc w:val="left"/>
            </w:pPr>
            <w:r/>
            <w:r>
              <w:rPr>
                <w:rFonts w:ascii="Times New Roman" w:hAnsi="Times New Roman"/>
                <w:sz w:val="22"/>
              </w:rPr>
              <w:t>0.930</w:t>
            </w:r>
          </w:p>
        </w:tc>
      </w:tr>
      <w:tr>
        <w:tc>
          <w:tcPr>
            <w:tcW w:type="dxa" w:w="1504"/>
          </w:tcPr>
          <w:p>
            <w:pPr>
              <w:spacing w:after="0"/>
              <w:jc w:val="left"/>
            </w:pPr>
            <w:r/>
            <w:r>
              <w:rPr>
                <w:rFonts w:ascii="Times New Roman" w:hAnsi="Times New Roman"/>
                <w:sz w:val="22"/>
              </w:rPr>
              <w:t>Temporal split: PR-AUC on 2020-2025</w:t>
            </w:r>
          </w:p>
        </w:tc>
        <w:tc>
          <w:tcPr>
            <w:tcW w:type="dxa" w:w="1504"/>
          </w:tcPr>
          <w:p>
            <w:pPr>
              <w:spacing w:after="0"/>
              <w:jc w:val="left"/>
            </w:pPr>
            <w:r/>
            <w:r>
              <w:rPr>
                <w:rFonts w:ascii="Times New Roman" w:hAnsi="Times New Roman"/>
                <w:sz w:val="22"/>
              </w:rPr>
              <w:t>0.843</w:t>
            </w:r>
          </w:p>
        </w:tc>
        <w:tc>
          <w:tcPr>
            <w:tcW w:type="dxa" w:w="1504"/>
          </w:tcPr>
          <w:p>
            <w:pPr>
              <w:spacing w:after="0"/>
              <w:jc w:val="left"/>
            </w:pPr>
            <w:r/>
            <w:r>
              <w:rPr>
                <w:rFonts w:ascii="Times New Roman" w:hAnsi="Times New Roman"/>
                <w:sz w:val="22"/>
              </w:rPr>
              <w:t>0.834</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r>
      <w:tr>
        <w:tc>
          <w:tcPr>
            <w:tcW w:type="dxa" w:w="1504"/>
          </w:tcPr>
          <w:p>
            <w:pPr>
              <w:spacing w:after="0"/>
              <w:jc w:val="left"/>
            </w:pPr>
            <w:r/>
            <w:r>
              <w:rPr>
                <w:rFonts w:ascii="Times New Roman" w:hAnsi="Times New Roman"/>
                <w:sz w:val="22"/>
              </w:rPr>
              <w:t>Temporal split: specificity at the capacity threshold across three feature variants</w:t>
            </w:r>
          </w:p>
        </w:tc>
        <w:tc>
          <w:tcPr>
            <w:tcW w:type="dxa" w:w="1504"/>
          </w:tcPr>
          <w:p>
            <w:pPr>
              <w:spacing w:after="0"/>
              <w:jc w:val="left"/>
            </w:pPr>
            <w:r/>
            <w:r>
              <w:rPr>
                <w:rFonts w:ascii="Times New Roman" w:hAnsi="Times New Roman"/>
                <w:sz w:val="22"/>
              </w:rPr>
              <w:t>0.376 to 0.378</w:t>
            </w:r>
          </w:p>
        </w:tc>
        <w:tc>
          <w:tcPr>
            <w:tcW w:type="dxa" w:w="1504"/>
          </w:tcPr>
          <w:p>
            <w:pPr>
              <w:spacing w:after="0"/>
              <w:jc w:val="left"/>
            </w:pPr>
            <w:r/>
            <w:r>
              <w:rPr>
                <w:rFonts w:ascii="Times New Roman" w:hAnsi="Times New Roman"/>
                <w:sz w:val="22"/>
              </w:rPr>
              <w:t>0.313 to 0.425</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r>
      <w:tr>
        <w:tc>
          <w:tcPr>
            <w:tcW w:type="dxa" w:w="1504"/>
          </w:tcPr>
          <w:p>
            <w:pPr>
              <w:spacing w:after="0"/>
              <w:jc w:val="left"/>
            </w:pPr>
            <w:r/>
            <w:r>
              <w:rPr>
                <w:rFonts w:ascii="Times New Roman" w:hAnsi="Times New Roman"/>
                <w:sz w:val="22"/>
              </w:rPr>
              <w:t>Explanation available</w:t>
            </w:r>
          </w:p>
        </w:tc>
        <w:tc>
          <w:tcPr>
            <w:tcW w:type="dxa" w:w="1504"/>
          </w:tcPr>
          <w:p>
            <w:pPr>
              <w:spacing w:after="0"/>
              <w:jc w:val="left"/>
            </w:pPr>
            <w:r/>
            <w:r>
              <w:rPr>
                <w:rFonts w:ascii="Times New Roman" w:hAnsi="Times New Roman"/>
                <w:sz w:val="22"/>
              </w:rPr>
              <w:t>permutation importance; SHAP values</w:t>
            </w:r>
          </w:p>
        </w:tc>
        <w:tc>
          <w:tcPr>
            <w:tcW w:type="dxa" w:w="1504"/>
          </w:tcPr>
          <w:p>
            <w:pPr>
              <w:spacing w:after="0"/>
              <w:jc w:val="left"/>
            </w:pPr>
            <w:r/>
            <w:r>
              <w:rPr>
                <w:rFonts w:ascii="Times New Roman" w:hAnsi="Times New Roman"/>
                <w:sz w:val="22"/>
              </w:rPr>
              <w:t>permutation importance</w:t>
            </w:r>
          </w:p>
        </w:tc>
        <w:tc>
          <w:tcPr>
            <w:tcW w:type="dxa" w:w="1504"/>
          </w:tcPr>
          <w:p>
            <w:pPr>
              <w:spacing w:after="0"/>
              <w:jc w:val="left"/>
            </w:pPr>
            <w:r/>
            <w:r>
              <w:rPr>
                <w:rFonts w:ascii="Times New Roman" w:hAnsi="Times New Roman"/>
                <w:sz w:val="22"/>
              </w:rPr>
              <w:t>permutation importance</w:t>
            </w:r>
          </w:p>
        </w:tc>
        <w:tc>
          <w:tcPr>
            <w:tcW w:type="dxa" w:w="1504"/>
          </w:tcPr>
          <w:p>
            <w:pPr>
              <w:spacing w:after="0"/>
              <w:jc w:val="left"/>
            </w:pPr>
            <w:r/>
            <w:r>
              <w:rPr>
                <w:rFonts w:ascii="Times New Roman" w:hAnsi="Times New Roman"/>
                <w:sz w:val="22"/>
              </w:rPr>
              <w:t>coefficients as odds ratios</w:t>
            </w:r>
          </w:p>
        </w:tc>
        <w:tc>
          <w:tcPr>
            <w:tcW w:type="dxa" w:w="1504"/>
          </w:tcPr>
          <w:p>
            <w:pPr>
              <w:spacing w:after="0"/>
              <w:jc w:val="left"/>
            </w:pPr>
            <w:r/>
            <w:r>
              <w:rPr>
                <w:rFonts w:ascii="Times New Roman" w:hAnsi="Times New Roman"/>
                <w:sz w:val="22"/>
              </w:rPr>
              <w:t>permutation importance</w:t>
            </w:r>
          </w:p>
        </w:tc>
      </w:tr>
      <w:tr>
        <w:tc>
          <w:tcPr>
            <w:tcW w:type="dxa" w:w="1504"/>
          </w:tcPr>
          <w:p>
            <w:pPr>
              <w:spacing w:after="0"/>
              <w:jc w:val="left"/>
            </w:pPr>
            <w:r/>
            <w:r>
              <w:rPr>
                <w:rFonts w:ascii="Times New Roman" w:hAnsi="Times New Roman"/>
                <w:sz w:val="22"/>
              </w:rPr>
              <w:t>Scaler needed</w:t>
            </w:r>
          </w:p>
        </w:tc>
        <w:tc>
          <w:tcPr>
            <w:tcW w:type="dxa" w:w="1504"/>
          </w:tcPr>
          <w:p>
            <w:pPr>
              <w:spacing w:after="0"/>
              <w:jc w:val="left"/>
            </w:pPr>
            <w:r/>
            <w:r>
              <w:rPr>
                <w:rFonts w:ascii="Times New Roman" w:hAnsi="Times New Roman"/>
                <w:sz w:val="22"/>
              </w:rPr>
              <w:t>no</w:t>
            </w:r>
          </w:p>
        </w:tc>
        <w:tc>
          <w:tcPr>
            <w:tcW w:type="dxa" w:w="1504"/>
          </w:tcPr>
          <w:p>
            <w:pPr>
              <w:spacing w:after="0"/>
              <w:jc w:val="left"/>
            </w:pPr>
            <w:r/>
            <w:r>
              <w:rPr>
                <w:rFonts w:ascii="Times New Roman" w:hAnsi="Times New Roman"/>
                <w:sz w:val="22"/>
              </w:rPr>
              <w:t>yes</w:t>
            </w:r>
          </w:p>
        </w:tc>
        <w:tc>
          <w:tcPr>
            <w:tcW w:type="dxa" w:w="1504"/>
          </w:tcPr>
          <w:p>
            <w:pPr>
              <w:spacing w:after="0"/>
              <w:jc w:val="left"/>
            </w:pPr>
            <w:r/>
            <w:r>
              <w:rPr>
                <w:rFonts w:ascii="Times New Roman" w:hAnsi="Times New Roman"/>
                <w:sz w:val="22"/>
              </w:rPr>
              <w:t>no</w:t>
            </w:r>
          </w:p>
        </w:tc>
        <w:tc>
          <w:tcPr>
            <w:tcW w:type="dxa" w:w="1504"/>
          </w:tcPr>
          <w:p>
            <w:pPr>
              <w:spacing w:after="0"/>
              <w:jc w:val="left"/>
            </w:pPr>
            <w:r/>
            <w:r>
              <w:rPr>
                <w:rFonts w:ascii="Times New Roman" w:hAnsi="Times New Roman"/>
                <w:sz w:val="22"/>
              </w:rPr>
              <w:t>yes</w:t>
            </w:r>
          </w:p>
        </w:tc>
        <w:tc>
          <w:tcPr>
            <w:tcW w:type="dxa" w:w="1504"/>
          </w:tcPr>
          <w:p>
            <w:pPr>
              <w:spacing w:after="0"/>
              <w:jc w:val="left"/>
            </w:pPr>
            <w:r/>
            <w:r>
              <w:rPr>
                <w:rFonts w:ascii="Times New Roman" w:hAnsi="Times New Roman"/>
                <w:sz w:val="22"/>
              </w:rPr>
              <w:t>yes</w:t>
            </w:r>
          </w:p>
        </w:tc>
      </w:tr>
      <w:tr>
        <w:tc>
          <w:tcPr>
            <w:tcW w:type="dxa" w:w="1504"/>
          </w:tcPr>
          <w:p>
            <w:pPr>
              <w:spacing w:after="0"/>
              <w:jc w:val="left"/>
            </w:pPr>
            <w:r/>
            <w:r>
              <w:rPr>
                <w:rFonts w:ascii="Times New Roman" w:hAnsi="Times New Roman"/>
                <w:sz w:val="22"/>
              </w:rPr>
              <w:t>Tuning time (s)</w:t>
            </w:r>
          </w:p>
        </w:tc>
        <w:tc>
          <w:tcPr>
            <w:tcW w:type="dxa" w:w="1504"/>
          </w:tcPr>
          <w:p>
            <w:pPr>
              <w:spacing w:after="0"/>
              <w:jc w:val="left"/>
            </w:pPr>
            <w:r/>
            <w:r>
              <w:rPr>
                <w:rFonts w:ascii="Times New Roman" w:hAnsi="Times New Roman"/>
                <w:sz w:val="22"/>
              </w:rPr>
              <w:t>580</w:t>
            </w:r>
          </w:p>
        </w:tc>
        <w:tc>
          <w:tcPr>
            <w:tcW w:type="dxa" w:w="1504"/>
          </w:tcPr>
          <w:p>
            <w:pPr>
              <w:spacing w:after="0"/>
              <w:jc w:val="left"/>
            </w:pPr>
            <w:r/>
            <w:r>
              <w:rPr>
                <w:rFonts w:ascii="Times New Roman" w:hAnsi="Times New Roman"/>
                <w:sz w:val="22"/>
              </w:rPr>
              <w:t>188</w:t>
            </w:r>
          </w:p>
        </w:tc>
        <w:tc>
          <w:tcPr>
            <w:tcW w:type="dxa" w:w="1504"/>
          </w:tcPr>
          <w:p>
            <w:pPr>
              <w:spacing w:after="0"/>
              <w:jc w:val="left"/>
            </w:pPr>
            <w:r/>
            <w:r>
              <w:rPr>
                <w:rFonts w:ascii="Times New Roman" w:hAnsi="Times New Roman"/>
                <w:sz w:val="22"/>
              </w:rPr>
              <w:t>140</w:t>
            </w:r>
          </w:p>
        </w:tc>
        <w:tc>
          <w:tcPr>
            <w:tcW w:type="dxa" w:w="1504"/>
          </w:tcPr>
          <w:p>
            <w:pPr>
              <w:spacing w:after="0"/>
              <w:jc w:val="left"/>
            </w:pPr>
            <w:r/>
            <w:r>
              <w:rPr>
                <w:rFonts w:ascii="Times New Roman" w:hAnsi="Times New Roman"/>
                <w:sz w:val="22"/>
              </w:rPr>
              <w:t>71</w:t>
            </w:r>
          </w:p>
        </w:tc>
        <w:tc>
          <w:tcPr>
            <w:tcW w:type="dxa" w:w="1504"/>
          </w:tcPr>
          <w:p>
            <w:pPr>
              <w:spacing w:after="0"/>
              <w:jc w:val="left"/>
            </w:pPr>
            <w:r/>
            <w:r>
              <w:rPr>
                <w:rFonts w:ascii="Times New Roman" w:hAnsi="Times New Roman"/>
                <w:sz w:val="22"/>
              </w:rPr>
              <w:t>1,193</w:t>
            </w:r>
          </w:p>
        </w:tc>
      </w:tr>
      <w:tr>
        <w:tc>
          <w:tcPr>
            <w:tcW w:type="dxa" w:w="1504"/>
          </w:tcPr>
          <w:p>
            <w:pPr>
              <w:spacing w:after="0"/>
              <w:jc w:val="left"/>
            </w:pPr>
            <w:r/>
            <w:r>
              <w:rPr>
                <w:rFonts w:ascii="Times New Roman" w:hAnsi="Times New Roman"/>
                <w:sz w:val="22"/>
              </w:rPr>
              <w:t>Prediction time for 20,320 reports (s)</w:t>
            </w:r>
          </w:p>
        </w:tc>
        <w:tc>
          <w:tcPr>
            <w:tcW w:type="dxa" w:w="1504"/>
          </w:tcPr>
          <w:p>
            <w:pPr>
              <w:spacing w:after="0"/>
              <w:jc w:val="left"/>
            </w:pPr>
            <w:r/>
            <w:r>
              <w:rPr>
                <w:rFonts w:ascii="Times New Roman" w:hAnsi="Times New Roman"/>
                <w:sz w:val="22"/>
              </w:rPr>
              <w:t>0.27</w:t>
            </w:r>
          </w:p>
        </w:tc>
        <w:tc>
          <w:tcPr>
            <w:tcW w:type="dxa" w:w="1504"/>
          </w:tcPr>
          <w:p>
            <w:pPr>
              <w:spacing w:after="0"/>
              <w:jc w:val="left"/>
            </w:pPr>
            <w:r/>
            <w:r>
              <w:rPr>
                <w:rFonts w:ascii="Times New Roman" w:hAnsi="Times New Roman"/>
                <w:sz w:val="22"/>
              </w:rPr>
              <w:t>0.12</w:t>
            </w:r>
          </w:p>
        </w:tc>
        <w:tc>
          <w:tcPr>
            <w:tcW w:type="dxa" w:w="1504"/>
          </w:tcPr>
          <w:p>
            <w:pPr>
              <w:spacing w:after="0"/>
              <w:jc w:val="left"/>
            </w:pPr>
            <w:r/>
            <w:r>
              <w:rPr>
                <w:rFonts w:ascii="Times New Roman" w:hAnsi="Times New Roman"/>
                <w:sz w:val="22"/>
              </w:rPr>
              <w:t>0.64</w:t>
            </w:r>
          </w:p>
        </w:tc>
        <w:tc>
          <w:tcPr>
            <w:tcW w:type="dxa" w:w="1504"/>
          </w:tcPr>
          <w:p>
            <w:pPr>
              <w:spacing w:after="0"/>
              <w:jc w:val="left"/>
            </w:pPr>
            <w:r/>
            <w:r>
              <w:rPr>
                <w:rFonts w:ascii="Times New Roman" w:hAnsi="Times New Roman"/>
                <w:sz w:val="22"/>
              </w:rPr>
              <w:t>0.09</w:t>
            </w:r>
          </w:p>
        </w:tc>
        <w:tc>
          <w:tcPr>
            <w:tcW w:type="dxa" w:w="1504"/>
          </w:tcPr>
          <w:p>
            <w:pPr>
              <w:spacing w:after="0"/>
              <w:jc w:val="left"/>
            </w:pPr>
            <w:r/>
            <w:r>
              <w:rPr>
                <w:rFonts w:ascii="Times New Roman" w:hAnsi="Times New Roman"/>
                <w:sz w:val="22"/>
              </w:rPr>
              <w:t>45.36</w:t>
            </w:r>
          </w:p>
        </w:tc>
      </w:tr>
      <w:tr>
        <w:tc>
          <w:tcPr>
            <w:tcW w:type="dxa" w:w="1504"/>
          </w:tcPr>
          <w:p>
            <w:pPr>
              <w:spacing w:after="0"/>
              <w:jc w:val="left"/>
            </w:pPr>
            <w:r/>
            <w:r>
              <w:rPr>
                <w:rFonts w:ascii="Times New Roman" w:hAnsi="Times New Roman"/>
                <w:sz w:val="22"/>
              </w:rPr>
              <w:t>Saved pipeline (MB)</w:t>
            </w:r>
          </w:p>
        </w:tc>
        <w:tc>
          <w:tcPr>
            <w:tcW w:type="dxa" w:w="1504"/>
          </w:tcPr>
          <w:p>
            <w:pPr>
              <w:spacing w:after="0"/>
              <w:jc w:val="left"/>
            </w:pPr>
            <w:r/>
            <w:r>
              <w:rPr>
                <w:rFonts w:ascii="Times New Roman" w:hAnsi="Times New Roman"/>
                <w:sz w:val="22"/>
              </w:rPr>
              <w:t>0.45</w:t>
            </w:r>
          </w:p>
        </w:tc>
        <w:tc>
          <w:tcPr>
            <w:tcW w:type="dxa" w:w="1504"/>
          </w:tcPr>
          <w:p>
            <w:pPr>
              <w:spacing w:after="0"/>
              <w:jc w:val="left"/>
            </w:pPr>
            <w:r/>
            <w:r>
              <w:rPr>
                <w:rFonts w:ascii="Times New Roman" w:hAnsi="Times New Roman"/>
                <w:sz w:val="22"/>
              </w:rPr>
              <w:t>0.81</w:t>
            </w:r>
          </w:p>
        </w:tc>
        <w:tc>
          <w:tcPr>
            <w:tcW w:type="dxa" w:w="1504"/>
          </w:tcPr>
          <w:p>
            <w:pPr>
              <w:spacing w:after="0"/>
              <w:jc w:val="left"/>
            </w:pPr>
            <w:r/>
            <w:r>
              <w:rPr>
                <w:rFonts w:ascii="Times New Roman" w:hAnsi="Times New Roman"/>
                <w:sz w:val="22"/>
              </w:rPr>
              <w:t>20.37</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1.25</w:t>
            </w:r>
          </w:p>
        </w:tc>
      </w:tr>
    </w:tbl>
    <w:p>
      <w:pPr>
        <w:spacing w:after="80"/>
      </w:pPr>
    </w:p>
    <w:p>
      <w:pPr>
        <w:keepNext/>
        <w:jc w:val="center"/>
      </w:pPr>
      <w:r>
        <w:drawing>
          <wp:inline xmlns:a="http://schemas.openxmlformats.org/drawingml/2006/main" xmlns:pic="http://schemas.openxmlformats.org/drawingml/2006/picture">
            <wp:extent cx="5029200" cy="4827255"/>
            <wp:docPr id="18" name="Picture 18" descr="Figure 18. 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 title="Figure 18"/>
            <wp:cNvGraphicFramePr>
              <a:graphicFrameLocks noChangeAspect="1"/>
            </wp:cNvGraphicFramePr>
            <a:graphic>
              <a:graphicData uri="http://schemas.openxmlformats.org/drawingml/2006/picture">
                <pic:pic>
                  <pic:nvPicPr>
                    <pic:cNvPr id="0" name="F17_feature_importance_hist_gb.png"/>
                    <pic:cNvPicPr/>
                  </pic:nvPicPr>
                  <pic:blipFill>
                    <a:blip r:embed="rId28"/>
                    <a:stretch>
                      <a:fillRect/>
                    </a:stretch>
                  </pic:blipFill>
                  <pic:spPr>
                    <a:xfrm>
                      <a:off x="0" y="0"/>
                      <a:ext cx="5029200" cy="482725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w:t>
      </w:r>
    </w:p>
    <w:p>
      <w:pPr>
        <w:keepNext/>
        <w:jc w:val="center"/>
      </w:pPr>
      <w:r>
        <w:drawing>
          <wp:inline xmlns:a="http://schemas.openxmlformats.org/drawingml/2006/main" xmlns:pic="http://schemas.openxmlformats.org/drawingml/2006/picture">
            <wp:extent cx="5029200" cy="4872405"/>
            <wp:docPr id="19" name="Picture 19" descr="Figure 19. 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 title="Figure 19"/>
            <wp:cNvGraphicFramePr>
              <a:graphicFrameLocks noChangeAspect="1"/>
            </wp:cNvGraphicFramePr>
            <a:graphic>
              <a:graphicData uri="http://schemas.openxmlformats.org/drawingml/2006/picture">
                <pic:pic>
                  <pic:nvPicPr>
                    <pic:cNvPr id="0" name="F17b_coefficients_logreg.png"/>
                    <pic:cNvPicPr/>
                  </pic:nvPicPr>
                  <pic:blipFill>
                    <a:blip r:embed="rId29"/>
                    <a:stretch>
                      <a:fillRect/>
                    </a:stretch>
                  </pic:blipFill>
                  <pic:spPr>
                    <a:xfrm>
                      <a:off x="0" y="0"/>
                      <a:ext cx="5029200" cy="487240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Confusion counts on the 20,320 test reports for HGB at its capacity threshold and at 0.5, and for the lookup baseline at its capacity threshold, where a true positive is a lost-time case flagged for early review and a false negative a lost-time case left in routine handling.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2"/>
              </w:rPr>
              <w:t>Model and threshold</w:t>
            </w:r>
          </w:p>
        </w:tc>
        <w:tc>
          <w:tcPr>
            <w:tcW w:type="dxa" w:w="1128"/>
            <w:shd w:val="clear" w:color="auto" w:fill="E7E6E6"/>
          </w:tcPr>
          <w:p>
            <w:pPr>
              <w:jc w:val="left"/>
            </w:pPr>
            <w:r>
              <w:rPr>
                <w:b/>
              </w:rPr>
            </w:r>
            <w:r>
              <w:rPr>
                <w:rFonts w:ascii="Times New Roman" w:hAnsi="Times New Roman"/>
                <w:b/>
                <w:sz w:val="22"/>
              </w:rPr>
              <w:t>TP: lost-time, flagged</w:t>
            </w:r>
          </w:p>
        </w:tc>
        <w:tc>
          <w:tcPr>
            <w:tcW w:type="dxa" w:w="1128"/>
            <w:shd w:val="clear" w:color="auto" w:fill="E7E6E6"/>
          </w:tcPr>
          <w:p>
            <w:pPr>
              <w:jc w:val="left"/>
            </w:pPr>
            <w:r>
              <w:rPr>
                <w:b/>
              </w:rPr>
            </w:r>
            <w:r>
              <w:rPr>
                <w:rFonts w:ascii="Times New Roman" w:hAnsi="Times New Roman"/>
                <w:b/>
                <w:sz w:val="22"/>
              </w:rPr>
              <w:t>FN: lost-time, not flagged</w:t>
            </w:r>
          </w:p>
        </w:tc>
        <w:tc>
          <w:tcPr>
            <w:tcW w:type="dxa" w:w="1128"/>
            <w:shd w:val="clear" w:color="auto" w:fill="E7E6E6"/>
          </w:tcPr>
          <w:p>
            <w:pPr>
              <w:jc w:val="left"/>
            </w:pPr>
            <w:r>
              <w:rPr>
                <w:b/>
              </w:rPr>
            </w:r>
            <w:r>
              <w:rPr>
                <w:rFonts w:ascii="Times New Roman" w:hAnsi="Times New Roman"/>
                <w:b/>
                <w:sz w:val="22"/>
              </w:rPr>
              <w:t>FP: other, flagged</w:t>
            </w:r>
          </w:p>
        </w:tc>
        <w:tc>
          <w:tcPr>
            <w:tcW w:type="dxa" w:w="1128"/>
            <w:shd w:val="clear" w:color="auto" w:fill="E7E6E6"/>
          </w:tcPr>
          <w:p>
            <w:pPr>
              <w:jc w:val="left"/>
            </w:pPr>
            <w:r>
              <w:rPr>
                <w:b/>
              </w:rPr>
            </w:r>
            <w:r>
              <w:rPr>
                <w:rFonts w:ascii="Times New Roman" w:hAnsi="Times New Roman"/>
                <w:b/>
                <w:sz w:val="22"/>
              </w:rPr>
              <w:t>TN: other, not flagged</w:t>
            </w:r>
          </w:p>
        </w:tc>
        <w:tc>
          <w:tcPr>
            <w:tcW w:type="dxa" w:w="1128"/>
            <w:shd w:val="clear" w:color="auto" w:fill="E7E6E6"/>
          </w:tcPr>
          <w:p>
            <w:pPr>
              <w:jc w:val="left"/>
            </w:pPr>
            <w:r>
              <w:rPr>
                <w:b/>
              </w:rPr>
            </w:r>
            <w:r>
              <w:rPr>
                <w:rFonts w:ascii="Times New Roman" w:hAnsi="Times New Roman"/>
                <w:b/>
                <w:sz w:val="22"/>
              </w:rPr>
              <w:t>Recall</w:t>
            </w:r>
          </w:p>
        </w:tc>
        <w:tc>
          <w:tcPr>
            <w:tcW w:type="dxa" w:w="1128"/>
            <w:shd w:val="clear" w:color="auto" w:fill="E7E6E6"/>
          </w:tcPr>
          <w:p>
            <w:pPr>
              <w:jc w:val="left"/>
            </w:pPr>
            <w:r>
              <w:rPr>
                <w:b/>
              </w:rPr>
            </w:r>
            <w:r>
              <w:rPr>
                <w:rFonts w:ascii="Times New Roman" w:hAnsi="Times New Roman"/>
                <w:b/>
                <w:sz w:val="22"/>
              </w:rPr>
              <w:t>Precision</w:t>
            </w:r>
          </w:p>
        </w:tc>
        <w:tc>
          <w:tcPr>
            <w:tcW w:type="dxa" w:w="1128"/>
            <w:shd w:val="clear" w:color="auto" w:fill="E7E6E6"/>
          </w:tcPr>
          <w:p>
            <w:pPr>
              <w:jc w:val="left"/>
            </w:pPr>
            <w:r>
              <w:rPr>
                <w:b/>
              </w:rPr>
            </w:r>
            <w:r>
              <w:rPr>
                <w:rFonts w:ascii="Times New Roman" w:hAnsi="Times New Roman"/>
                <w:b/>
                <w:sz w:val="22"/>
              </w:rPr>
              <w:t>Flag rate</w:t>
            </w:r>
          </w:p>
        </w:tc>
      </w:tr>
      <w:tr>
        <w:tc>
          <w:tcPr>
            <w:tcW w:type="dxa" w:w="1128"/>
          </w:tcPr>
          <w:p>
            <w:pPr>
              <w:spacing w:after="0"/>
              <w:jc w:val="left"/>
            </w:pPr>
            <w:r/>
            <w:r>
              <w:rPr>
                <w:rFonts w:ascii="Times New Roman" w:hAnsi="Times New Roman"/>
                <w:sz w:val="22"/>
              </w:rPr>
              <w:t>HGB, capacity threshold 0.210</w:t>
            </w:r>
          </w:p>
        </w:tc>
        <w:tc>
          <w:tcPr>
            <w:tcW w:type="dxa" w:w="1128"/>
          </w:tcPr>
          <w:p>
            <w:pPr>
              <w:spacing w:after="0"/>
              <w:jc w:val="left"/>
            </w:pPr>
            <w:r/>
            <w:r>
              <w:rPr>
                <w:rFonts w:ascii="Times New Roman" w:hAnsi="Times New Roman"/>
                <w:sz w:val="22"/>
              </w:rPr>
              <w:t>9,312</w:t>
            </w:r>
          </w:p>
        </w:tc>
        <w:tc>
          <w:tcPr>
            <w:tcW w:type="dxa" w:w="1128"/>
          </w:tcPr>
          <w:p>
            <w:pPr>
              <w:spacing w:after="0"/>
              <w:jc w:val="left"/>
            </w:pPr>
            <w:r/>
            <w:r>
              <w:rPr>
                <w:rFonts w:ascii="Times New Roman" w:hAnsi="Times New Roman"/>
                <w:sz w:val="22"/>
              </w:rPr>
              <w:t>561</w:t>
            </w:r>
          </w:p>
        </w:tc>
        <w:tc>
          <w:tcPr>
            <w:tcW w:type="dxa" w:w="1128"/>
          </w:tcPr>
          <w:p>
            <w:pPr>
              <w:spacing w:after="0"/>
              <w:jc w:val="left"/>
            </w:pPr>
            <w:r/>
            <w:r>
              <w:rPr>
                <w:rFonts w:ascii="Times New Roman" w:hAnsi="Times New Roman"/>
                <w:sz w:val="22"/>
              </w:rPr>
              <w:t>6,232</w:t>
            </w:r>
          </w:p>
        </w:tc>
        <w:tc>
          <w:tcPr>
            <w:tcW w:type="dxa" w:w="1128"/>
          </w:tcPr>
          <w:p>
            <w:pPr>
              <w:spacing w:after="0"/>
              <w:jc w:val="left"/>
            </w:pPr>
            <w:r/>
            <w:r>
              <w:rPr>
                <w:rFonts w:ascii="Times New Roman" w:hAnsi="Times New Roman"/>
                <w:sz w:val="22"/>
              </w:rPr>
              <w:t>4,215</w:t>
            </w:r>
          </w:p>
        </w:tc>
        <w:tc>
          <w:tcPr>
            <w:tcW w:type="dxa" w:w="1128"/>
          </w:tcPr>
          <w:p>
            <w:pPr>
              <w:spacing w:after="0"/>
              <w:jc w:val="left"/>
            </w:pPr>
            <w:r/>
            <w:r>
              <w:rPr>
                <w:rFonts w:ascii="Times New Roman" w:hAnsi="Times New Roman"/>
                <w:sz w:val="22"/>
              </w:rPr>
              <w:t>0.943</w:t>
            </w:r>
          </w:p>
        </w:tc>
        <w:tc>
          <w:tcPr>
            <w:tcW w:type="dxa" w:w="1128"/>
          </w:tcPr>
          <w:p>
            <w:pPr>
              <w:spacing w:after="0"/>
              <w:jc w:val="left"/>
            </w:pPr>
            <w:r/>
            <w:r>
              <w:rPr>
                <w:rFonts w:ascii="Times New Roman" w:hAnsi="Times New Roman"/>
                <w:sz w:val="22"/>
              </w:rPr>
              <w:t>0.599</w:t>
            </w:r>
          </w:p>
        </w:tc>
        <w:tc>
          <w:tcPr>
            <w:tcW w:type="dxa" w:w="1128"/>
          </w:tcPr>
          <w:p>
            <w:pPr>
              <w:spacing w:after="0"/>
              <w:jc w:val="left"/>
            </w:pPr>
            <w:r/>
            <w:r>
              <w:rPr>
                <w:rFonts w:ascii="Times New Roman" w:hAnsi="Times New Roman"/>
                <w:sz w:val="22"/>
              </w:rPr>
              <w:t>0.765</w:t>
            </w:r>
          </w:p>
        </w:tc>
      </w:tr>
      <w:tr>
        <w:tc>
          <w:tcPr>
            <w:tcW w:type="dxa" w:w="1128"/>
          </w:tcPr>
          <w:p>
            <w:pPr>
              <w:spacing w:after="0"/>
              <w:jc w:val="left"/>
            </w:pPr>
            <w:r/>
            <w:r>
              <w:rPr>
                <w:rFonts w:ascii="Times New Roman" w:hAnsi="Times New Roman"/>
                <w:sz w:val="22"/>
              </w:rPr>
              <w:t>HGB, threshold 0.5</w:t>
            </w:r>
          </w:p>
        </w:tc>
        <w:tc>
          <w:tcPr>
            <w:tcW w:type="dxa" w:w="1128"/>
          </w:tcPr>
          <w:p>
            <w:pPr>
              <w:spacing w:after="0"/>
              <w:jc w:val="left"/>
            </w:pPr>
            <w:r/>
            <w:r>
              <w:rPr>
                <w:rFonts w:ascii="Times New Roman" w:hAnsi="Times New Roman"/>
                <w:sz w:val="22"/>
              </w:rPr>
              <w:t>7,284</w:t>
            </w:r>
          </w:p>
        </w:tc>
        <w:tc>
          <w:tcPr>
            <w:tcW w:type="dxa" w:w="1128"/>
          </w:tcPr>
          <w:p>
            <w:pPr>
              <w:spacing w:after="0"/>
              <w:jc w:val="left"/>
            </w:pPr>
            <w:r/>
            <w:r>
              <w:rPr>
                <w:rFonts w:ascii="Times New Roman" w:hAnsi="Times New Roman"/>
                <w:sz w:val="22"/>
              </w:rPr>
              <w:t>2,589</w:t>
            </w:r>
          </w:p>
        </w:tc>
        <w:tc>
          <w:tcPr>
            <w:tcW w:type="dxa" w:w="1128"/>
          </w:tcPr>
          <w:p>
            <w:pPr>
              <w:spacing w:after="0"/>
              <w:jc w:val="left"/>
            </w:pPr>
            <w:r/>
            <w:r>
              <w:rPr>
                <w:rFonts w:ascii="Times New Roman" w:hAnsi="Times New Roman"/>
                <w:sz w:val="22"/>
              </w:rPr>
              <w:t>2,249</w:t>
            </w:r>
          </w:p>
        </w:tc>
        <w:tc>
          <w:tcPr>
            <w:tcW w:type="dxa" w:w="1128"/>
          </w:tcPr>
          <w:p>
            <w:pPr>
              <w:spacing w:after="0"/>
              <w:jc w:val="left"/>
            </w:pPr>
            <w:r/>
            <w:r>
              <w:rPr>
                <w:rFonts w:ascii="Times New Roman" w:hAnsi="Times New Roman"/>
                <w:sz w:val="22"/>
              </w:rPr>
              <w:t>8,198</w:t>
            </w:r>
          </w:p>
        </w:tc>
        <w:tc>
          <w:tcPr>
            <w:tcW w:type="dxa" w:w="1128"/>
          </w:tcPr>
          <w:p>
            <w:pPr>
              <w:spacing w:after="0"/>
              <w:jc w:val="left"/>
            </w:pPr>
            <w:r/>
            <w:r>
              <w:rPr>
                <w:rFonts w:ascii="Times New Roman" w:hAnsi="Times New Roman"/>
                <w:sz w:val="22"/>
              </w:rPr>
              <w:t>0.738</w:t>
            </w:r>
          </w:p>
        </w:tc>
        <w:tc>
          <w:tcPr>
            <w:tcW w:type="dxa" w:w="1128"/>
          </w:tcPr>
          <w:p>
            <w:pPr>
              <w:spacing w:after="0"/>
              <w:jc w:val="left"/>
            </w:pPr>
            <w:r/>
            <w:r>
              <w:rPr>
                <w:rFonts w:ascii="Times New Roman" w:hAnsi="Times New Roman"/>
                <w:sz w:val="22"/>
              </w:rPr>
              <w:t>0.764</w:t>
            </w:r>
          </w:p>
        </w:tc>
        <w:tc>
          <w:tcPr>
            <w:tcW w:type="dxa" w:w="1128"/>
          </w:tcPr>
          <w:p>
            <w:pPr>
              <w:spacing w:after="0"/>
              <w:jc w:val="left"/>
            </w:pPr>
            <w:r/>
            <w:r>
              <w:rPr>
                <w:rFonts w:ascii="Times New Roman" w:hAnsi="Times New Roman"/>
                <w:sz w:val="22"/>
              </w:rPr>
              <w:t>0.469</w:t>
            </w:r>
          </w:p>
        </w:tc>
      </w:tr>
      <w:tr>
        <w:tc>
          <w:tcPr>
            <w:tcW w:type="dxa" w:w="1128"/>
          </w:tcPr>
          <w:p>
            <w:pPr>
              <w:spacing w:after="0"/>
              <w:jc w:val="left"/>
            </w:pPr>
            <w:r/>
            <w:r>
              <w:rPr>
                <w:rFonts w:ascii="Times New Roman" w:hAnsi="Times New Roman"/>
                <w:sz w:val="22"/>
              </w:rPr>
              <w:t>Lookup baseline, capacity threshold 0.225</w:t>
            </w:r>
          </w:p>
        </w:tc>
        <w:tc>
          <w:tcPr>
            <w:tcW w:type="dxa" w:w="1128"/>
          </w:tcPr>
          <w:p>
            <w:pPr>
              <w:spacing w:after="0"/>
              <w:jc w:val="left"/>
            </w:pPr>
            <w:r/>
            <w:r>
              <w:rPr>
                <w:rFonts w:ascii="Times New Roman" w:hAnsi="Times New Roman"/>
                <w:sz w:val="22"/>
              </w:rPr>
              <w:t>9,043</w:t>
            </w:r>
          </w:p>
        </w:tc>
        <w:tc>
          <w:tcPr>
            <w:tcW w:type="dxa" w:w="1128"/>
          </w:tcPr>
          <w:p>
            <w:pPr>
              <w:spacing w:after="0"/>
              <w:jc w:val="left"/>
            </w:pPr>
            <w:r/>
            <w:r>
              <w:rPr>
                <w:rFonts w:ascii="Times New Roman" w:hAnsi="Times New Roman"/>
                <w:sz w:val="22"/>
              </w:rPr>
              <w:t>830</w:t>
            </w:r>
          </w:p>
        </w:tc>
        <w:tc>
          <w:tcPr>
            <w:tcW w:type="dxa" w:w="1128"/>
          </w:tcPr>
          <w:p>
            <w:pPr>
              <w:spacing w:after="0"/>
              <w:jc w:val="left"/>
            </w:pPr>
            <w:r/>
            <w:r>
              <w:rPr>
                <w:rFonts w:ascii="Times New Roman" w:hAnsi="Times New Roman"/>
                <w:sz w:val="22"/>
              </w:rPr>
              <w:t>6,248</w:t>
            </w:r>
          </w:p>
        </w:tc>
        <w:tc>
          <w:tcPr>
            <w:tcW w:type="dxa" w:w="1128"/>
          </w:tcPr>
          <w:p>
            <w:pPr>
              <w:spacing w:after="0"/>
              <w:jc w:val="left"/>
            </w:pPr>
            <w:r/>
            <w:r>
              <w:rPr>
                <w:rFonts w:ascii="Times New Roman" w:hAnsi="Times New Roman"/>
                <w:sz w:val="22"/>
              </w:rPr>
              <w:t>4,199</w:t>
            </w:r>
          </w:p>
        </w:tc>
        <w:tc>
          <w:tcPr>
            <w:tcW w:type="dxa" w:w="1128"/>
          </w:tcPr>
          <w:p>
            <w:pPr>
              <w:spacing w:after="0"/>
              <w:jc w:val="left"/>
            </w:pPr>
            <w:r/>
            <w:r>
              <w:rPr>
                <w:rFonts w:ascii="Times New Roman" w:hAnsi="Times New Roman"/>
                <w:sz w:val="22"/>
              </w:rPr>
              <w:t>0.916</w:t>
            </w:r>
          </w:p>
        </w:tc>
        <w:tc>
          <w:tcPr>
            <w:tcW w:type="dxa" w:w="1128"/>
          </w:tcPr>
          <w:p>
            <w:pPr>
              <w:spacing w:after="0"/>
              <w:jc w:val="left"/>
            </w:pPr>
            <w:r/>
            <w:r>
              <w:rPr>
                <w:rFonts w:ascii="Times New Roman" w:hAnsi="Times New Roman"/>
                <w:sz w:val="22"/>
              </w:rPr>
              <w:t>0.591</w:t>
            </w:r>
          </w:p>
        </w:tc>
        <w:tc>
          <w:tcPr>
            <w:tcW w:type="dxa" w:w="1128"/>
          </w:tcPr>
          <w:p>
            <w:pPr>
              <w:spacing w:after="0"/>
              <w:jc w:val="left"/>
            </w:pPr>
            <w:r/>
            <w:r>
              <w:rPr>
                <w:rFonts w:ascii="Times New Roman" w:hAnsi="Times New Roman"/>
                <w:sz w:val="22"/>
              </w:rPr>
              <w:t>0.753</w:t>
            </w:r>
          </w:p>
        </w:tc>
      </w:tr>
    </w:tbl>
    <w:p>
      <w:pPr>
        <w:spacing w:after="80"/>
      </w:pPr>
    </w:p>
    <w:p>
      <w:pPr>
        <w:keepNext/>
        <w:jc w:val="center"/>
      </w:pPr>
      <w:r>
        <w:drawing>
          <wp:inline xmlns:a="http://schemas.openxmlformats.org/drawingml/2006/main" xmlns:pic="http://schemas.openxmlformats.org/drawingml/2006/picture">
            <wp:extent cx="5486400" cy="5081024"/>
            <wp:docPr id="20" name="Picture 20" descr="Figure 20. 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 title="Figure 20"/>
            <wp:cNvGraphicFramePr>
              <a:graphicFrameLocks noChangeAspect="1"/>
            </wp:cNvGraphicFramePr>
            <a:graphic>
              <a:graphicData uri="http://schemas.openxmlformats.org/drawingml/2006/picture">
                <pic:pic>
                  <pic:nvPicPr>
                    <pic:cNvPr id="0" name="F16_confusion_matrices.png"/>
                    <pic:cNvPicPr/>
                  </pic:nvPicPr>
                  <pic:blipFill>
                    <a:blip r:embed="rId30"/>
                    <a:stretch>
                      <a:fillRect/>
                    </a:stretch>
                  </pic:blipFill>
                  <pic:spPr>
                    <a:xfrm>
                      <a:off x="0" y="0"/>
                      <a:ext cx="5486400" cy="5081024"/>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w:t>
      </w:r>
    </w:p>
    <w:p>
      <w:r>
        <w:rPr>
          <w:rFonts w:ascii="Times New Roman" w:hAnsi="Times New Roman"/>
          <w:sz w:val="24"/>
        </w:rPr>
        <w:t>Table 17 sets the result against the success criteria. HGB passes S1 to S4 and S6, and Table 14 holds the comparisons that S7 requires. It misses S5 at the out-of-fold threshold for a 50% flag rate (0.775 against 0.78), and the miss recurs on the temporal and mine-grouped splits. The MLP passes S1 to S6 only by flagging more than half the reports; among the top half of test scores, the planned form of S5, neither model reaches the target. I kept the pre-fixed rule, since switching after the test results would turn the test score into a selection score. The lookup baseline also passes S1, S2 and S6, so S3 to S5 separate the learned models from it. At half capacity more lost-time cases would go unflagged than planned, so I recommend the capacity threshold, where S3 passes.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Success criteria S1 to S7, fixed before modelling, with S7 a reporting criterion, evaluated on the 20,320 test reports for HGB, the MLP and the lookup baseline with thresholds fixed on out-of-fold probabilities, with S5 repeated on the temporal and mine-grouped splits.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2"/>
              </w:rPr>
              <w:t>Criterion</w:t>
            </w:r>
          </w:p>
        </w:tc>
        <w:tc>
          <w:tcPr>
            <w:tcW w:type="dxa" w:w="1504"/>
            <w:shd w:val="clear" w:color="auto" w:fill="E7E6E6"/>
          </w:tcPr>
          <w:p>
            <w:pPr>
              <w:jc w:val="left"/>
            </w:pPr>
            <w:r>
              <w:rPr>
                <w:b/>
              </w:rPr>
            </w:r>
            <w:r>
              <w:rPr>
                <w:rFonts w:ascii="Times New Roman" w:hAnsi="Times New Roman"/>
                <w:b/>
                <w:sz w:val="22"/>
              </w:rPr>
              <w:t>Target</w:t>
            </w:r>
          </w:p>
        </w:tc>
        <w:tc>
          <w:tcPr>
            <w:tcW w:type="dxa" w:w="1504"/>
            <w:shd w:val="clear" w:color="auto" w:fill="E7E6E6"/>
          </w:tcPr>
          <w:p>
            <w:pPr>
              <w:jc w:val="left"/>
            </w:pPr>
            <w:r>
              <w:rPr>
                <w:b/>
              </w:rPr>
            </w:r>
            <w:r>
              <w:rPr>
                <w:rFonts w:ascii="Times New Roman" w:hAnsi="Times New Roman"/>
                <w:b/>
                <w:sz w:val="22"/>
              </w:rPr>
              <w:t>HGB</w:t>
            </w:r>
          </w:p>
        </w:tc>
        <w:tc>
          <w:tcPr>
            <w:tcW w:type="dxa" w:w="1504"/>
            <w:shd w:val="clear" w:color="auto" w:fill="E7E6E6"/>
          </w:tcPr>
          <w:p>
            <w:pPr>
              <w:jc w:val="left"/>
            </w:pPr>
            <w:r>
              <w:rPr>
                <w:b/>
              </w:rPr>
            </w:r>
            <w:r>
              <w:rPr>
                <w:rFonts w:ascii="Times New Roman" w:hAnsi="Times New Roman"/>
                <w:b/>
                <w:sz w:val="22"/>
              </w:rPr>
              <w:t>Result</w:t>
            </w:r>
          </w:p>
        </w:tc>
        <w:tc>
          <w:tcPr>
            <w:tcW w:type="dxa" w:w="1504"/>
            <w:shd w:val="clear" w:color="auto" w:fill="E7E6E6"/>
          </w:tcPr>
          <w:p>
            <w:pPr>
              <w:jc w:val="left"/>
            </w:pPr>
            <w:r>
              <w:rPr>
                <w:b/>
              </w:rPr>
            </w:r>
            <w:r>
              <w:rPr>
                <w:rFonts w:ascii="Times New Roman" w:hAnsi="Times New Roman"/>
                <w:b/>
                <w:sz w:val="22"/>
              </w:rPr>
              <w:t>MLP</w:t>
            </w:r>
          </w:p>
        </w:tc>
        <w:tc>
          <w:tcPr>
            <w:tcW w:type="dxa" w:w="1504"/>
            <w:shd w:val="clear" w:color="auto" w:fill="E7E6E6"/>
          </w:tcPr>
          <w:p>
            <w:pPr>
              <w:jc w:val="left"/>
            </w:pPr>
            <w:r>
              <w:rPr>
                <w:b/>
              </w:rPr>
            </w:r>
            <w:r>
              <w:rPr>
                <w:rFonts w:ascii="Times New Roman" w:hAnsi="Times New Roman"/>
                <w:b/>
                <w:sz w:val="22"/>
              </w:rPr>
              <w:t>Lookup baseline</w:t>
            </w:r>
          </w:p>
        </w:tc>
      </w:tr>
      <w:tr>
        <w:tc>
          <w:tcPr>
            <w:tcW w:type="dxa" w:w="1504"/>
          </w:tcPr>
          <w:p>
            <w:pPr>
              <w:spacing w:after="0"/>
              <w:jc w:val="left"/>
            </w:pPr>
            <w:r/>
            <w:r>
              <w:rPr>
                <w:rFonts w:ascii="Times New Roman" w:hAnsi="Times New Roman"/>
                <w:sz w:val="22"/>
              </w:rPr>
              <w:t>S1 ROC-AUC</w:t>
            </w:r>
          </w:p>
        </w:tc>
        <w:tc>
          <w:tcPr>
            <w:tcW w:type="dxa" w:w="1504"/>
          </w:tcPr>
          <w:p>
            <w:pPr>
              <w:spacing w:after="0"/>
              <w:jc w:val="left"/>
            </w:pPr>
            <w:r/>
            <w:r>
              <w:rPr>
                <w:rFonts w:ascii="Times New Roman" w:hAnsi="Times New Roman"/>
                <w:sz w:val="22"/>
              </w:rPr>
              <w:t>0.80 or more</w:t>
            </w:r>
          </w:p>
        </w:tc>
        <w:tc>
          <w:tcPr>
            <w:tcW w:type="dxa" w:w="1504"/>
          </w:tcPr>
          <w:p>
            <w:pPr>
              <w:spacing w:after="0"/>
              <w:jc w:val="left"/>
            </w:pPr>
            <w:r/>
            <w:r>
              <w:rPr>
                <w:rFonts w:ascii="Times New Roman" w:hAnsi="Times New Roman"/>
                <w:sz w:val="22"/>
              </w:rPr>
              <w:t>0.843</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0.839</w:t>
            </w:r>
          </w:p>
        </w:tc>
        <w:tc>
          <w:tcPr>
            <w:tcW w:type="dxa" w:w="1504"/>
          </w:tcPr>
          <w:p>
            <w:pPr>
              <w:spacing w:after="0"/>
              <w:jc w:val="left"/>
            </w:pPr>
            <w:r/>
            <w:r>
              <w:rPr>
                <w:rFonts w:ascii="Times New Roman" w:hAnsi="Times New Roman"/>
                <w:sz w:val="22"/>
              </w:rPr>
              <w:t>0.804</w:t>
            </w:r>
          </w:p>
        </w:tc>
      </w:tr>
      <w:tr>
        <w:tc>
          <w:tcPr>
            <w:tcW w:type="dxa" w:w="1504"/>
          </w:tcPr>
          <w:p>
            <w:pPr>
              <w:spacing w:after="0"/>
              <w:jc w:val="left"/>
            </w:pPr>
            <w:r/>
            <w:r>
              <w:rPr>
                <w:rFonts w:ascii="Times New Roman" w:hAnsi="Times New Roman"/>
                <w:sz w:val="22"/>
              </w:rPr>
              <w:t>S2 PR-AUC</w:t>
            </w:r>
          </w:p>
        </w:tc>
        <w:tc>
          <w:tcPr>
            <w:tcW w:type="dxa" w:w="1504"/>
          </w:tcPr>
          <w:p>
            <w:pPr>
              <w:spacing w:after="0"/>
              <w:jc w:val="left"/>
            </w:pPr>
            <w:r/>
            <w:r>
              <w:rPr>
                <w:rFonts w:ascii="Times New Roman" w:hAnsi="Times New Roman"/>
                <w:sz w:val="22"/>
              </w:rPr>
              <w:t>0.75 or more</w:t>
            </w:r>
          </w:p>
        </w:tc>
        <w:tc>
          <w:tcPr>
            <w:tcW w:type="dxa" w:w="1504"/>
          </w:tcPr>
          <w:p>
            <w:pPr>
              <w:spacing w:after="0"/>
              <w:jc w:val="left"/>
            </w:pPr>
            <w:r/>
            <w:r>
              <w:rPr>
                <w:rFonts w:ascii="Times New Roman" w:hAnsi="Times New Roman"/>
                <w:sz w:val="22"/>
              </w:rPr>
              <w:t>0.841</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0.837</w:t>
            </w:r>
          </w:p>
        </w:tc>
        <w:tc>
          <w:tcPr>
            <w:tcW w:type="dxa" w:w="1504"/>
          </w:tcPr>
          <w:p>
            <w:pPr>
              <w:spacing w:after="0"/>
              <w:jc w:val="left"/>
            </w:pPr>
            <w:r/>
            <w:r>
              <w:rPr>
                <w:rFonts w:ascii="Times New Roman" w:hAnsi="Times New Roman"/>
                <w:sz w:val="22"/>
              </w:rPr>
              <w:t>0.790</w:t>
            </w:r>
          </w:p>
        </w:tc>
      </w:tr>
      <w:tr>
        <w:tc>
          <w:tcPr>
            <w:tcW w:type="dxa" w:w="1504"/>
          </w:tcPr>
          <w:p>
            <w:pPr>
              <w:spacing w:after="0"/>
              <w:jc w:val="left"/>
            </w:pPr>
            <w:r/>
            <w:r>
              <w:rPr>
                <w:rFonts w:ascii="Times New Roman" w:hAnsi="Times New Roman"/>
                <w:sz w:val="22"/>
              </w:rPr>
              <w:t>S3 recall at the out-of-fold threshold for specificity 0.40</w:t>
            </w:r>
          </w:p>
        </w:tc>
        <w:tc>
          <w:tcPr>
            <w:tcW w:type="dxa" w:w="1504"/>
          </w:tcPr>
          <w:p>
            <w:pPr>
              <w:spacing w:after="0"/>
              <w:jc w:val="left"/>
            </w:pPr>
            <w:r/>
            <w:r>
              <w:rPr>
                <w:rFonts w:ascii="Times New Roman" w:hAnsi="Times New Roman"/>
                <w:sz w:val="22"/>
              </w:rPr>
              <w:t>0.92 or more</w:t>
            </w:r>
          </w:p>
        </w:tc>
        <w:tc>
          <w:tcPr>
            <w:tcW w:type="dxa" w:w="1504"/>
          </w:tcPr>
          <w:p>
            <w:pPr>
              <w:spacing w:after="0"/>
              <w:jc w:val="left"/>
            </w:pPr>
            <w:r/>
            <w:r>
              <w:rPr>
                <w:rFonts w:ascii="Times New Roman" w:hAnsi="Times New Roman"/>
                <w:sz w:val="22"/>
              </w:rPr>
              <w:t>0.943 (specificity 0.403)</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0.948 (0.373)</w:t>
            </w:r>
          </w:p>
        </w:tc>
        <w:tc>
          <w:tcPr>
            <w:tcW w:type="dxa" w:w="1504"/>
          </w:tcPr>
          <w:p>
            <w:pPr>
              <w:spacing w:after="0"/>
              <w:jc w:val="left"/>
            </w:pPr>
            <w:r/>
            <w:r>
              <w:rPr>
                <w:rFonts w:ascii="Times New Roman" w:hAnsi="Times New Roman"/>
                <w:sz w:val="22"/>
              </w:rPr>
              <w:t>0.916 (0.402)</w:t>
            </w:r>
          </w:p>
        </w:tc>
      </w:tr>
      <w:tr>
        <w:tc>
          <w:tcPr>
            <w:tcW w:type="dxa" w:w="1504"/>
          </w:tcPr>
          <w:p>
            <w:pPr>
              <w:spacing w:after="0"/>
              <w:jc w:val="left"/>
            </w:pPr>
            <w:r/>
            <w:r>
              <w:rPr>
                <w:rFonts w:ascii="Times New Roman" w:hAnsi="Times New Roman"/>
                <w:sz w:val="22"/>
              </w:rPr>
              <w:t>S4 cost per 1,000 cases at the out-of-fold cost-optimal threshold, 2:1 / 3:1 / 5:1 (USD)</w:t>
            </w:r>
          </w:p>
        </w:tc>
        <w:tc>
          <w:tcPr>
            <w:tcW w:type="dxa" w:w="1504"/>
          </w:tcPr>
          <w:p>
            <w:pPr>
              <w:spacing w:after="0"/>
              <w:jc w:val="left"/>
            </w:pPr>
            <w:r/>
            <w:r>
              <w:rPr>
                <w:rFonts w:ascii="Times New Roman" w:hAnsi="Times New Roman"/>
                <w:sz w:val="22"/>
              </w:rPr>
              <w:t>below the review-everything floor (102,825 on the test set) and below the lookup baseline</w:t>
            </w:r>
          </w:p>
        </w:tc>
        <w:tc>
          <w:tcPr>
            <w:tcW w:type="dxa" w:w="1504"/>
          </w:tcPr>
          <w:p>
            <w:pPr>
              <w:spacing w:after="0"/>
              <w:jc w:val="left"/>
            </w:pPr>
            <w:r/>
            <w:r>
              <w:rPr>
                <w:rFonts w:ascii="Times New Roman" w:hAnsi="Times New Roman"/>
                <w:sz w:val="22"/>
              </w:rPr>
              <w:t>65,896 / 77,697 / 87,638</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67,274 / 78,031 / 89,085</w:t>
            </w:r>
          </w:p>
        </w:tc>
        <w:tc>
          <w:tcPr>
            <w:tcW w:type="dxa" w:w="1504"/>
          </w:tcPr>
          <w:p>
            <w:pPr>
              <w:spacing w:after="0"/>
              <w:jc w:val="left"/>
            </w:pPr>
            <w:r/>
            <w:r>
              <w:rPr>
                <w:rFonts w:ascii="Times New Roman" w:hAnsi="Times New Roman"/>
                <w:sz w:val="22"/>
              </w:rPr>
              <w:t>73,553 / 85,472 / 98,061</w:t>
            </w:r>
          </w:p>
        </w:tc>
      </w:tr>
      <w:tr>
        <w:tc>
          <w:tcPr>
            <w:tcW w:type="dxa" w:w="1504"/>
          </w:tcPr>
          <w:p>
            <w:pPr>
              <w:spacing w:after="0"/>
              <w:jc w:val="left"/>
            </w:pPr>
            <w:r/>
            <w:r>
              <w:rPr>
                <w:rFonts w:ascii="Times New Roman" w:hAnsi="Times New Roman"/>
                <w:sz w:val="22"/>
              </w:rPr>
              <w:t>S5 recall at the out-of-fold threshold for a 50% flag rate</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0.775 (flag rate 0.506)</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0.790 (0.525)</w:t>
            </w:r>
          </w:p>
        </w:tc>
        <w:tc>
          <w:tcPr>
            <w:tcW w:type="dxa" w:w="1504"/>
          </w:tcPr>
          <w:p>
            <w:pPr>
              <w:spacing w:after="0"/>
              <w:jc w:val="left"/>
            </w:pPr>
            <w:r/>
            <w:r>
              <w:rPr>
                <w:rFonts w:ascii="Times New Roman" w:hAnsi="Times New Roman"/>
                <w:sz w:val="22"/>
              </w:rPr>
              <w:t>0.753 (0.520)</w:t>
            </w:r>
          </w:p>
        </w:tc>
      </w:tr>
      <w:tr>
        <w:tc>
          <w:tcPr>
            <w:tcW w:type="dxa" w:w="1504"/>
          </w:tcPr>
          <w:p>
            <w:pPr>
              <w:spacing w:after="0"/>
              <w:jc w:val="left"/>
            </w:pPr>
            <w:r/>
            <w:r>
              <w:rPr>
                <w:rFonts w:ascii="Times New Roman" w:hAnsi="Times New Roman"/>
                <w:sz w:val="22"/>
              </w:rPr>
              <w:t>S5 as planned: recall among the 50% of test reports with the highest scores (cut-off from the test scores, labels only count hits)</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0.769 (flag rate 0.500)</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0.768 (0.500)</w:t>
            </w:r>
          </w:p>
        </w:tc>
        <w:tc>
          <w:tcPr>
            <w:tcW w:type="dxa" w:w="1504"/>
          </w:tcPr>
          <w:p>
            <w:pPr>
              <w:spacing w:after="0"/>
              <w:jc w:val="left"/>
            </w:pPr>
            <w:r/>
            <w:r>
              <w:rPr>
                <w:rFonts w:ascii="Times New Roman" w:hAnsi="Times New Roman"/>
                <w:sz w:val="22"/>
              </w:rPr>
              <w:t>0.725 (0.490, tied scores)</w:t>
            </w:r>
          </w:p>
        </w:tc>
      </w:tr>
      <w:tr>
        <w:tc>
          <w:tcPr>
            <w:tcW w:type="dxa" w:w="1504"/>
          </w:tcPr>
          <w:p>
            <w:pPr>
              <w:spacing w:after="0"/>
              <w:jc w:val="left"/>
            </w:pPr>
            <w:r/>
            <w:r>
              <w:rPr>
                <w:rFonts w:ascii="Times New Roman" w:hAnsi="Times New Roman"/>
                <w:sz w:val="22"/>
              </w:rPr>
              <w:t>S5 on the temporal split (2020-2025) and the mine-grouped split</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0.749 and 0.762</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0.724 (temporal)</w:t>
            </w:r>
          </w:p>
        </w:tc>
        <w:tc>
          <w:tcPr>
            <w:tcW w:type="dxa" w:w="1504"/>
          </w:tcPr>
          <w:p>
            <w:pPr>
              <w:spacing w:after="0"/>
              <w:jc w:val="left"/>
            </w:pPr>
            <w:r/>
            <w:r>
              <w:rPr>
                <w:rFonts w:ascii="Times New Roman" w:hAnsi="Times New Roman"/>
                <w:sz w:val="22"/>
              </w:rPr>
              <w:t>0.710 (mine-grouped)</w:t>
            </w:r>
          </w:p>
        </w:tc>
      </w:tr>
      <w:tr>
        <w:tc>
          <w:tcPr>
            <w:tcW w:type="dxa" w:w="1504"/>
          </w:tcPr>
          <w:p>
            <w:pPr>
              <w:spacing w:after="0"/>
              <w:jc w:val="left"/>
            </w:pPr>
            <w:r/>
            <w:r>
              <w:rPr>
                <w:rFonts w:ascii="Times New Roman" w:hAnsi="Times New Roman"/>
                <w:sz w:val="22"/>
              </w:rPr>
              <w:t>S6 Brier score on the test set, and by sector on the temporal split</w:t>
            </w:r>
          </w:p>
        </w:tc>
        <w:tc>
          <w:tcPr>
            <w:tcW w:type="dxa" w:w="1504"/>
          </w:tcPr>
          <w:p>
            <w:pPr>
              <w:spacing w:after="0"/>
              <w:jc w:val="left"/>
            </w:pPr>
            <w:r/>
            <w:r>
              <w:rPr>
                <w:rFonts w:ascii="Times New Roman" w:hAnsi="Times New Roman"/>
                <w:sz w:val="22"/>
              </w:rPr>
              <w:t>0.20 or less</w:t>
            </w:r>
          </w:p>
        </w:tc>
        <w:tc>
          <w:tcPr>
            <w:tcW w:type="dxa" w:w="1504"/>
          </w:tcPr>
          <w:p>
            <w:pPr>
              <w:spacing w:after="0"/>
              <w:jc w:val="left"/>
            </w:pPr>
            <w:r/>
            <w:r>
              <w:rPr>
                <w:rFonts w:ascii="Times New Roman" w:hAnsi="Times New Roman"/>
                <w:sz w:val="22"/>
              </w:rPr>
              <w:t>test 0.161 (coal 0.135, metal and non-metal 0.179); temporal split: coal 0.125, metal and non-metal 0.187</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test 0.163 (0.135 and 0.182); temporal split: 0.131 and 0.193</w:t>
            </w:r>
          </w:p>
        </w:tc>
        <w:tc>
          <w:tcPr>
            <w:tcW w:type="dxa" w:w="1504"/>
          </w:tcPr>
          <w:p>
            <w:pPr>
              <w:spacing w:after="0"/>
              <w:jc w:val="left"/>
            </w:pPr>
            <w:r/>
            <w:r>
              <w:rPr>
                <w:rFonts w:ascii="Times New Roman" w:hAnsi="Times New Roman"/>
                <w:sz w:val="22"/>
              </w:rPr>
              <w:t>test 0.179 (0.150 and 0.199)</w:t>
            </w:r>
          </w:p>
        </w:tc>
      </w:tr>
      <w:tr>
        <w:tc>
          <w:tcPr>
            <w:tcW w:type="dxa" w:w="1504"/>
          </w:tcPr>
          <w:p>
            <w:pPr>
              <w:spacing w:after="0"/>
              <w:jc w:val="left"/>
            </w:pPr>
            <w:r/>
            <w:r>
              <w:rPr>
                <w:rFonts w:ascii="Times New Roman" w:hAnsi="Times New Roman"/>
                <w:sz w:val="22"/>
              </w:rPr>
              <w:t>S7 statistical comparison</w:t>
            </w:r>
          </w:p>
        </w:tc>
        <w:tc>
          <w:tcPr>
            <w:tcW w:type="dxa" w:w="1504"/>
          </w:tcPr>
          <w:p>
            <w:pPr>
              <w:spacing w:after="0"/>
              <w:jc w:val="left"/>
            </w:pPr>
            <w:r/>
            <w:r>
              <w:rPr>
                <w:rFonts w:ascii="Times New Roman" w:hAnsi="Times New Roman"/>
                <w:sz w:val="22"/>
              </w:rPr>
              <w:t>McNemar test against the lookup baseline and a paired fold test between the top two</w:t>
            </w:r>
          </w:p>
        </w:tc>
        <w:tc>
          <w:tcPr>
            <w:tcW w:type="dxa" w:w="1504"/>
          </w:tcPr>
          <w:p>
            <w:pPr>
              <w:spacing w:after="0"/>
              <w:jc w:val="left"/>
            </w:pPr>
            <w:r/>
            <w:r>
              <w:rPr>
                <w:rFonts w:ascii="Times New Roman" w:hAnsi="Times New Roman"/>
                <w:sz w:val="22"/>
              </w:rPr>
              <w:t>clustered McNemar p below 0.001; corrected paired t p = 0.044 (Table 14)</w:t>
            </w:r>
          </w:p>
        </w:tc>
        <w:tc>
          <w:tcPr>
            <w:tcW w:type="dxa" w:w="1504"/>
          </w:tcPr>
          <w:p>
            <w:pPr>
              <w:spacing w:after="0"/>
              <w:jc w:val="left"/>
            </w:pPr>
            <w:r/>
            <w:r>
              <w:rPr>
                <w:rFonts w:ascii="Times New Roman" w:hAnsi="Times New Roman"/>
                <w:sz w:val="22"/>
              </w:rPr>
              <w:t>reported</w:t>
            </w:r>
          </w:p>
        </w:tc>
        <w:tc>
          <w:tcPr>
            <w:tcW w:type="dxa" w:w="1504"/>
          </w:tcPr>
          <w:p>
            <w:pPr>
              <w:spacing w:after="0"/>
              <w:jc w:val="left"/>
            </w:pPr>
            <w:r/>
          </w:p>
        </w:tc>
        <w:tc>
          <w:tcPr>
            <w:tcW w:type="dxa" w:w="1504"/>
          </w:tcPr>
          <w:p>
            <w:pPr>
              <w:spacing w:after="0"/>
              <w:jc w:val="left"/>
            </w:pPr>
            <w:r/>
          </w:p>
        </w:tc>
      </w:tr>
    </w:tbl>
    <w:p>
      <w:pPr>
        <w:spacing w:after="80"/>
      </w:pPr>
    </w:p>
    <w:p>
      <w:r>
        <w:rPr>
          <w:rFonts w:ascii="Times New Roman" w:hAnsi="Times New Roman"/>
          <w:sz w:val="24"/>
        </w:rPr>
        <w:t>Table 18 shows that no fatality or permanent disability was missed. Most misses are cuts and lacerations, above all to fingers, thumbs and hands, where half or more of the lost-time cases score below the threshold; such injuries are usually minor, so the few that keep a worker away resemble the many that do not. Metal and non-metal mines hold most misses and have the lower precision (Table 19), consistent with their lower lost-time rate. Most false positives are restricted-duty cases, which differ from lost-time ones mainly in whether restricted work was offered.</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Errors of HGB at its capacity threshold of 0.210 on the 20,320 test reports, giving missed lost-time cases by sector, by degree-of-injury code and for the six nature x body part cells with most misses, and flagged non-lost-time cases by degree code.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Group</w:t>
            </w:r>
          </w:p>
        </w:tc>
        <w:tc>
          <w:tcPr>
            <w:tcW w:type="dxa" w:w="2256"/>
            <w:shd w:val="clear" w:color="auto" w:fill="E7E6E6"/>
          </w:tcPr>
          <w:p>
            <w:pPr>
              <w:jc w:val="left"/>
            </w:pPr>
            <w:r>
              <w:rPr>
                <w:b/>
              </w:rPr>
            </w:r>
            <w:r>
              <w:rPr>
                <w:rFonts w:ascii="Times New Roman" w:hAnsi="Times New Roman"/>
                <w:b/>
                <w:sz w:val="22"/>
              </w:rPr>
              <w:t>Cases</w:t>
            </w:r>
          </w:p>
        </w:tc>
        <w:tc>
          <w:tcPr>
            <w:tcW w:type="dxa" w:w="2256"/>
            <w:shd w:val="clear" w:color="auto" w:fill="E7E6E6"/>
          </w:tcPr>
          <w:p>
            <w:pPr>
              <w:jc w:val="left"/>
            </w:pPr>
            <w:r>
              <w:rPr>
                <w:b/>
              </w:rPr>
            </w:r>
            <w:r>
              <w:rPr>
                <w:rFonts w:ascii="Times New Roman" w:hAnsi="Times New Roman"/>
                <w:b/>
                <w:sz w:val="22"/>
              </w:rPr>
              <w:t>Misclassified</w:t>
            </w:r>
          </w:p>
        </w:tc>
        <w:tc>
          <w:tcPr>
            <w:tcW w:type="dxa" w:w="2256"/>
            <w:shd w:val="clear" w:color="auto" w:fill="E7E6E6"/>
          </w:tcPr>
          <w:p>
            <w:pPr>
              <w:jc w:val="left"/>
            </w:pPr>
            <w:r>
              <w:rPr>
                <w:b/>
              </w:rPr>
            </w:r>
            <w:r>
              <w:rPr>
                <w:rFonts w:ascii="Times New Roman" w:hAnsi="Times New Roman"/>
                <w:b/>
                <w:sz w:val="22"/>
              </w:rPr>
              <w:t>Share</w:t>
            </w:r>
          </w:p>
        </w:tc>
      </w:tr>
      <w:tr>
        <w:tc>
          <w:tcPr>
            <w:tcW w:type="dxa" w:w="2256"/>
          </w:tcPr>
          <w:p>
            <w:pPr>
              <w:spacing w:after="0"/>
              <w:jc w:val="left"/>
            </w:pPr>
            <w:r/>
            <w:r>
              <w:rPr>
                <w:rFonts w:ascii="Times New Roman" w:hAnsi="Times New Roman"/>
                <w:sz w:val="22"/>
              </w:rPr>
              <w:t>All lost-time cases</w:t>
            </w:r>
          </w:p>
        </w:tc>
        <w:tc>
          <w:tcPr>
            <w:tcW w:type="dxa" w:w="2256"/>
          </w:tcPr>
          <w:p>
            <w:pPr>
              <w:spacing w:after="0"/>
              <w:jc w:val="left"/>
            </w:pPr>
            <w:r/>
            <w:r>
              <w:rPr>
                <w:rFonts w:ascii="Times New Roman" w:hAnsi="Times New Roman"/>
                <w:sz w:val="22"/>
              </w:rPr>
              <w:t>9,873</w:t>
            </w:r>
          </w:p>
        </w:tc>
        <w:tc>
          <w:tcPr>
            <w:tcW w:type="dxa" w:w="2256"/>
          </w:tcPr>
          <w:p>
            <w:pPr>
              <w:spacing w:after="0"/>
              <w:jc w:val="left"/>
            </w:pPr>
            <w:r/>
            <w:r>
              <w:rPr>
                <w:rFonts w:ascii="Times New Roman" w:hAnsi="Times New Roman"/>
                <w:sz w:val="22"/>
              </w:rPr>
              <w:t>561 missed</w:t>
            </w:r>
          </w:p>
        </w:tc>
        <w:tc>
          <w:tcPr>
            <w:tcW w:type="dxa" w:w="2256"/>
          </w:tcPr>
          <w:p>
            <w:pPr>
              <w:spacing w:after="0"/>
              <w:jc w:val="left"/>
            </w:pPr>
            <w:r/>
            <w:r>
              <w:rPr>
                <w:rFonts w:ascii="Times New Roman" w:hAnsi="Times New Roman"/>
                <w:sz w:val="22"/>
              </w:rPr>
              <w:t>0.057</w:t>
            </w:r>
          </w:p>
        </w:tc>
      </w:tr>
      <w:tr>
        <w:tc>
          <w:tcPr>
            <w:tcW w:type="dxa" w:w="2256"/>
          </w:tcPr>
          <w:p>
            <w:pPr>
              <w:spacing w:after="0"/>
              <w:jc w:val="left"/>
            </w:pPr>
            <w:r/>
            <w:r>
              <w:rPr>
                <w:rFonts w:ascii="Times New Roman" w:hAnsi="Times New Roman"/>
                <w:sz w:val="22"/>
              </w:rPr>
              <w:t>Lost-time cases, coal</w:t>
            </w:r>
          </w:p>
        </w:tc>
        <w:tc>
          <w:tcPr>
            <w:tcW w:type="dxa" w:w="2256"/>
          </w:tcPr>
          <w:p>
            <w:pPr>
              <w:spacing w:after="0"/>
              <w:jc w:val="left"/>
            </w:pPr>
            <w:r/>
            <w:r>
              <w:rPr>
                <w:rFonts w:ascii="Times New Roman" w:hAnsi="Times New Roman"/>
                <w:sz w:val="22"/>
              </w:rPr>
              <w:t>5,280</w:t>
            </w:r>
          </w:p>
        </w:tc>
        <w:tc>
          <w:tcPr>
            <w:tcW w:type="dxa" w:w="2256"/>
          </w:tcPr>
          <w:p>
            <w:pPr>
              <w:spacing w:after="0"/>
              <w:jc w:val="left"/>
            </w:pPr>
            <w:r/>
            <w:r>
              <w:rPr>
                <w:rFonts w:ascii="Times New Roman" w:hAnsi="Times New Roman"/>
                <w:sz w:val="22"/>
              </w:rPr>
              <w:t>152 missed</w:t>
            </w:r>
          </w:p>
        </w:tc>
        <w:tc>
          <w:tcPr>
            <w:tcW w:type="dxa" w:w="2256"/>
          </w:tcPr>
          <w:p>
            <w:pPr>
              <w:spacing w:after="0"/>
              <w:jc w:val="left"/>
            </w:pPr>
            <w:r/>
            <w:r>
              <w:rPr>
                <w:rFonts w:ascii="Times New Roman" w:hAnsi="Times New Roman"/>
                <w:sz w:val="22"/>
              </w:rPr>
              <w:t>0.029</w:t>
            </w:r>
          </w:p>
        </w:tc>
      </w:tr>
      <w:tr>
        <w:tc>
          <w:tcPr>
            <w:tcW w:type="dxa" w:w="2256"/>
          </w:tcPr>
          <w:p>
            <w:pPr>
              <w:spacing w:after="0"/>
              <w:jc w:val="left"/>
            </w:pPr>
            <w:r/>
            <w:r>
              <w:rPr>
                <w:rFonts w:ascii="Times New Roman" w:hAnsi="Times New Roman"/>
                <w:sz w:val="22"/>
              </w:rPr>
              <w:t>Lost-time cases, metal and non-metal</w:t>
            </w:r>
          </w:p>
        </w:tc>
        <w:tc>
          <w:tcPr>
            <w:tcW w:type="dxa" w:w="2256"/>
          </w:tcPr>
          <w:p>
            <w:pPr>
              <w:spacing w:after="0"/>
              <w:jc w:val="left"/>
            </w:pPr>
            <w:r/>
            <w:r>
              <w:rPr>
                <w:rFonts w:ascii="Times New Roman" w:hAnsi="Times New Roman"/>
                <w:sz w:val="22"/>
              </w:rPr>
              <w:t>4,593</w:t>
            </w:r>
          </w:p>
        </w:tc>
        <w:tc>
          <w:tcPr>
            <w:tcW w:type="dxa" w:w="2256"/>
          </w:tcPr>
          <w:p>
            <w:pPr>
              <w:spacing w:after="0"/>
              <w:jc w:val="left"/>
            </w:pPr>
            <w:r/>
            <w:r>
              <w:rPr>
                <w:rFonts w:ascii="Times New Roman" w:hAnsi="Times New Roman"/>
                <w:sz w:val="22"/>
              </w:rPr>
              <w:t>409 missed</w:t>
            </w:r>
          </w:p>
        </w:tc>
        <w:tc>
          <w:tcPr>
            <w:tcW w:type="dxa" w:w="2256"/>
          </w:tcPr>
          <w:p>
            <w:pPr>
              <w:spacing w:after="0"/>
              <w:jc w:val="left"/>
            </w:pPr>
            <w:r/>
            <w:r>
              <w:rPr>
                <w:rFonts w:ascii="Times New Roman" w:hAnsi="Times New Roman"/>
                <w:sz w:val="22"/>
              </w:rPr>
              <w:t>0.089</w:t>
            </w:r>
          </w:p>
        </w:tc>
      </w:tr>
      <w:tr>
        <w:tc>
          <w:tcPr>
            <w:tcW w:type="dxa" w:w="2256"/>
          </w:tcPr>
          <w:p>
            <w:pPr>
              <w:spacing w:after="0"/>
              <w:jc w:val="left"/>
            </w:pPr>
            <w:r/>
            <w:r>
              <w:rPr>
                <w:rFonts w:ascii="Times New Roman" w:hAnsi="Times New Roman"/>
                <w:sz w:val="22"/>
              </w:rPr>
              <w:t>Fatality (code 01)</w:t>
            </w:r>
          </w:p>
        </w:tc>
        <w:tc>
          <w:tcPr>
            <w:tcW w:type="dxa" w:w="2256"/>
          </w:tcPr>
          <w:p>
            <w:pPr>
              <w:spacing w:after="0"/>
              <w:jc w:val="left"/>
            </w:pPr>
            <w:r/>
            <w:r>
              <w:rPr>
                <w:rFonts w:ascii="Times New Roman" w:hAnsi="Times New Roman"/>
                <w:sz w:val="22"/>
              </w:rPr>
              <w:t>142</w:t>
            </w:r>
          </w:p>
        </w:tc>
        <w:tc>
          <w:tcPr>
            <w:tcW w:type="dxa" w:w="2256"/>
          </w:tcPr>
          <w:p>
            <w:pPr>
              <w:spacing w:after="0"/>
              <w:jc w:val="left"/>
            </w:pPr>
            <w:r/>
            <w:r>
              <w:rPr>
                <w:rFonts w:ascii="Times New Roman" w:hAnsi="Times New Roman"/>
                <w:sz w:val="22"/>
              </w:rPr>
              <w:t>0 missed</w:t>
            </w:r>
          </w:p>
        </w:tc>
        <w:tc>
          <w:tcPr>
            <w:tcW w:type="dxa" w:w="2256"/>
          </w:tcPr>
          <w:p>
            <w:pPr>
              <w:spacing w:after="0"/>
              <w:jc w:val="left"/>
            </w:pPr>
            <w:r/>
            <w:r>
              <w:rPr>
                <w:rFonts w:ascii="Times New Roman" w:hAnsi="Times New Roman"/>
                <w:sz w:val="22"/>
              </w:rPr>
              <w:t>0.000</w:t>
            </w:r>
          </w:p>
        </w:tc>
      </w:tr>
      <w:tr>
        <w:tc>
          <w:tcPr>
            <w:tcW w:type="dxa" w:w="2256"/>
          </w:tcPr>
          <w:p>
            <w:pPr>
              <w:spacing w:after="0"/>
              <w:jc w:val="left"/>
            </w:pPr>
            <w:r/>
            <w:r>
              <w:rPr>
                <w:rFonts w:ascii="Times New Roman" w:hAnsi="Times New Roman"/>
                <w:sz w:val="22"/>
              </w:rPr>
              <w:t>Permanent disability (02)</w:t>
            </w:r>
          </w:p>
        </w:tc>
        <w:tc>
          <w:tcPr>
            <w:tcW w:type="dxa" w:w="2256"/>
          </w:tcPr>
          <w:p>
            <w:pPr>
              <w:spacing w:after="0"/>
              <w:jc w:val="left"/>
            </w:pPr>
            <w:r/>
            <w:r>
              <w:rPr>
                <w:rFonts w:ascii="Times New Roman" w:hAnsi="Times New Roman"/>
                <w:sz w:val="22"/>
              </w:rPr>
              <w:t>224</w:t>
            </w:r>
          </w:p>
        </w:tc>
        <w:tc>
          <w:tcPr>
            <w:tcW w:type="dxa" w:w="2256"/>
          </w:tcPr>
          <w:p>
            <w:pPr>
              <w:spacing w:after="0"/>
              <w:jc w:val="left"/>
            </w:pPr>
            <w:r/>
            <w:r>
              <w:rPr>
                <w:rFonts w:ascii="Times New Roman" w:hAnsi="Times New Roman"/>
                <w:sz w:val="22"/>
              </w:rPr>
              <w:t>0 missed</w:t>
            </w:r>
          </w:p>
        </w:tc>
        <w:tc>
          <w:tcPr>
            <w:tcW w:type="dxa" w:w="2256"/>
          </w:tcPr>
          <w:p>
            <w:pPr>
              <w:spacing w:after="0"/>
              <w:jc w:val="left"/>
            </w:pPr>
            <w:r/>
            <w:r>
              <w:rPr>
                <w:rFonts w:ascii="Times New Roman" w:hAnsi="Times New Roman"/>
                <w:sz w:val="22"/>
              </w:rPr>
              <w:t>0.000</w:t>
            </w:r>
          </w:p>
        </w:tc>
      </w:tr>
      <w:tr>
        <w:tc>
          <w:tcPr>
            <w:tcW w:type="dxa" w:w="2256"/>
          </w:tcPr>
          <w:p>
            <w:pPr>
              <w:spacing w:after="0"/>
              <w:jc w:val="left"/>
            </w:pPr>
            <w:r/>
            <w:r>
              <w:rPr>
                <w:rFonts w:ascii="Times New Roman" w:hAnsi="Times New Roman"/>
                <w:sz w:val="22"/>
              </w:rPr>
              <w:t>Days away only (03)</w:t>
            </w:r>
          </w:p>
        </w:tc>
        <w:tc>
          <w:tcPr>
            <w:tcW w:type="dxa" w:w="2256"/>
          </w:tcPr>
          <w:p>
            <w:pPr>
              <w:spacing w:after="0"/>
              <w:jc w:val="left"/>
            </w:pPr>
            <w:r/>
            <w:r>
              <w:rPr>
                <w:rFonts w:ascii="Times New Roman" w:hAnsi="Times New Roman"/>
                <w:sz w:val="22"/>
              </w:rPr>
              <w:t>7,380</w:t>
            </w:r>
          </w:p>
        </w:tc>
        <w:tc>
          <w:tcPr>
            <w:tcW w:type="dxa" w:w="2256"/>
          </w:tcPr>
          <w:p>
            <w:pPr>
              <w:spacing w:after="0"/>
              <w:jc w:val="left"/>
            </w:pPr>
            <w:r/>
            <w:r>
              <w:rPr>
                <w:rFonts w:ascii="Times New Roman" w:hAnsi="Times New Roman"/>
                <w:sz w:val="22"/>
              </w:rPr>
              <w:t>376 missed</w:t>
            </w:r>
          </w:p>
        </w:tc>
        <w:tc>
          <w:tcPr>
            <w:tcW w:type="dxa" w:w="2256"/>
          </w:tcPr>
          <w:p>
            <w:pPr>
              <w:spacing w:after="0"/>
              <w:jc w:val="left"/>
            </w:pPr>
            <w:r/>
            <w:r>
              <w:rPr>
                <w:rFonts w:ascii="Times New Roman" w:hAnsi="Times New Roman"/>
                <w:sz w:val="22"/>
              </w:rPr>
              <w:t>0.051</w:t>
            </w:r>
          </w:p>
        </w:tc>
      </w:tr>
      <w:tr>
        <w:tc>
          <w:tcPr>
            <w:tcW w:type="dxa" w:w="2256"/>
          </w:tcPr>
          <w:p>
            <w:pPr>
              <w:spacing w:after="0"/>
              <w:jc w:val="left"/>
            </w:pPr>
            <w:r/>
            <w:r>
              <w:rPr>
                <w:rFonts w:ascii="Times New Roman" w:hAnsi="Times New Roman"/>
                <w:sz w:val="22"/>
              </w:rPr>
              <w:t>Days away and restricted activity (04)</w:t>
            </w:r>
          </w:p>
        </w:tc>
        <w:tc>
          <w:tcPr>
            <w:tcW w:type="dxa" w:w="2256"/>
          </w:tcPr>
          <w:p>
            <w:pPr>
              <w:spacing w:after="0"/>
              <w:jc w:val="left"/>
            </w:pPr>
            <w:r/>
            <w:r>
              <w:rPr>
                <w:rFonts w:ascii="Times New Roman" w:hAnsi="Times New Roman"/>
                <w:sz w:val="22"/>
              </w:rPr>
              <w:t>2,127</w:t>
            </w:r>
          </w:p>
        </w:tc>
        <w:tc>
          <w:tcPr>
            <w:tcW w:type="dxa" w:w="2256"/>
          </w:tcPr>
          <w:p>
            <w:pPr>
              <w:spacing w:after="0"/>
              <w:jc w:val="left"/>
            </w:pPr>
            <w:r/>
            <w:r>
              <w:rPr>
                <w:rFonts w:ascii="Times New Roman" w:hAnsi="Times New Roman"/>
                <w:sz w:val="22"/>
              </w:rPr>
              <w:t>185 missed</w:t>
            </w:r>
          </w:p>
        </w:tc>
        <w:tc>
          <w:tcPr>
            <w:tcW w:type="dxa" w:w="2256"/>
          </w:tcPr>
          <w:p>
            <w:pPr>
              <w:spacing w:after="0"/>
              <w:jc w:val="left"/>
            </w:pPr>
            <w:r/>
            <w:r>
              <w:rPr>
                <w:rFonts w:ascii="Times New Roman" w:hAnsi="Times New Roman"/>
                <w:sz w:val="22"/>
              </w:rPr>
              <w:t>0.087</w:t>
            </w:r>
          </w:p>
        </w:tc>
      </w:tr>
      <w:tr>
        <w:tc>
          <w:tcPr>
            <w:tcW w:type="dxa" w:w="2256"/>
          </w:tcPr>
          <w:p>
            <w:pPr>
              <w:spacing w:after="0"/>
              <w:jc w:val="left"/>
            </w:pPr>
            <w:r/>
            <w:r>
              <w:rPr>
                <w:rFonts w:ascii="Times New Roman" w:hAnsi="Times New Roman"/>
                <w:sz w:val="22"/>
              </w:rPr>
              <w:t>Cut, laceration or puncture x finger or thumb</w:t>
            </w:r>
          </w:p>
        </w:tc>
        <w:tc>
          <w:tcPr>
            <w:tcW w:type="dxa" w:w="2256"/>
          </w:tcPr>
          <w:p>
            <w:pPr>
              <w:spacing w:after="0"/>
              <w:jc w:val="left"/>
            </w:pPr>
            <w:r/>
            <w:r>
              <w:rPr>
                <w:rFonts w:ascii="Times New Roman" w:hAnsi="Times New Roman"/>
                <w:sz w:val="22"/>
              </w:rPr>
              <w:t>324</w:t>
            </w:r>
          </w:p>
        </w:tc>
        <w:tc>
          <w:tcPr>
            <w:tcW w:type="dxa" w:w="2256"/>
          </w:tcPr>
          <w:p>
            <w:pPr>
              <w:spacing w:after="0"/>
              <w:jc w:val="left"/>
            </w:pPr>
            <w:r/>
            <w:r>
              <w:rPr>
                <w:rFonts w:ascii="Times New Roman" w:hAnsi="Times New Roman"/>
                <w:sz w:val="22"/>
              </w:rPr>
              <w:t>170 missed</w:t>
            </w:r>
          </w:p>
        </w:tc>
        <w:tc>
          <w:tcPr>
            <w:tcW w:type="dxa" w:w="2256"/>
          </w:tcPr>
          <w:p>
            <w:pPr>
              <w:spacing w:after="0"/>
              <w:jc w:val="left"/>
            </w:pPr>
            <w:r/>
            <w:r>
              <w:rPr>
                <w:rFonts w:ascii="Times New Roman" w:hAnsi="Times New Roman"/>
                <w:sz w:val="22"/>
              </w:rPr>
              <w:t>0.525</w:t>
            </w:r>
          </w:p>
        </w:tc>
      </w:tr>
      <w:tr>
        <w:tc>
          <w:tcPr>
            <w:tcW w:type="dxa" w:w="2256"/>
          </w:tcPr>
          <w:p>
            <w:pPr>
              <w:spacing w:after="0"/>
              <w:jc w:val="left"/>
            </w:pPr>
            <w:r/>
            <w:r>
              <w:rPr>
                <w:rFonts w:ascii="Times New Roman" w:hAnsi="Times New Roman"/>
                <w:sz w:val="22"/>
              </w:rPr>
              <w:t>Cut, laceration or puncture x hand</w:t>
            </w:r>
          </w:p>
        </w:tc>
        <w:tc>
          <w:tcPr>
            <w:tcW w:type="dxa" w:w="2256"/>
          </w:tcPr>
          <w:p>
            <w:pPr>
              <w:spacing w:after="0"/>
              <w:jc w:val="left"/>
            </w:pPr>
            <w:r/>
            <w:r>
              <w:rPr>
                <w:rFonts w:ascii="Times New Roman" w:hAnsi="Times New Roman"/>
                <w:sz w:val="22"/>
              </w:rPr>
              <w:t>104</w:t>
            </w:r>
          </w:p>
        </w:tc>
        <w:tc>
          <w:tcPr>
            <w:tcW w:type="dxa" w:w="2256"/>
          </w:tcPr>
          <w:p>
            <w:pPr>
              <w:spacing w:after="0"/>
              <w:jc w:val="left"/>
            </w:pPr>
            <w:r/>
            <w:r>
              <w:rPr>
                <w:rFonts w:ascii="Times New Roman" w:hAnsi="Times New Roman"/>
                <w:sz w:val="22"/>
              </w:rPr>
              <w:t>65 missed</w:t>
            </w:r>
          </w:p>
        </w:tc>
        <w:tc>
          <w:tcPr>
            <w:tcW w:type="dxa" w:w="2256"/>
          </w:tcPr>
          <w:p>
            <w:pPr>
              <w:spacing w:after="0"/>
              <w:jc w:val="left"/>
            </w:pPr>
            <w:r/>
            <w:r>
              <w:rPr>
                <w:rFonts w:ascii="Times New Roman" w:hAnsi="Times New Roman"/>
                <w:sz w:val="22"/>
              </w:rPr>
              <w:t>0.625</w:t>
            </w:r>
          </w:p>
        </w:tc>
      </w:tr>
      <w:tr>
        <w:tc>
          <w:tcPr>
            <w:tcW w:type="dxa" w:w="2256"/>
          </w:tcPr>
          <w:p>
            <w:pPr>
              <w:spacing w:after="0"/>
              <w:jc w:val="left"/>
            </w:pPr>
            <w:r/>
            <w:r>
              <w:rPr>
                <w:rFonts w:ascii="Times New Roman" w:hAnsi="Times New Roman"/>
                <w:sz w:val="22"/>
              </w:rPr>
              <w:t>Fracture x finger or thumb</w:t>
            </w:r>
          </w:p>
        </w:tc>
        <w:tc>
          <w:tcPr>
            <w:tcW w:type="dxa" w:w="2256"/>
          </w:tcPr>
          <w:p>
            <w:pPr>
              <w:spacing w:after="0"/>
              <w:jc w:val="left"/>
            </w:pPr>
            <w:r/>
            <w:r>
              <w:rPr>
                <w:rFonts w:ascii="Times New Roman" w:hAnsi="Times New Roman"/>
                <w:sz w:val="22"/>
              </w:rPr>
              <w:t>392</w:t>
            </w:r>
          </w:p>
        </w:tc>
        <w:tc>
          <w:tcPr>
            <w:tcW w:type="dxa" w:w="2256"/>
          </w:tcPr>
          <w:p>
            <w:pPr>
              <w:spacing w:after="0"/>
              <w:jc w:val="left"/>
            </w:pPr>
            <w:r/>
            <w:r>
              <w:rPr>
                <w:rFonts w:ascii="Times New Roman" w:hAnsi="Times New Roman"/>
                <w:sz w:val="22"/>
              </w:rPr>
              <w:t>51 missed</w:t>
            </w:r>
          </w:p>
        </w:tc>
        <w:tc>
          <w:tcPr>
            <w:tcW w:type="dxa" w:w="2256"/>
          </w:tcPr>
          <w:p>
            <w:pPr>
              <w:spacing w:after="0"/>
              <w:jc w:val="left"/>
            </w:pPr>
            <w:r/>
            <w:r>
              <w:rPr>
                <w:rFonts w:ascii="Times New Roman" w:hAnsi="Times New Roman"/>
                <w:sz w:val="22"/>
              </w:rPr>
              <w:t>0.130</w:t>
            </w:r>
          </w:p>
        </w:tc>
      </w:tr>
      <w:tr>
        <w:tc>
          <w:tcPr>
            <w:tcW w:type="dxa" w:w="2256"/>
          </w:tcPr>
          <w:p>
            <w:pPr>
              <w:spacing w:after="0"/>
              <w:jc w:val="left"/>
            </w:pPr>
            <w:r/>
            <w:r>
              <w:rPr>
                <w:rFonts w:ascii="Times New Roman" w:hAnsi="Times New Roman"/>
                <w:sz w:val="22"/>
              </w:rPr>
              <w:t>Fracture x mouth, lips, teeth or throat</w:t>
            </w:r>
          </w:p>
        </w:tc>
        <w:tc>
          <w:tcPr>
            <w:tcW w:type="dxa" w:w="2256"/>
          </w:tcPr>
          <w:p>
            <w:pPr>
              <w:spacing w:after="0"/>
              <w:jc w:val="left"/>
            </w:pPr>
            <w:r/>
            <w:r>
              <w:rPr>
                <w:rFonts w:ascii="Times New Roman" w:hAnsi="Times New Roman"/>
                <w:sz w:val="22"/>
              </w:rPr>
              <w:t>19</w:t>
            </w:r>
          </w:p>
        </w:tc>
        <w:tc>
          <w:tcPr>
            <w:tcW w:type="dxa" w:w="2256"/>
          </w:tcPr>
          <w:p>
            <w:pPr>
              <w:spacing w:after="0"/>
              <w:jc w:val="left"/>
            </w:pPr>
            <w:r/>
            <w:r>
              <w:rPr>
                <w:rFonts w:ascii="Times New Roman" w:hAnsi="Times New Roman"/>
                <w:sz w:val="22"/>
              </w:rPr>
              <w:t>17 missed</w:t>
            </w:r>
          </w:p>
        </w:tc>
        <w:tc>
          <w:tcPr>
            <w:tcW w:type="dxa" w:w="2256"/>
          </w:tcPr>
          <w:p>
            <w:pPr>
              <w:spacing w:after="0"/>
              <w:jc w:val="left"/>
            </w:pPr>
            <w:r/>
            <w:r>
              <w:rPr>
                <w:rFonts w:ascii="Times New Roman" w:hAnsi="Times New Roman"/>
                <w:sz w:val="22"/>
              </w:rPr>
              <w:t>0.895</w:t>
            </w:r>
          </w:p>
        </w:tc>
      </w:tr>
      <w:tr>
        <w:tc>
          <w:tcPr>
            <w:tcW w:type="dxa" w:w="2256"/>
          </w:tcPr>
          <w:p>
            <w:pPr>
              <w:spacing w:after="0"/>
              <w:jc w:val="left"/>
            </w:pPr>
            <w:r/>
            <w:r>
              <w:rPr>
                <w:rFonts w:ascii="Times New Roman" w:hAnsi="Times New Roman"/>
                <w:sz w:val="22"/>
              </w:rPr>
              <w:t>Dust in the eyes x eye</w:t>
            </w:r>
          </w:p>
        </w:tc>
        <w:tc>
          <w:tcPr>
            <w:tcW w:type="dxa" w:w="2256"/>
          </w:tcPr>
          <w:p>
            <w:pPr>
              <w:spacing w:after="0"/>
              <w:jc w:val="left"/>
            </w:pPr>
            <w:r/>
            <w:r>
              <w:rPr>
                <w:rFonts w:ascii="Times New Roman" w:hAnsi="Times New Roman"/>
                <w:sz w:val="22"/>
              </w:rPr>
              <w:t>36</w:t>
            </w:r>
          </w:p>
        </w:tc>
        <w:tc>
          <w:tcPr>
            <w:tcW w:type="dxa" w:w="2256"/>
          </w:tcPr>
          <w:p>
            <w:pPr>
              <w:spacing w:after="0"/>
              <w:jc w:val="left"/>
            </w:pPr>
            <w:r/>
            <w:r>
              <w:rPr>
                <w:rFonts w:ascii="Times New Roman" w:hAnsi="Times New Roman"/>
                <w:sz w:val="22"/>
              </w:rPr>
              <w:t>16 missed</w:t>
            </w:r>
          </w:p>
        </w:tc>
        <w:tc>
          <w:tcPr>
            <w:tcW w:type="dxa" w:w="2256"/>
          </w:tcPr>
          <w:p>
            <w:pPr>
              <w:spacing w:after="0"/>
              <w:jc w:val="left"/>
            </w:pPr>
            <w:r/>
            <w:r>
              <w:rPr>
                <w:rFonts w:ascii="Times New Roman" w:hAnsi="Times New Roman"/>
                <w:sz w:val="22"/>
              </w:rPr>
              <w:t>0.444</w:t>
            </w:r>
          </w:p>
        </w:tc>
      </w:tr>
      <w:tr>
        <w:tc>
          <w:tcPr>
            <w:tcW w:type="dxa" w:w="2256"/>
          </w:tcPr>
          <w:p>
            <w:pPr>
              <w:spacing w:after="0"/>
              <w:jc w:val="left"/>
            </w:pPr>
            <w:r/>
            <w:r>
              <w:rPr>
                <w:rFonts w:ascii="Times New Roman" w:hAnsi="Times New Roman"/>
                <w:sz w:val="22"/>
              </w:rPr>
              <w:t>Burn or chemical injury x eye</w:t>
            </w:r>
          </w:p>
        </w:tc>
        <w:tc>
          <w:tcPr>
            <w:tcW w:type="dxa" w:w="2256"/>
          </w:tcPr>
          <w:p>
            <w:pPr>
              <w:spacing w:after="0"/>
              <w:jc w:val="left"/>
            </w:pPr>
            <w:r/>
            <w:r>
              <w:rPr>
                <w:rFonts w:ascii="Times New Roman" w:hAnsi="Times New Roman"/>
                <w:sz w:val="22"/>
              </w:rPr>
              <w:t>46</w:t>
            </w:r>
          </w:p>
        </w:tc>
        <w:tc>
          <w:tcPr>
            <w:tcW w:type="dxa" w:w="2256"/>
          </w:tcPr>
          <w:p>
            <w:pPr>
              <w:spacing w:after="0"/>
              <w:jc w:val="left"/>
            </w:pPr>
            <w:r/>
            <w:r>
              <w:rPr>
                <w:rFonts w:ascii="Times New Roman" w:hAnsi="Times New Roman"/>
                <w:sz w:val="22"/>
              </w:rPr>
              <w:t>16 missed</w:t>
            </w:r>
          </w:p>
        </w:tc>
        <w:tc>
          <w:tcPr>
            <w:tcW w:type="dxa" w:w="2256"/>
          </w:tcPr>
          <w:p>
            <w:pPr>
              <w:spacing w:after="0"/>
              <w:jc w:val="left"/>
            </w:pPr>
            <w:r/>
            <w:r>
              <w:rPr>
                <w:rFonts w:ascii="Times New Roman" w:hAnsi="Times New Roman"/>
                <w:sz w:val="22"/>
              </w:rPr>
              <w:t>0.348</w:t>
            </w:r>
          </w:p>
        </w:tc>
      </w:tr>
      <w:tr>
        <w:tc>
          <w:tcPr>
            <w:tcW w:type="dxa" w:w="2256"/>
          </w:tcPr>
          <w:p>
            <w:pPr>
              <w:spacing w:after="0"/>
              <w:jc w:val="left"/>
            </w:pPr>
            <w:r/>
            <w:r>
              <w:rPr>
                <w:rFonts w:ascii="Times New Roman" w:hAnsi="Times New Roman"/>
                <w:sz w:val="22"/>
              </w:rPr>
              <w:t>Non-lost-time: restricted activity only (05)</w:t>
            </w:r>
          </w:p>
        </w:tc>
        <w:tc>
          <w:tcPr>
            <w:tcW w:type="dxa" w:w="2256"/>
          </w:tcPr>
          <w:p>
            <w:pPr>
              <w:spacing w:after="0"/>
              <w:jc w:val="left"/>
            </w:pPr>
            <w:r/>
            <w:r>
              <w:rPr>
                <w:rFonts w:ascii="Times New Roman" w:hAnsi="Times New Roman"/>
                <w:sz w:val="22"/>
              </w:rPr>
              <w:t>4,212</w:t>
            </w:r>
          </w:p>
        </w:tc>
        <w:tc>
          <w:tcPr>
            <w:tcW w:type="dxa" w:w="2256"/>
          </w:tcPr>
          <w:p>
            <w:pPr>
              <w:spacing w:after="0"/>
              <w:jc w:val="left"/>
            </w:pPr>
            <w:r/>
            <w:r>
              <w:rPr>
                <w:rFonts w:ascii="Times New Roman" w:hAnsi="Times New Roman"/>
                <w:sz w:val="22"/>
              </w:rPr>
              <w:t>3,297 flagged</w:t>
            </w:r>
          </w:p>
        </w:tc>
        <w:tc>
          <w:tcPr>
            <w:tcW w:type="dxa" w:w="2256"/>
          </w:tcPr>
          <w:p>
            <w:pPr>
              <w:spacing w:after="0"/>
              <w:jc w:val="left"/>
            </w:pPr>
            <w:r/>
            <w:r>
              <w:rPr>
                <w:rFonts w:ascii="Times New Roman" w:hAnsi="Times New Roman"/>
                <w:sz w:val="22"/>
              </w:rPr>
              <w:t>0.783</w:t>
            </w:r>
          </w:p>
        </w:tc>
      </w:tr>
      <w:tr>
        <w:tc>
          <w:tcPr>
            <w:tcW w:type="dxa" w:w="2256"/>
          </w:tcPr>
          <w:p>
            <w:pPr>
              <w:spacing w:after="0"/>
              <w:jc w:val="left"/>
            </w:pPr>
            <w:r/>
            <w:r>
              <w:rPr>
                <w:rFonts w:ascii="Times New Roman" w:hAnsi="Times New Roman"/>
                <w:sz w:val="22"/>
              </w:rPr>
              <w:t>Non-lost-time: no days away and no restriction (06)</w:t>
            </w:r>
          </w:p>
        </w:tc>
        <w:tc>
          <w:tcPr>
            <w:tcW w:type="dxa" w:w="2256"/>
          </w:tcPr>
          <w:p>
            <w:pPr>
              <w:spacing w:after="0"/>
              <w:jc w:val="left"/>
            </w:pPr>
            <w:r/>
            <w:r>
              <w:rPr>
                <w:rFonts w:ascii="Times New Roman" w:hAnsi="Times New Roman"/>
                <w:sz w:val="22"/>
              </w:rPr>
              <w:t>6,235</w:t>
            </w:r>
          </w:p>
        </w:tc>
        <w:tc>
          <w:tcPr>
            <w:tcW w:type="dxa" w:w="2256"/>
          </w:tcPr>
          <w:p>
            <w:pPr>
              <w:spacing w:after="0"/>
              <w:jc w:val="left"/>
            </w:pPr>
            <w:r/>
            <w:r>
              <w:rPr>
                <w:rFonts w:ascii="Times New Roman" w:hAnsi="Times New Roman"/>
                <w:sz w:val="22"/>
              </w:rPr>
              <w:t>2,935 flagged</w:t>
            </w:r>
          </w:p>
        </w:tc>
        <w:tc>
          <w:tcPr>
            <w:tcW w:type="dxa" w:w="2256"/>
          </w:tcPr>
          <w:p>
            <w:pPr>
              <w:spacing w:after="0"/>
              <w:jc w:val="left"/>
            </w:pPr>
            <w:r/>
            <w:r>
              <w:rPr>
                <w:rFonts w:ascii="Times New Roman" w:hAnsi="Times New Roman"/>
                <w:sz w:val="22"/>
              </w:rPr>
              <w:t>0.471</w:t>
            </w:r>
          </w:p>
        </w:tc>
      </w:tr>
    </w:tbl>
    <w:p>
      <w:pPr>
        <w:spacing w:after="80"/>
      </w:pPr>
    </w:p>
    <w:p>
      <w:r>
        <w:rPr>
          <w:rFonts w:ascii="Times New Roman" w:hAnsi="Times New Roman"/>
          <w:sz w:val="24"/>
        </w:rPr>
        <w:t>Table 19 is the model card of HGB (Mitchell et al., 2019). Its monitoring entries follow Sculley et al. (2015), who show that deployed models accrue hidden debt through shifting inputs and feedback loops. A feedback loop is plausible here, since return-to-work plans prompted by flags could turn lost-time cases into restricted-duty ones and change the label the model learns from.</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Model card of the HGB pipeline, after Mitchell et al. (2019), with metrics on the 20,320 test reports at the capacity threshold unless stated otherwise. Source: author's analysis of MSHA open data.</w:t>
      </w:r>
    </w:p>
    <w:tbl>
      <w:tblPr>
        <w:tblStyle w:val="TableGrid"/>
        <w:tblW w:type="auto" w:w="0"/>
        <w:jc w:val="center"/>
        <w:tblLook w:firstColumn="1" w:firstRow="1" w:lastColumn="0" w:lastRow="0" w:noHBand="0" w:noVBand="1" w:val="04A0"/>
      </w:tblPr>
      <w:tblGrid>
        <w:gridCol w:w="4513"/>
        <w:gridCol w:w="4513"/>
      </w:tblGrid>
      <w:tr>
        <w:tc>
          <w:tcPr>
            <w:tcW w:type="dxa" w:w="4513"/>
            <w:shd w:val="clear" w:color="auto" w:fill="E7E6E6"/>
          </w:tcPr>
          <w:p>
            <w:pPr>
              <w:jc w:val="left"/>
            </w:pPr>
            <w:r>
              <w:rPr>
                <w:b/>
              </w:rPr>
            </w:r>
            <w:r>
              <w:rPr>
                <w:rFonts w:ascii="Times New Roman" w:hAnsi="Times New Roman"/>
                <w:b/>
                <w:sz w:val="22"/>
              </w:rPr>
              <w:t>Field</w:t>
            </w:r>
          </w:p>
        </w:tc>
        <w:tc>
          <w:tcPr>
            <w:tcW w:type="dxa" w:w="4513"/>
            <w:shd w:val="clear" w:color="auto" w:fill="E7E6E6"/>
          </w:tcPr>
          <w:p>
            <w:pPr>
              <w:jc w:val="left"/>
            </w:pPr>
            <w:r>
              <w:rPr>
                <w:b/>
              </w:rPr>
            </w:r>
            <w:r>
              <w:rPr>
                <w:rFonts w:ascii="Times New Roman" w:hAnsi="Times New Roman"/>
                <w:b/>
                <w:sz w:val="22"/>
              </w:rPr>
              <w:t>Content</w:t>
            </w:r>
          </w:p>
        </w:tc>
      </w:tr>
      <w:tr>
        <w:tc>
          <w:tcPr>
            <w:tcW w:type="dxa" w:w="4513"/>
          </w:tcPr>
          <w:p>
            <w:pPr>
              <w:spacing w:after="0"/>
              <w:jc w:val="left"/>
            </w:pPr>
            <w:r/>
            <w:r>
              <w:rPr>
                <w:rFonts w:ascii="Times New Roman" w:hAnsi="Times New Roman"/>
                <w:sz w:val="22"/>
              </w:rPr>
              <w:t>Model</w:t>
            </w:r>
          </w:p>
        </w:tc>
        <w:tc>
          <w:tcPr>
            <w:tcW w:type="dxa" w:w="4513"/>
          </w:tcPr>
          <w:p>
            <w:pPr>
              <w:spacing w:after="0"/>
              <w:jc w:val="left"/>
            </w:pPr>
            <w:r/>
            <w:r>
              <w:rPr>
                <w:rFonts w:ascii="Times New Roman" w:hAnsi="Times New Roman"/>
                <w:sz w:val="22"/>
              </w:rPr>
              <w:t>HistGradientBoostingClassifier from scikit-learn 1.9.1 inside the preprocessing pipeline of Figure 11; learning rate 0.05, at most 400 rounds with early stopping, 31 leaf nodes, no L2 penalty; refitted on the 81,289 training rows on 14 October 2026; saved pipeline 0.45 MB</w:t>
            </w:r>
          </w:p>
        </w:tc>
      </w:tr>
      <w:tr>
        <w:tc>
          <w:tcPr>
            <w:tcW w:type="dxa" w:w="4513"/>
          </w:tcPr>
          <w:p>
            <w:pPr>
              <w:spacing w:after="0"/>
              <w:jc w:val="left"/>
            </w:pPr>
            <w:r/>
            <w:r>
              <w:rPr>
                <w:rFonts w:ascii="Times New Roman" w:hAnsi="Times New Roman"/>
                <w:sz w:val="22"/>
              </w:rPr>
              <w:t>Intended use</w:t>
            </w:r>
          </w:p>
        </w:tc>
        <w:tc>
          <w:tcPr>
            <w:tcW w:type="dxa" w:w="4513"/>
          </w:tcPr>
          <w:p>
            <w:pPr>
              <w:spacing w:after="0"/>
              <w:jc w:val="left"/>
            </w:pPr>
            <w:r/>
            <w:r>
              <w:rPr>
                <w:rFonts w:ascii="Times New Roman" w:hAnsi="Times New Roman"/>
                <w:sz w:val="22"/>
              </w:rPr>
              <w:t>ranking new Form 7000-1 reports at filing for early review by workers'-compensation adjusters at insurers and self-insured operators, flagging reports that score 0.210 or more (about three in four); an adjuster confirms every flag</w:t>
            </w:r>
          </w:p>
        </w:tc>
      </w:tr>
      <w:tr>
        <w:tc>
          <w:tcPr>
            <w:tcW w:type="dxa" w:w="4513"/>
          </w:tcPr>
          <w:p>
            <w:pPr>
              <w:spacing w:after="0"/>
              <w:jc w:val="left"/>
            </w:pPr>
            <w:r/>
            <w:r>
              <w:rPr>
                <w:rFonts w:ascii="Times New Roman" w:hAnsi="Times New Roman"/>
                <w:sz w:val="22"/>
              </w:rPr>
              <w:t>Out-of-scope uses</w:t>
            </w:r>
          </w:p>
        </w:tc>
        <w:tc>
          <w:tcPr>
            <w:tcW w:type="dxa" w:w="4513"/>
          </w:tcPr>
          <w:p>
            <w:pPr>
              <w:spacing w:after="0"/>
              <w:jc w:val="left"/>
            </w:pPr>
            <w:r/>
            <w:r>
              <w:rPr>
                <w:rFonts w:ascii="Times New Roman" w:hAnsi="Times New Roman"/>
                <w:sz w:val="22"/>
              </w:rPr>
              <w:t>ranking mines for inspection, which the DART label suits better; setting benefit levels or denying claims; judging individual workers; reports outside 2010-2025 or outside degree codes 01 to 06</w:t>
            </w:r>
          </w:p>
        </w:tc>
      </w:tr>
      <w:tr>
        <w:tc>
          <w:tcPr>
            <w:tcW w:type="dxa" w:w="4513"/>
          </w:tcPr>
          <w:p>
            <w:pPr>
              <w:spacing w:after="0"/>
              <w:jc w:val="left"/>
            </w:pPr>
            <w:r/>
            <w:r>
              <w:rPr>
                <w:rFonts w:ascii="Times New Roman" w:hAnsi="Times New Roman"/>
                <w:sz w:val="22"/>
              </w:rPr>
              <w:t>Data</w:t>
            </w:r>
          </w:p>
        </w:tc>
        <w:tc>
          <w:tcPr>
            <w:tcW w:type="dxa" w:w="4513"/>
          </w:tcPr>
          <w:p>
            <w:pPr>
              <w:spacing w:after="0"/>
              <w:jc w:val="left"/>
            </w:pPr>
            <w:r/>
            <w:r>
              <w:rPr>
                <w:rFonts w:ascii="Times New Roman" w:hAnsi="Times New Roman"/>
                <w:sz w:val="22"/>
              </w:rPr>
              <w:t>101,609 MSHA reports of 2010-2025 (Section 1.3), split by 32,732 mine-years with 6,724 of them in the test set; secondary temporal split (2010-2019 against 2020-2025) and mine-grouped split</w:t>
            </w:r>
          </w:p>
        </w:tc>
      </w:tr>
      <w:tr>
        <w:tc>
          <w:tcPr>
            <w:tcW w:type="dxa" w:w="4513"/>
          </w:tcPr>
          <w:p>
            <w:pPr>
              <w:spacing w:after="0"/>
              <w:jc w:val="left"/>
            </w:pPr>
            <w:r/>
            <w:r>
              <w:rPr>
                <w:rFonts w:ascii="Times New Roman" w:hAnsi="Times New Roman"/>
                <w:sz w:val="22"/>
              </w:rPr>
              <w:t>Metrics</w:t>
            </w:r>
          </w:p>
        </w:tc>
        <w:tc>
          <w:tcPr>
            <w:tcW w:type="dxa" w:w="4513"/>
          </w:tcPr>
          <w:p>
            <w:pPr>
              <w:spacing w:after="0"/>
              <w:jc w:val="left"/>
            </w:pPr>
            <w:r/>
            <w:r>
              <w:rPr>
                <w:rFonts w:ascii="Times New Roman" w:hAnsi="Times New Roman"/>
                <w:sz w:val="22"/>
              </w:rPr>
              <w:t>PR-AUC (primary), ROC-AUC, recall, specificity, precision, Brier score and expected cost per 1,000 cases, with thresholds from out-of-fold probabilities</w:t>
            </w:r>
          </w:p>
        </w:tc>
      </w:tr>
      <w:tr>
        <w:tc>
          <w:tcPr>
            <w:tcW w:type="dxa" w:w="4513"/>
          </w:tcPr>
          <w:p>
            <w:pPr>
              <w:spacing w:after="0"/>
              <w:jc w:val="left"/>
            </w:pPr>
            <w:r/>
            <w:r>
              <w:rPr>
                <w:rFonts w:ascii="Times New Roman" w:hAnsi="Times New Roman"/>
                <w:sz w:val="22"/>
              </w:rPr>
              <w:t>Overall performance</w:t>
            </w:r>
          </w:p>
        </w:tc>
        <w:tc>
          <w:tcPr>
            <w:tcW w:type="dxa" w:w="4513"/>
          </w:tcPr>
          <w:p>
            <w:pPr>
              <w:spacing w:after="0"/>
              <w:jc w:val="left"/>
            </w:pPr>
            <w:r/>
            <w:r>
              <w:rPr>
                <w:rFonts w:ascii="Times New Roman" w:hAnsi="Times New Roman"/>
                <w:sz w:val="22"/>
              </w:rPr>
              <w:t>PR-AUC 0.841 (mine-year bootstrap 95% interval 0.825 to 0.856), ROC-AUC 0.843 and Brier score 0.161; recall 0.943, specificity 0.403 and precision 0.599 at threshold 0.210</w:t>
            </w:r>
          </w:p>
        </w:tc>
      </w:tr>
      <w:tr>
        <w:tc>
          <w:tcPr>
            <w:tcW w:type="dxa" w:w="4513"/>
          </w:tcPr>
          <w:p>
            <w:pPr>
              <w:spacing w:after="0"/>
              <w:jc w:val="left"/>
            </w:pPr>
            <w:r/>
            <w:r>
              <w:rPr>
                <w:rFonts w:ascii="Times New Roman" w:hAnsi="Times New Roman"/>
                <w:sz w:val="22"/>
              </w:rPr>
              <w:t>Subgroup performance</w:t>
            </w:r>
          </w:p>
        </w:tc>
        <w:tc>
          <w:tcPr>
            <w:tcW w:type="dxa" w:w="4513"/>
          </w:tcPr>
          <w:p>
            <w:pPr>
              <w:spacing w:after="0"/>
              <w:jc w:val="left"/>
            </w:pPr>
            <w:r/>
            <w:r>
              <w:rPr>
                <w:rFonts w:ascii="Times New Roman" w:hAnsi="Times New Roman"/>
                <w:sz w:val="22"/>
              </w:rPr>
              <w:t>coal (8,270 reports, prevalence 0.638): recall 0.971, specificity 0.397, precision 0.740, PR-AUC 0.912, Brier 0.135; metal and non-metal (12,050 reports, prevalence 0.381): recall 0.911, specificity 0.406, precision 0.486, PR-AUC 0.708, Brier 0.179</w:t>
            </w:r>
          </w:p>
        </w:tc>
      </w:tr>
      <w:tr>
        <w:tc>
          <w:tcPr>
            <w:tcW w:type="dxa" w:w="4513"/>
          </w:tcPr>
          <w:p>
            <w:pPr>
              <w:spacing w:after="0"/>
              <w:jc w:val="left"/>
            </w:pPr>
            <w:r/>
            <w:r>
              <w:rPr>
                <w:rFonts w:ascii="Times New Roman" w:hAnsi="Times New Roman"/>
                <w:sz w:val="22"/>
              </w:rPr>
              <w:t>Stability checks</w:t>
            </w:r>
          </w:p>
        </w:tc>
        <w:tc>
          <w:tcPr>
            <w:tcW w:type="dxa" w:w="4513"/>
          </w:tcPr>
          <w:p>
            <w:pPr>
              <w:spacing w:after="0"/>
              <w:jc w:val="left"/>
            </w:pPr>
            <w:r/>
            <w:r>
              <w:rPr>
                <w:rFonts w:ascii="Times New Roman" w:hAnsi="Times New Roman"/>
                <w:sz w:val="22"/>
              </w:rPr>
              <w:t>temporal split: PR-AUC 0.843 and recall 0.944 at a realised specificity of 0.377; mine-grouped split: PR-AUC 0.836 and recall 0.936; removing immed_reportable or the 103(i) status, counting only resolved earlier cases or blanking early-January exposure changed test PR-AUC by at most 0.001; without the 175 amputation reports, all lost-time, test PR-AUC is 0.834</w:t>
            </w:r>
          </w:p>
        </w:tc>
      </w:tr>
      <w:tr>
        <w:tc>
          <w:tcPr>
            <w:tcW w:type="dxa" w:w="4513"/>
          </w:tcPr>
          <w:p>
            <w:pPr>
              <w:spacing w:after="0"/>
              <w:jc w:val="left"/>
            </w:pPr>
            <w:r/>
            <w:r>
              <w:rPr>
                <w:rFonts w:ascii="Times New Roman" w:hAnsi="Times New Roman"/>
                <w:sz w:val="22"/>
              </w:rPr>
              <w:t>Limitations</w:t>
            </w:r>
          </w:p>
        </w:tc>
        <w:tc>
          <w:tcPr>
            <w:tcW w:type="dxa" w:w="4513"/>
          </w:tcPr>
          <w:p>
            <w:pPr>
              <w:spacing w:after="0"/>
              <w:jc w:val="left"/>
            </w:pPr>
            <w:r/>
            <w:r>
              <w:rPr>
                <w:rFonts w:ascii="Times New Roman" w:hAnsi="Times New Roman"/>
                <w:sz w:val="22"/>
              </w:rPr>
              <w:t>misses S5 (recall 0.775 at a 50% flag rate); the label records whether restricted duty was offered; precision below 0.5 in metal and non-metal mines; self-reported data omit unreported injuries; scores describe association, not cause</w:t>
            </w:r>
          </w:p>
        </w:tc>
      </w:tr>
      <w:tr>
        <w:tc>
          <w:tcPr>
            <w:tcW w:type="dxa" w:w="4513"/>
          </w:tcPr>
          <w:p>
            <w:pPr>
              <w:spacing w:after="0"/>
              <w:jc w:val="left"/>
            </w:pPr>
            <w:r/>
            <w:r>
              <w:rPr>
                <w:rFonts w:ascii="Times New Roman" w:hAnsi="Times New Roman"/>
                <w:sz w:val="22"/>
              </w:rPr>
              <w:t>Ethical considerations</w:t>
            </w:r>
          </w:p>
        </w:tc>
        <w:tc>
          <w:tcPr>
            <w:tcW w:type="dxa" w:w="4513"/>
          </w:tcPr>
          <w:p>
            <w:pPr>
              <w:spacing w:after="0"/>
              <w:jc w:val="left"/>
            </w:pPr>
            <w:r/>
            <w:r>
              <w:rPr>
                <w:rFonts w:ascii="Times New Roman" w:hAnsi="Times New Roman"/>
                <w:sz w:val="22"/>
              </w:rPr>
              <w:t>no names or narratives are used, but occupation, experience and state can stand in for groups of workers; a flag must never reduce benefits; the sector gap is disclosed; the application states the intended use and leaves the decision to a person</w:t>
            </w:r>
          </w:p>
        </w:tc>
      </w:tr>
      <w:tr>
        <w:tc>
          <w:tcPr>
            <w:tcW w:type="dxa" w:w="4513"/>
          </w:tcPr>
          <w:p>
            <w:pPr>
              <w:spacing w:after="0"/>
              <w:jc w:val="left"/>
            </w:pPr>
            <w:r/>
            <w:r>
              <w:rPr>
                <w:rFonts w:ascii="Times New Roman" w:hAnsi="Times New Roman"/>
                <w:sz w:val="22"/>
              </w:rPr>
              <w:t>Monitoring</w:t>
            </w:r>
          </w:p>
        </w:tc>
        <w:tc>
          <w:tcPr>
            <w:tcW w:type="dxa" w:w="4513"/>
          </w:tcPr>
          <w:p>
            <w:pPr>
              <w:spacing w:after="0"/>
              <w:jc w:val="left"/>
            </w:pPr>
            <w:r/>
            <w:r>
              <w:rPr>
                <w:rFonts w:ascii="Times New Roman" w:hAnsi="Times New Roman"/>
                <w:sz w:val="22"/>
              </w:rPr>
              <w:t>track the flag rate against the planned three in four, and PR-AUC and Brier score by sector on newly closed cases; retrain or recalibrate when PR-AUC falls below the S2 target of 0.75, the Brier score exceeds the S6 limit of 0.20 or the share of pooled infrequent levels grows (Sculley et al., 2015)</w:t>
            </w:r>
          </w:p>
        </w:tc>
      </w:tr>
    </w:tbl>
    <w:p>
      <w:pPr>
        <w:spacing w:after="80"/>
      </w:pPr>
    </w:p>
    <w:p>
      <w:r>
        <w:br w:type="page"/>
      </w:r>
    </w:p>
    <w:p>
      <w:pPr>
        <w:pStyle w:val="Heading1"/>
      </w:pPr>
      <w:r>
        <w:rPr>
          <w:rFonts w:ascii="Times New Roman" w:hAnsi="Times New Roman"/>
          <w:b/>
          <w:color w:val="000000"/>
          <w:sz w:val="32"/>
        </w:rPr>
        <w:t>5 Conclusion</w:t>
      </w:r>
    </w:p>
    <w:p>
      <w:pPr>
        <w:pStyle w:val="Heading2"/>
      </w:pPr>
      <w:r>
        <w:rPr>
          <w:rFonts w:ascii="Times New Roman" w:hAnsi="Times New Roman"/>
          <w:b/>
          <w:color w:val="000000"/>
          <w:sz w:val="28"/>
        </w:rPr>
        <w:t>5.1 Key data analysis findings</w:t>
      </w:r>
    </w:p>
    <w:p>
      <w:pPr>
        <w:pStyle w:val="ListNumber"/>
        <w:spacing w:after="60"/>
      </w:pPr>
      <w:r>
        <w:rPr>
          <w:rFonts w:ascii="Times New Roman" w:hAnsi="Times New Roman"/>
          <w:sz w:val="24"/>
        </w:rPr>
        <w:t>Lost-time cases are 48.6% of the 101,609 in-scope reports (Figure 1), so a rule that finds none is right about half the time and the insurer needs a ranked review queue.</w:t>
      </w:r>
    </w:p>
    <w:p>
      <w:pPr>
        <w:pStyle w:val="ListNumber"/>
        <w:spacing w:after="60"/>
      </w:pPr>
      <w:r>
        <w:rPr>
          <w:rFonts w:ascii="Times New Roman" w:hAnsi="Times New Roman"/>
          <w:sz w:val="24"/>
        </w:rPr>
        <w:t>Nature of injury and body part lead the association with lost time (Cramer's V of 0.391 and 0.364, Table 7), with cuts near 18% lost-time (Figure 7), so the fields the safety officer completes on the form carry most of the signal at filing.</w:t>
      </w:r>
    </w:p>
    <w:p>
      <w:pPr>
        <w:pStyle w:val="ListNumber"/>
        <w:spacing w:after="60"/>
      </w:pPr>
      <w:r>
        <w:rPr>
          <w:rFonts w:ascii="Times New Roman" w:hAnsi="Times New Roman"/>
          <w:sz w:val="24"/>
        </w:rPr>
        <w:t>The mine's previous-year lost-time share is the strongest numeric signal (point-biserial r = 0.292, Table 7; Figure 5), so mine history known before the accident shifts each score, though it partly reflects the restricted-duty practice behind the label.</w:t>
      </w:r>
    </w:p>
    <w:p>
      <w:pPr>
        <w:pStyle w:val="ListNumber"/>
        <w:spacing w:after="60"/>
      </w:pPr>
      <w:r>
        <w:rPr>
          <w:rFonts w:ascii="Times New Roman" w:hAnsi="Times New Roman"/>
          <w:sz w:val="24"/>
        </w:rPr>
        <w:t>Coal reports are lost-time in 63.0% of cases against 38.6% in metal and non-metal mines, while the DART label hardly varies by sector (Table 2), so the label records employers' restricted-duty practice as well as severity, and scores must be read within sector.</w:t>
      </w:r>
    </w:p>
    <w:p>
      <w:pPr>
        <w:pStyle w:val="ListNumber"/>
        <w:spacing w:after="60"/>
      </w:pPr>
      <w:r>
        <w:rPr>
          <w:rFonts w:ascii="Times New Roman" w:hAnsi="Times New Roman"/>
          <w:sz w:val="24"/>
        </w:rPr>
        <w:t>Gaps are mostly structural, but reports without total experience are lost-time in 59.3% of training cases against 48.5% of recorded ones (Figure 8; Table 8), so missing-value indicators keep that higher risk visible to the reserve decision.</w:t>
      </w:r>
    </w:p>
    <w:p>
      <w:pPr>
        <w:pStyle w:val="ListNumber"/>
        <w:spacing w:after="60"/>
      </w:pPr>
      <w:r>
        <w:rPr>
          <w:rFonts w:ascii="Times New Roman" w:hAnsi="Times New Roman"/>
          <w:sz w:val="24"/>
        </w:rPr>
        <w:t>The classes overlap in every two-dimensional view (Figure 6; Figure 10), and the one-field hand rule reaches a specificity of 0.429 (Table 3), so sparing needless reviews without losing lost-time cases needs a model that combines many fields.</w:t>
      </w:r>
    </w:p>
    <w:p>
      <w:pPr>
        <w:pStyle w:val="Heading2"/>
      </w:pPr>
      <w:r>
        <w:rPr>
          <w:rFonts w:ascii="Times New Roman" w:hAnsi="Times New Roman"/>
          <w:b/>
          <w:color w:val="000000"/>
          <w:sz w:val="28"/>
        </w:rPr>
        <w:t>5.2 Interpretation of results</w:t>
      </w:r>
    </w:p>
    <w:p>
      <w:r>
        <w:rPr>
          <w:rFonts w:ascii="Times New Roman" w:hAnsi="Times New Roman"/>
          <w:sz w:val="24"/>
        </w:rPr>
        <w:t>Per 1,000 filed cases at the capacity threshold, HGB misses 27.6 lost-time cases against 49.5 for the one-field hand rule, for a slightly larger review load (Table 20). Its cost-optimal thresholds undercut reviewing everything at low cost ratios. At the base ratio of Table 1 the cheapest threshold flags almost every case (Figure 14), leaving the score to order the queue when capacity binds.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Outcomes per 1,000 filed cases on the 20,320-row held-out test set for HGB at three thresholds fixed on out-of-fold probabilities and at two other review capacities, for the lookup baseline at its capacity threshold, for the one-field hand rule built for this study and for reviewing everything, with the expected cost at the 2:1 and 5:1 cost ratios at USD 200 per review; counts are test confusion counts scaled to 1,000 cases, the two capacity rows take their cut-off from the test scores (labels only count the hits), and reviewing everything costs USD 102,825 per 1,000 on the test set against USD 102,829 on all in-scope reports.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2"/>
              </w:rPr>
              <w:t>Policy</w:t>
            </w:r>
          </w:p>
        </w:tc>
        <w:tc>
          <w:tcPr>
            <w:tcW w:type="dxa" w:w="1128"/>
            <w:shd w:val="clear" w:color="auto" w:fill="E7E6E6"/>
          </w:tcPr>
          <w:p>
            <w:pPr>
              <w:jc w:val="left"/>
            </w:pPr>
            <w:r>
              <w:rPr>
                <w:b/>
              </w:rPr>
            </w:r>
            <w:r>
              <w:rPr>
                <w:rFonts w:ascii="Times New Roman" w:hAnsi="Times New Roman"/>
                <w:b/>
                <w:sz w:val="22"/>
              </w:rPr>
              <w:t>Threshold</w:t>
            </w:r>
          </w:p>
        </w:tc>
        <w:tc>
          <w:tcPr>
            <w:tcW w:type="dxa" w:w="1128"/>
            <w:shd w:val="clear" w:color="auto" w:fill="E7E6E6"/>
          </w:tcPr>
          <w:p>
            <w:pPr>
              <w:jc w:val="left"/>
            </w:pPr>
            <w:r>
              <w:rPr>
                <w:b/>
              </w:rPr>
            </w:r>
            <w:r>
              <w:rPr>
                <w:rFonts w:ascii="Times New Roman" w:hAnsi="Times New Roman"/>
                <w:b/>
                <w:sz w:val="22"/>
              </w:rPr>
              <w:t>Flagged</w:t>
            </w:r>
          </w:p>
        </w:tc>
        <w:tc>
          <w:tcPr>
            <w:tcW w:type="dxa" w:w="1128"/>
            <w:shd w:val="clear" w:color="auto" w:fill="E7E6E6"/>
          </w:tcPr>
          <w:p>
            <w:pPr>
              <w:jc w:val="left"/>
            </w:pPr>
            <w:r>
              <w:rPr>
                <w:b/>
              </w:rPr>
            </w:r>
            <w:r>
              <w:rPr>
                <w:rFonts w:ascii="Times New Roman" w:hAnsi="Times New Roman"/>
                <w:b/>
                <w:sz w:val="22"/>
              </w:rPr>
              <w:t>Lost-time cases caught</w:t>
            </w:r>
          </w:p>
        </w:tc>
        <w:tc>
          <w:tcPr>
            <w:tcW w:type="dxa" w:w="1128"/>
            <w:shd w:val="clear" w:color="auto" w:fill="E7E6E6"/>
          </w:tcPr>
          <w:p>
            <w:pPr>
              <w:jc w:val="left"/>
            </w:pPr>
            <w:r>
              <w:rPr>
                <w:b/>
              </w:rPr>
            </w:r>
            <w:r>
              <w:rPr>
                <w:rFonts w:ascii="Times New Roman" w:hAnsi="Times New Roman"/>
                <w:b/>
                <w:sz w:val="22"/>
              </w:rPr>
              <w:t>Lost-time cases missed</w:t>
            </w:r>
          </w:p>
        </w:tc>
        <w:tc>
          <w:tcPr>
            <w:tcW w:type="dxa" w:w="1128"/>
            <w:shd w:val="clear" w:color="auto" w:fill="E7E6E6"/>
          </w:tcPr>
          <w:p>
            <w:pPr>
              <w:jc w:val="left"/>
            </w:pPr>
            <w:r>
              <w:rPr>
                <w:b/>
              </w:rPr>
            </w:r>
            <w:r>
              <w:rPr>
                <w:rFonts w:ascii="Times New Roman" w:hAnsi="Times New Roman"/>
                <w:b/>
                <w:sz w:val="22"/>
              </w:rPr>
              <w:t>False alarms</w:t>
            </w:r>
          </w:p>
        </w:tc>
        <w:tc>
          <w:tcPr>
            <w:tcW w:type="dxa" w:w="1128"/>
            <w:shd w:val="clear" w:color="auto" w:fill="E7E6E6"/>
          </w:tcPr>
          <w:p>
            <w:pPr>
              <w:jc w:val="left"/>
            </w:pPr>
            <w:r>
              <w:rPr>
                <w:b/>
              </w:rPr>
            </w:r>
            <w:r>
              <w:rPr>
                <w:rFonts w:ascii="Times New Roman" w:hAnsi="Times New Roman"/>
                <w:b/>
                <w:sz w:val="22"/>
              </w:rPr>
              <w:t>Expected cost at 2:1 (USD)</w:t>
            </w:r>
          </w:p>
        </w:tc>
        <w:tc>
          <w:tcPr>
            <w:tcW w:type="dxa" w:w="1128"/>
            <w:shd w:val="clear" w:color="auto" w:fill="E7E6E6"/>
          </w:tcPr>
          <w:p>
            <w:pPr>
              <w:jc w:val="left"/>
            </w:pPr>
            <w:r>
              <w:rPr>
                <w:b/>
              </w:rPr>
            </w:r>
            <w:r>
              <w:rPr>
                <w:rFonts w:ascii="Times New Roman" w:hAnsi="Times New Roman"/>
                <w:b/>
                <w:sz w:val="22"/>
              </w:rPr>
              <w:t>Expected cost at 5:1 (USD)</w:t>
            </w:r>
          </w:p>
        </w:tc>
      </w:tr>
      <w:tr>
        <w:tc>
          <w:tcPr>
            <w:tcW w:type="dxa" w:w="1128"/>
          </w:tcPr>
          <w:p>
            <w:pPr>
              <w:spacing w:after="0"/>
              <w:jc w:val="left"/>
            </w:pPr>
            <w:r/>
            <w:r>
              <w:rPr>
                <w:rFonts w:ascii="Times New Roman" w:hAnsi="Times New Roman"/>
                <w:sz w:val="22"/>
              </w:rPr>
              <w:t>HGB, capacity threshold (out-of-fold specificity 0.40)</w:t>
            </w:r>
          </w:p>
        </w:tc>
        <w:tc>
          <w:tcPr>
            <w:tcW w:type="dxa" w:w="1128"/>
          </w:tcPr>
          <w:p>
            <w:pPr>
              <w:spacing w:after="0"/>
              <w:jc w:val="left"/>
            </w:pPr>
            <w:r/>
            <w:r>
              <w:rPr>
                <w:rFonts w:ascii="Times New Roman" w:hAnsi="Times New Roman"/>
                <w:sz w:val="22"/>
              </w:rPr>
              <w:t>0.210</w:t>
            </w:r>
          </w:p>
        </w:tc>
        <w:tc>
          <w:tcPr>
            <w:tcW w:type="dxa" w:w="1128"/>
          </w:tcPr>
          <w:p>
            <w:pPr>
              <w:spacing w:after="0"/>
              <w:jc w:val="left"/>
            </w:pPr>
            <w:r/>
            <w:r>
              <w:rPr>
                <w:rFonts w:ascii="Times New Roman" w:hAnsi="Times New Roman"/>
                <w:sz w:val="22"/>
              </w:rPr>
              <w:t>765.0</w:t>
            </w:r>
          </w:p>
        </w:tc>
        <w:tc>
          <w:tcPr>
            <w:tcW w:type="dxa" w:w="1128"/>
          </w:tcPr>
          <w:p>
            <w:pPr>
              <w:spacing w:after="0"/>
              <w:jc w:val="left"/>
            </w:pPr>
            <w:r/>
            <w:r>
              <w:rPr>
                <w:rFonts w:ascii="Times New Roman" w:hAnsi="Times New Roman"/>
                <w:sz w:val="22"/>
              </w:rPr>
              <w:t>458.3</w:t>
            </w:r>
          </w:p>
        </w:tc>
        <w:tc>
          <w:tcPr>
            <w:tcW w:type="dxa" w:w="1128"/>
          </w:tcPr>
          <w:p>
            <w:pPr>
              <w:spacing w:after="0"/>
              <w:jc w:val="left"/>
            </w:pPr>
            <w:r/>
            <w:r>
              <w:rPr>
                <w:rFonts w:ascii="Times New Roman" w:hAnsi="Times New Roman"/>
                <w:sz w:val="22"/>
              </w:rPr>
              <w:t>27.6</w:t>
            </w:r>
          </w:p>
        </w:tc>
        <w:tc>
          <w:tcPr>
            <w:tcW w:type="dxa" w:w="1128"/>
          </w:tcPr>
          <w:p>
            <w:pPr>
              <w:spacing w:after="0"/>
              <w:jc w:val="left"/>
            </w:pPr>
            <w:r/>
            <w:r>
              <w:rPr>
                <w:rFonts w:ascii="Times New Roman" w:hAnsi="Times New Roman"/>
                <w:sz w:val="22"/>
              </w:rPr>
              <w:t>306.7</w:t>
            </w:r>
          </w:p>
        </w:tc>
        <w:tc>
          <w:tcPr>
            <w:tcW w:type="dxa" w:w="1128"/>
          </w:tcPr>
          <w:p>
            <w:pPr>
              <w:spacing w:after="0"/>
              <w:jc w:val="left"/>
            </w:pPr>
            <w:r/>
            <w:r>
              <w:rPr>
                <w:rFonts w:ascii="Times New Roman" w:hAnsi="Times New Roman"/>
                <w:sz w:val="22"/>
              </w:rPr>
              <w:t>72,382</w:t>
            </w:r>
          </w:p>
        </w:tc>
        <w:tc>
          <w:tcPr>
            <w:tcW w:type="dxa" w:w="1128"/>
          </w:tcPr>
          <w:p>
            <w:pPr>
              <w:spacing w:after="0"/>
              <w:jc w:val="left"/>
            </w:pPr>
            <w:r/>
            <w:r>
              <w:rPr>
                <w:rFonts w:ascii="Times New Roman" w:hAnsi="Times New Roman"/>
                <w:sz w:val="22"/>
              </w:rPr>
              <w:t>88,947</w:t>
            </w:r>
          </w:p>
        </w:tc>
      </w:tr>
      <w:tr>
        <w:tc>
          <w:tcPr>
            <w:tcW w:type="dxa" w:w="1128"/>
          </w:tcPr>
          <w:p>
            <w:pPr>
              <w:spacing w:after="0"/>
              <w:jc w:val="left"/>
            </w:pPr>
            <w:r/>
            <w:r>
              <w:rPr>
                <w:rFonts w:ascii="Times New Roman" w:hAnsi="Times New Roman"/>
                <w:sz w:val="22"/>
              </w:rPr>
              <w:t>HGB, cost-optimal at 2:1</w:t>
            </w:r>
          </w:p>
        </w:tc>
        <w:tc>
          <w:tcPr>
            <w:tcW w:type="dxa" w:w="1128"/>
          </w:tcPr>
          <w:p>
            <w:pPr>
              <w:spacing w:after="0"/>
              <w:jc w:val="left"/>
            </w:pPr>
            <w:r/>
            <w:r>
              <w:rPr>
                <w:rFonts w:ascii="Times New Roman" w:hAnsi="Times New Roman"/>
                <w:sz w:val="22"/>
              </w:rPr>
              <w:t>0.335</w:t>
            </w:r>
          </w:p>
        </w:tc>
        <w:tc>
          <w:tcPr>
            <w:tcW w:type="dxa" w:w="1128"/>
          </w:tcPr>
          <w:p>
            <w:pPr>
              <w:spacing w:after="0"/>
              <w:jc w:val="left"/>
            </w:pPr>
            <w:r/>
            <w:r>
              <w:rPr>
                <w:rFonts w:ascii="Times New Roman" w:hAnsi="Times New Roman"/>
                <w:sz w:val="22"/>
              </w:rPr>
              <w:t>621.9</w:t>
            </w:r>
          </w:p>
        </w:tc>
        <w:tc>
          <w:tcPr>
            <w:tcW w:type="dxa" w:w="1128"/>
          </w:tcPr>
          <w:p>
            <w:pPr>
              <w:spacing w:after="0"/>
              <w:jc w:val="left"/>
            </w:pPr>
            <w:r/>
            <w:r>
              <w:rPr>
                <w:rFonts w:ascii="Times New Roman" w:hAnsi="Times New Roman"/>
                <w:sz w:val="22"/>
              </w:rPr>
              <w:t>421.4</w:t>
            </w:r>
          </w:p>
        </w:tc>
        <w:tc>
          <w:tcPr>
            <w:tcW w:type="dxa" w:w="1128"/>
          </w:tcPr>
          <w:p>
            <w:pPr>
              <w:spacing w:after="0"/>
              <w:jc w:val="left"/>
            </w:pPr>
            <w:r/>
            <w:r>
              <w:rPr>
                <w:rFonts w:ascii="Times New Roman" w:hAnsi="Times New Roman"/>
                <w:sz w:val="22"/>
              </w:rPr>
              <w:t>64.5</w:t>
            </w:r>
          </w:p>
        </w:tc>
        <w:tc>
          <w:tcPr>
            <w:tcW w:type="dxa" w:w="1128"/>
          </w:tcPr>
          <w:p>
            <w:pPr>
              <w:spacing w:after="0"/>
              <w:jc w:val="left"/>
            </w:pPr>
            <w:r/>
            <w:r>
              <w:rPr>
                <w:rFonts w:ascii="Times New Roman" w:hAnsi="Times New Roman"/>
                <w:sz w:val="22"/>
              </w:rPr>
              <w:t>200.5</w:t>
            </w:r>
          </w:p>
        </w:tc>
        <w:tc>
          <w:tcPr>
            <w:tcW w:type="dxa" w:w="1128"/>
          </w:tcPr>
          <w:p>
            <w:pPr>
              <w:spacing w:after="0"/>
              <w:jc w:val="left"/>
            </w:pPr>
            <w:r/>
            <w:r>
              <w:rPr>
                <w:rFonts w:ascii="Times New Roman" w:hAnsi="Times New Roman"/>
                <w:sz w:val="22"/>
              </w:rPr>
              <w:t>65,896</w:t>
            </w:r>
          </w:p>
        </w:tc>
        <w:tc>
          <w:tcPr>
            <w:tcW w:type="dxa" w:w="1128"/>
          </w:tcPr>
          <w:p>
            <w:pPr>
              <w:spacing w:after="0"/>
              <w:jc w:val="left"/>
            </w:pPr>
            <w:r/>
            <w:r>
              <w:rPr>
                <w:rFonts w:ascii="Times New Roman" w:hAnsi="Times New Roman"/>
                <w:sz w:val="22"/>
              </w:rPr>
              <w:t>104,577</w:t>
            </w:r>
          </w:p>
        </w:tc>
      </w:tr>
      <w:tr>
        <w:tc>
          <w:tcPr>
            <w:tcW w:type="dxa" w:w="1128"/>
          </w:tcPr>
          <w:p>
            <w:pPr>
              <w:spacing w:after="0"/>
              <w:jc w:val="left"/>
            </w:pPr>
            <w:r/>
            <w:r>
              <w:rPr>
                <w:rFonts w:ascii="Times New Roman" w:hAnsi="Times New Roman"/>
                <w:sz w:val="22"/>
              </w:rPr>
              <w:t>HGB, cost-optimal at 5:1</w:t>
            </w:r>
          </w:p>
        </w:tc>
        <w:tc>
          <w:tcPr>
            <w:tcW w:type="dxa" w:w="1128"/>
          </w:tcPr>
          <w:p>
            <w:pPr>
              <w:spacing w:after="0"/>
              <w:jc w:val="left"/>
            </w:pPr>
            <w:r/>
            <w:r>
              <w:rPr>
                <w:rFonts w:ascii="Times New Roman" w:hAnsi="Times New Roman"/>
                <w:sz w:val="22"/>
              </w:rPr>
              <w:t>0.165</w:t>
            </w:r>
          </w:p>
        </w:tc>
        <w:tc>
          <w:tcPr>
            <w:tcW w:type="dxa" w:w="1128"/>
          </w:tcPr>
          <w:p>
            <w:pPr>
              <w:spacing w:after="0"/>
              <w:jc w:val="left"/>
            </w:pPr>
            <w:r/>
            <w:r>
              <w:rPr>
                <w:rFonts w:ascii="Times New Roman" w:hAnsi="Times New Roman"/>
                <w:sz w:val="22"/>
              </w:rPr>
              <w:t>821.0</w:t>
            </w:r>
          </w:p>
        </w:tc>
        <w:tc>
          <w:tcPr>
            <w:tcW w:type="dxa" w:w="1128"/>
          </w:tcPr>
          <w:p>
            <w:pPr>
              <w:spacing w:after="0"/>
              <w:jc w:val="left"/>
            </w:pPr>
            <w:r/>
            <w:r>
              <w:rPr>
                <w:rFonts w:ascii="Times New Roman" w:hAnsi="Times New Roman"/>
                <w:sz w:val="22"/>
              </w:rPr>
              <w:t>468.7</w:t>
            </w:r>
          </w:p>
        </w:tc>
        <w:tc>
          <w:tcPr>
            <w:tcW w:type="dxa" w:w="1128"/>
          </w:tcPr>
          <w:p>
            <w:pPr>
              <w:spacing w:after="0"/>
              <w:jc w:val="left"/>
            </w:pPr>
            <w:r/>
            <w:r>
              <w:rPr>
                <w:rFonts w:ascii="Times New Roman" w:hAnsi="Times New Roman"/>
                <w:sz w:val="22"/>
              </w:rPr>
              <w:t>17.2</w:t>
            </w:r>
          </w:p>
        </w:tc>
        <w:tc>
          <w:tcPr>
            <w:tcW w:type="dxa" w:w="1128"/>
          </w:tcPr>
          <w:p>
            <w:pPr>
              <w:spacing w:after="0"/>
              <w:jc w:val="left"/>
            </w:pPr>
            <w:r/>
            <w:r>
              <w:rPr>
                <w:rFonts w:ascii="Times New Roman" w:hAnsi="Times New Roman"/>
                <w:sz w:val="22"/>
              </w:rPr>
              <w:t>352.3</w:t>
            </w:r>
          </w:p>
        </w:tc>
        <w:tc>
          <w:tcPr>
            <w:tcW w:type="dxa" w:w="1128"/>
          </w:tcPr>
          <w:p>
            <w:pPr>
              <w:spacing w:after="0"/>
              <w:jc w:val="left"/>
            </w:pPr>
            <w:r/>
            <w:r>
              <w:rPr>
                <w:rFonts w:ascii="Times New Roman" w:hAnsi="Times New Roman"/>
                <w:sz w:val="22"/>
              </w:rPr>
              <w:t>77,333</w:t>
            </w:r>
          </w:p>
        </w:tc>
        <w:tc>
          <w:tcPr>
            <w:tcW w:type="dxa" w:w="1128"/>
          </w:tcPr>
          <w:p>
            <w:pPr>
              <w:spacing w:after="0"/>
              <w:jc w:val="left"/>
            </w:pPr>
            <w:r/>
            <w:r>
              <w:rPr>
                <w:rFonts w:ascii="Times New Roman" w:hAnsi="Times New Roman"/>
                <w:sz w:val="22"/>
              </w:rPr>
              <w:t>87,638</w:t>
            </w:r>
          </w:p>
        </w:tc>
      </w:tr>
      <w:tr>
        <w:tc>
          <w:tcPr>
            <w:tcW w:type="dxa" w:w="1128"/>
          </w:tcPr>
          <w:p>
            <w:pPr>
              <w:spacing w:after="0"/>
              <w:jc w:val="left"/>
            </w:pPr>
            <w:r/>
            <w:r>
              <w:rPr>
                <w:rFonts w:ascii="Times New Roman" w:hAnsi="Times New Roman"/>
                <w:sz w:val="22"/>
              </w:rPr>
              <w:t>HGB, half of the filings flagged (top 50% of test scores)</w:t>
            </w:r>
          </w:p>
        </w:tc>
        <w:tc>
          <w:tcPr>
            <w:tcW w:type="dxa" w:w="1128"/>
          </w:tcPr>
          <w:p>
            <w:pPr>
              <w:spacing w:after="0"/>
              <w:jc w:val="left"/>
            </w:pPr>
            <w:r/>
            <w:r>
              <w:rPr>
                <w:rFonts w:ascii="Times New Roman" w:hAnsi="Times New Roman"/>
                <w:sz w:val="22"/>
              </w:rPr>
              <w:t>0.463</w:t>
            </w:r>
          </w:p>
        </w:tc>
        <w:tc>
          <w:tcPr>
            <w:tcW w:type="dxa" w:w="1128"/>
          </w:tcPr>
          <w:p>
            <w:pPr>
              <w:spacing w:after="0"/>
              <w:jc w:val="left"/>
            </w:pPr>
            <w:r/>
            <w:r>
              <w:rPr>
                <w:rFonts w:ascii="Times New Roman" w:hAnsi="Times New Roman"/>
                <w:sz w:val="22"/>
              </w:rPr>
              <w:t>500.0</w:t>
            </w:r>
          </w:p>
        </w:tc>
        <w:tc>
          <w:tcPr>
            <w:tcW w:type="dxa" w:w="1128"/>
          </w:tcPr>
          <w:p>
            <w:pPr>
              <w:spacing w:after="0"/>
              <w:jc w:val="left"/>
            </w:pPr>
            <w:r/>
            <w:r>
              <w:rPr>
                <w:rFonts w:ascii="Times New Roman" w:hAnsi="Times New Roman"/>
                <w:sz w:val="22"/>
              </w:rPr>
              <w:t>373.7</w:t>
            </w:r>
          </w:p>
        </w:tc>
        <w:tc>
          <w:tcPr>
            <w:tcW w:type="dxa" w:w="1128"/>
          </w:tcPr>
          <w:p>
            <w:pPr>
              <w:spacing w:after="0"/>
              <w:jc w:val="left"/>
            </w:pPr>
            <w:r/>
            <w:r>
              <w:rPr>
                <w:rFonts w:ascii="Times New Roman" w:hAnsi="Times New Roman"/>
                <w:sz w:val="22"/>
              </w:rPr>
              <w:t>112.2</w:t>
            </w:r>
          </w:p>
        </w:tc>
        <w:tc>
          <w:tcPr>
            <w:tcW w:type="dxa" w:w="1128"/>
          </w:tcPr>
          <w:p>
            <w:pPr>
              <w:spacing w:after="0"/>
              <w:jc w:val="left"/>
            </w:pPr>
            <w:r/>
            <w:r>
              <w:rPr>
                <w:rFonts w:ascii="Times New Roman" w:hAnsi="Times New Roman"/>
                <w:sz w:val="22"/>
              </w:rPr>
              <w:t>126.3</w:t>
            </w:r>
          </w:p>
        </w:tc>
        <w:tc>
          <w:tcPr>
            <w:tcW w:type="dxa" w:w="1128"/>
          </w:tcPr>
          <w:p>
            <w:pPr>
              <w:spacing w:after="0"/>
              <w:jc w:val="left"/>
            </w:pPr>
            <w:r/>
            <w:r>
              <w:rPr>
                <w:rFonts w:ascii="Times New Roman" w:hAnsi="Times New Roman"/>
                <w:sz w:val="22"/>
              </w:rPr>
              <w:t>70,148</w:t>
            </w:r>
          </w:p>
        </w:tc>
        <w:tc>
          <w:tcPr>
            <w:tcW w:type="dxa" w:w="1128"/>
          </w:tcPr>
          <w:p>
            <w:pPr>
              <w:spacing w:after="0"/>
              <w:jc w:val="left"/>
            </w:pPr>
            <w:r/>
            <w:r>
              <w:rPr>
                <w:rFonts w:ascii="Times New Roman" w:hAnsi="Times New Roman"/>
                <w:sz w:val="22"/>
              </w:rPr>
              <w:t>137,470</w:t>
            </w:r>
          </w:p>
        </w:tc>
      </w:tr>
      <w:tr>
        <w:tc>
          <w:tcPr>
            <w:tcW w:type="dxa" w:w="1128"/>
          </w:tcPr>
          <w:p>
            <w:pPr>
              <w:spacing w:after="0"/>
              <w:jc w:val="left"/>
            </w:pPr>
            <w:r/>
            <w:r>
              <w:rPr>
                <w:rFonts w:ascii="Times New Roman" w:hAnsi="Times New Roman"/>
                <w:sz w:val="22"/>
              </w:rPr>
              <w:t>HGB, five in six filings flagged (top 83.3% of test scores)</w:t>
            </w:r>
          </w:p>
        </w:tc>
        <w:tc>
          <w:tcPr>
            <w:tcW w:type="dxa" w:w="1128"/>
          </w:tcPr>
          <w:p>
            <w:pPr>
              <w:spacing w:after="0"/>
              <w:jc w:val="left"/>
            </w:pPr>
            <w:r/>
            <w:r>
              <w:rPr>
                <w:rFonts w:ascii="Times New Roman" w:hAnsi="Times New Roman"/>
                <w:sz w:val="22"/>
              </w:rPr>
              <w:t>0.157</w:t>
            </w:r>
          </w:p>
        </w:tc>
        <w:tc>
          <w:tcPr>
            <w:tcW w:type="dxa" w:w="1128"/>
          </w:tcPr>
          <w:p>
            <w:pPr>
              <w:spacing w:after="0"/>
              <w:jc w:val="left"/>
            </w:pPr>
            <w:r/>
            <w:r>
              <w:rPr>
                <w:rFonts w:ascii="Times New Roman" w:hAnsi="Times New Roman"/>
                <w:sz w:val="22"/>
              </w:rPr>
              <w:t>833.3</w:t>
            </w:r>
          </w:p>
        </w:tc>
        <w:tc>
          <w:tcPr>
            <w:tcW w:type="dxa" w:w="1128"/>
          </w:tcPr>
          <w:p>
            <w:pPr>
              <w:spacing w:after="0"/>
              <w:jc w:val="left"/>
            </w:pPr>
            <w:r/>
            <w:r>
              <w:rPr>
                <w:rFonts w:ascii="Times New Roman" w:hAnsi="Times New Roman"/>
                <w:sz w:val="22"/>
              </w:rPr>
              <w:t>470.4</w:t>
            </w:r>
          </w:p>
        </w:tc>
        <w:tc>
          <w:tcPr>
            <w:tcW w:type="dxa" w:w="1128"/>
          </w:tcPr>
          <w:p>
            <w:pPr>
              <w:spacing w:after="0"/>
              <w:jc w:val="left"/>
            </w:pPr>
            <w:r/>
            <w:r>
              <w:rPr>
                <w:rFonts w:ascii="Times New Roman" w:hAnsi="Times New Roman"/>
                <w:sz w:val="22"/>
              </w:rPr>
              <w:t>15.5</w:t>
            </w:r>
          </w:p>
        </w:tc>
        <w:tc>
          <w:tcPr>
            <w:tcW w:type="dxa" w:w="1128"/>
          </w:tcPr>
          <w:p>
            <w:pPr>
              <w:spacing w:after="0"/>
              <w:jc w:val="left"/>
            </w:pPr>
            <w:r/>
            <w:r>
              <w:rPr>
                <w:rFonts w:ascii="Times New Roman" w:hAnsi="Times New Roman"/>
                <w:sz w:val="22"/>
              </w:rPr>
              <w:t>362.9</w:t>
            </w:r>
          </w:p>
        </w:tc>
        <w:tc>
          <w:tcPr>
            <w:tcW w:type="dxa" w:w="1128"/>
          </w:tcPr>
          <w:p>
            <w:pPr>
              <w:spacing w:after="0"/>
              <w:jc w:val="left"/>
            </w:pPr>
            <w:r/>
            <w:r>
              <w:rPr>
                <w:rFonts w:ascii="Times New Roman" w:hAnsi="Times New Roman"/>
                <w:sz w:val="22"/>
              </w:rPr>
              <w:t>78,760</w:t>
            </w:r>
          </w:p>
        </w:tc>
        <w:tc>
          <w:tcPr>
            <w:tcW w:type="dxa" w:w="1128"/>
          </w:tcPr>
          <w:p>
            <w:pPr>
              <w:spacing w:after="0"/>
              <w:jc w:val="left"/>
            </w:pPr>
            <w:r/>
            <w:r>
              <w:rPr>
                <w:rFonts w:ascii="Times New Roman" w:hAnsi="Times New Roman"/>
                <w:sz w:val="22"/>
              </w:rPr>
              <w:t>88,031</w:t>
            </w:r>
          </w:p>
        </w:tc>
      </w:tr>
      <w:tr>
        <w:tc>
          <w:tcPr>
            <w:tcW w:type="dxa" w:w="1128"/>
          </w:tcPr>
          <w:p>
            <w:pPr>
              <w:spacing w:after="0"/>
              <w:jc w:val="left"/>
            </w:pPr>
            <w:r/>
            <w:r>
              <w:rPr>
                <w:rFonts w:ascii="Times New Roman" w:hAnsi="Times New Roman"/>
                <w:sz w:val="22"/>
              </w:rPr>
              <w:t>Lookup baseline, capacity threshold</w:t>
            </w:r>
          </w:p>
        </w:tc>
        <w:tc>
          <w:tcPr>
            <w:tcW w:type="dxa" w:w="1128"/>
          </w:tcPr>
          <w:p>
            <w:pPr>
              <w:spacing w:after="0"/>
              <w:jc w:val="left"/>
            </w:pPr>
            <w:r/>
            <w:r>
              <w:rPr>
                <w:rFonts w:ascii="Times New Roman" w:hAnsi="Times New Roman"/>
                <w:sz w:val="22"/>
              </w:rPr>
              <w:t>0.225</w:t>
            </w:r>
          </w:p>
        </w:tc>
        <w:tc>
          <w:tcPr>
            <w:tcW w:type="dxa" w:w="1128"/>
          </w:tcPr>
          <w:p>
            <w:pPr>
              <w:spacing w:after="0"/>
              <w:jc w:val="left"/>
            </w:pPr>
            <w:r/>
            <w:r>
              <w:rPr>
                <w:rFonts w:ascii="Times New Roman" w:hAnsi="Times New Roman"/>
                <w:sz w:val="22"/>
              </w:rPr>
              <w:t>752.5</w:t>
            </w:r>
          </w:p>
        </w:tc>
        <w:tc>
          <w:tcPr>
            <w:tcW w:type="dxa" w:w="1128"/>
          </w:tcPr>
          <w:p>
            <w:pPr>
              <w:spacing w:after="0"/>
              <w:jc w:val="left"/>
            </w:pPr>
            <w:r/>
            <w:r>
              <w:rPr>
                <w:rFonts w:ascii="Times New Roman" w:hAnsi="Times New Roman"/>
                <w:sz w:val="22"/>
              </w:rPr>
              <w:t>445.0</w:t>
            </w:r>
          </w:p>
        </w:tc>
        <w:tc>
          <w:tcPr>
            <w:tcW w:type="dxa" w:w="1128"/>
          </w:tcPr>
          <w:p>
            <w:pPr>
              <w:spacing w:after="0"/>
              <w:jc w:val="left"/>
            </w:pPr>
            <w:r/>
            <w:r>
              <w:rPr>
                <w:rFonts w:ascii="Times New Roman" w:hAnsi="Times New Roman"/>
                <w:sz w:val="22"/>
              </w:rPr>
              <w:t>40.8</w:t>
            </w:r>
          </w:p>
        </w:tc>
        <w:tc>
          <w:tcPr>
            <w:tcW w:type="dxa" w:w="1128"/>
          </w:tcPr>
          <w:p>
            <w:pPr>
              <w:spacing w:after="0"/>
              <w:jc w:val="left"/>
            </w:pPr>
            <w:r/>
            <w:r>
              <w:rPr>
                <w:rFonts w:ascii="Times New Roman" w:hAnsi="Times New Roman"/>
                <w:sz w:val="22"/>
              </w:rPr>
              <w:t>307.5</w:t>
            </w:r>
          </w:p>
        </w:tc>
        <w:tc>
          <w:tcPr>
            <w:tcW w:type="dxa" w:w="1128"/>
          </w:tcPr>
          <w:p>
            <w:pPr>
              <w:spacing w:after="0"/>
              <w:jc w:val="left"/>
            </w:pPr>
            <w:r/>
            <w:r>
              <w:rPr>
                <w:rFonts w:ascii="Times New Roman" w:hAnsi="Times New Roman"/>
                <w:sz w:val="22"/>
              </w:rPr>
              <w:t>77,835</w:t>
            </w:r>
          </w:p>
        </w:tc>
        <w:tc>
          <w:tcPr>
            <w:tcW w:type="dxa" w:w="1128"/>
          </w:tcPr>
          <w:p>
            <w:pPr>
              <w:spacing w:after="0"/>
              <w:jc w:val="left"/>
            </w:pPr>
            <w:r/>
            <w:r>
              <w:rPr>
                <w:rFonts w:ascii="Times New Roman" w:hAnsi="Times New Roman"/>
                <w:sz w:val="22"/>
              </w:rPr>
              <w:t>102,343</w:t>
            </w:r>
          </w:p>
        </w:tc>
      </w:tr>
      <w:tr>
        <w:tc>
          <w:tcPr>
            <w:tcW w:type="dxa" w:w="1128"/>
          </w:tcPr>
          <w:p>
            <w:pPr>
              <w:spacing w:after="0"/>
              <w:jc w:val="left"/>
            </w:pPr>
            <w:r/>
            <w:r>
              <w:rPr>
                <w:rFonts w:ascii="Times New Roman" w:hAnsi="Times New Roman"/>
                <w:sz w:val="22"/>
              </w:rPr>
              <w:t>Hand rule built for this study: nature is not a cut, dust in the eye or a scratch</w:t>
            </w:r>
          </w:p>
        </w:tc>
        <w:tc>
          <w:tcPr>
            <w:tcW w:type="dxa" w:w="1128"/>
          </w:tcPr>
          <w:p>
            <w:pPr>
              <w:spacing w:after="0"/>
              <w:jc w:val="left"/>
            </w:pPr>
            <w:r/>
            <w:r>
              <w:rPr>
                <w:rFonts w:ascii="Times New Roman" w:hAnsi="Times New Roman"/>
                <w:sz w:val="22"/>
              </w:rPr>
              <w:t>not applicable</w:t>
            </w:r>
          </w:p>
        </w:tc>
        <w:tc>
          <w:tcPr>
            <w:tcW w:type="dxa" w:w="1128"/>
          </w:tcPr>
          <w:p>
            <w:pPr>
              <w:spacing w:after="0"/>
              <w:jc w:val="left"/>
            </w:pPr>
            <w:r/>
            <w:r>
              <w:rPr>
                <w:rFonts w:ascii="Times New Roman" w:hAnsi="Times New Roman"/>
                <w:sz w:val="22"/>
              </w:rPr>
              <w:t>733.2</w:t>
            </w:r>
          </w:p>
        </w:tc>
        <w:tc>
          <w:tcPr>
            <w:tcW w:type="dxa" w:w="1128"/>
          </w:tcPr>
          <w:p>
            <w:pPr>
              <w:spacing w:after="0"/>
              <w:jc w:val="left"/>
            </w:pPr>
            <w:r/>
            <w:r>
              <w:rPr>
                <w:rFonts w:ascii="Times New Roman" w:hAnsi="Times New Roman"/>
                <w:sz w:val="22"/>
              </w:rPr>
              <w:t>436.4</w:t>
            </w:r>
          </w:p>
        </w:tc>
        <w:tc>
          <w:tcPr>
            <w:tcW w:type="dxa" w:w="1128"/>
          </w:tcPr>
          <w:p>
            <w:pPr>
              <w:spacing w:after="0"/>
              <w:jc w:val="left"/>
            </w:pPr>
            <w:r/>
            <w:r>
              <w:rPr>
                <w:rFonts w:ascii="Times New Roman" w:hAnsi="Times New Roman"/>
                <w:sz w:val="22"/>
              </w:rPr>
              <w:t>49.5</w:t>
            </w:r>
          </w:p>
        </w:tc>
        <w:tc>
          <w:tcPr>
            <w:tcW w:type="dxa" w:w="1128"/>
          </w:tcPr>
          <w:p>
            <w:pPr>
              <w:spacing w:after="0"/>
              <w:jc w:val="left"/>
            </w:pPr>
            <w:r/>
            <w:r>
              <w:rPr>
                <w:rFonts w:ascii="Times New Roman" w:hAnsi="Times New Roman"/>
                <w:sz w:val="22"/>
              </w:rPr>
              <w:t>296.8</w:t>
            </w:r>
          </w:p>
        </w:tc>
        <w:tc>
          <w:tcPr>
            <w:tcW w:type="dxa" w:w="1128"/>
          </w:tcPr>
          <w:p>
            <w:pPr>
              <w:spacing w:after="0"/>
              <w:jc w:val="left"/>
            </w:pPr>
            <w:r/>
            <w:r>
              <w:rPr>
                <w:rFonts w:ascii="Times New Roman" w:hAnsi="Times New Roman"/>
                <w:sz w:val="22"/>
              </w:rPr>
              <w:t>79,144</w:t>
            </w:r>
          </w:p>
        </w:tc>
        <w:tc>
          <w:tcPr>
            <w:tcW w:type="dxa" w:w="1128"/>
          </w:tcPr>
          <w:p>
            <w:pPr>
              <w:spacing w:after="0"/>
              <w:jc w:val="left"/>
            </w:pPr>
            <w:r/>
            <w:r>
              <w:rPr>
                <w:rFonts w:ascii="Times New Roman" w:hAnsi="Times New Roman"/>
                <w:sz w:val="22"/>
              </w:rPr>
              <w:t>108,819</w:t>
            </w:r>
          </w:p>
        </w:tc>
      </w:tr>
      <w:tr>
        <w:tc>
          <w:tcPr>
            <w:tcW w:type="dxa" w:w="1128"/>
          </w:tcPr>
          <w:p>
            <w:pPr>
              <w:spacing w:after="0"/>
              <w:jc w:val="left"/>
            </w:pPr>
            <w:r/>
            <w:r>
              <w:rPr>
                <w:rFonts w:ascii="Times New Roman" w:hAnsi="Times New Roman"/>
                <w:sz w:val="22"/>
              </w:rPr>
              <w:t>Review everything</w:t>
            </w:r>
          </w:p>
        </w:tc>
        <w:tc>
          <w:tcPr>
            <w:tcW w:type="dxa" w:w="1128"/>
          </w:tcPr>
          <w:p>
            <w:pPr>
              <w:spacing w:after="0"/>
              <w:jc w:val="left"/>
            </w:pPr>
            <w:r/>
            <w:r>
              <w:rPr>
                <w:rFonts w:ascii="Times New Roman" w:hAnsi="Times New Roman"/>
                <w:sz w:val="22"/>
              </w:rPr>
              <w:t>not applicable</w:t>
            </w:r>
          </w:p>
        </w:tc>
        <w:tc>
          <w:tcPr>
            <w:tcW w:type="dxa" w:w="1128"/>
          </w:tcPr>
          <w:p>
            <w:pPr>
              <w:spacing w:after="0"/>
              <w:jc w:val="left"/>
            </w:pPr>
            <w:r/>
            <w:r>
              <w:rPr>
                <w:rFonts w:ascii="Times New Roman" w:hAnsi="Times New Roman"/>
                <w:sz w:val="22"/>
              </w:rPr>
              <w:t>1,000.0</w:t>
            </w:r>
          </w:p>
        </w:tc>
        <w:tc>
          <w:tcPr>
            <w:tcW w:type="dxa" w:w="1128"/>
          </w:tcPr>
          <w:p>
            <w:pPr>
              <w:spacing w:after="0"/>
              <w:jc w:val="left"/>
            </w:pPr>
            <w:r/>
            <w:r>
              <w:rPr>
                <w:rFonts w:ascii="Times New Roman" w:hAnsi="Times New Roman"/>
                <w:sz w:val="22"/>
              </w:rPr>
              <w:t>485.9</w:t>
            </w:r>
          </w:p>
        </w:tc>
        <w:tc>
          <w:tcPr>
            <w:tcW w:type="dxa" w:w="1128"/>
          </w:tcPr>
          <w:p>
            <w:pPr>
              <w:spacing w:after="0"/>
              <w:jc w:val="left"/>
            </w:pPr>
            <w:r/>
            <w:r>
              <w:rPr>
                <w:rFonts w:ascii="Times New Roman" w:hAnsi="Times New Roman"/>
                <w:sz w:val="22"/>
              </w:rPr>
              <w:t>0.0</w:t>
            </w:r>
          </w:p>
        </w:tc>
        <w:tc>
          <w:tcPr>
            <w:tcW w:type="dxa" w:w="1128"/>
          </w:tcPr>
          <w:p>
            <w:pPr>
              <w:spacing w:after="0"/>
              <w:jc w:val="left"/>
            </w:pPr>
            <w:r/>
            <w:r>
              <w:rPr>
                <w:rFonts w:ascii="Times New Roman" w:hAnsi="Times New Roman"/>
                <w:sz w:val="22"/>
              </w:rPr>
              <w:t>514.1</w:t>
            </w:r>
          </w:p>
        </w:tc>
        <w:tc>
          <w:tcPr>
            <w:tcW w:type="dxa" w:w="1128"/>
          </w:tcPr>
          <w:p>
            <w:pPr>
              <w:spacing w:after="0"/>
              <w:jc w:val="left"/>
            </w:pPr>
            <w:r/>
            <w:r>
              <w:rPr>
                <w:rFonts w:ascii="Times New Roman" w:hAnsi="Times New Roman"/>
                <w:sz w:val="22"/>
              </w:rPr>
              <w:t>102,825</w:t>
            </w:r>
          </w:p>
        </w:tc>
        <w:tc>
          <w:tcPr>
            <w:tcW w:type="dxa" w:w="1128"/>
          </w:tcPr>
          <w:p>
            <w:pPr>
              <w:spacing w:after="0"/>
              <w:jc w:val="left"/>
            </w:pPr>
            <w:r/>
            <w:r>
              <w:rPr>
                <w:rFonts w:ascii="Times New Roman" w:hAnsi="Times New Roman"/>
                <w:sz w:val="22"/>
              </w:rPr>
              <w:t>102,825</w:t>
            </w:r>
          </w:p>
        </w:tc>
      </w:tr>
    </w:tbl>
    <w:p>
      <w:pPr>
        <w:spacing w:after="80"/>
      </w:pPr>
    </w:p>
    <w:p>
      <w:r>
        <w:rPr>
          <w:rFonts w:ascii="Times New Roman" w:hAnsi="Times New Roman"/>
          <w:sz w:val="24"/>
        </w:rPr>
        <w:t>Nature, body part and sector lead the permutation importance (Figure 18), and their joint cells explain about half of HGB's lead over logistic regression. A one-hot block for the joint cell raises the cross-validated PR-AUC of logistic regression from 0.820 to 0.829, against 0.838 for HGB (Table 21). Logistic regression assumes additive log-odds, so it forms those cells only when they are supplied. Trees also rank skewed inputs, follow curved size effects and isolate each structural "none" level, which fits the rest of the gap and the lead of tree ensembles on tabular benchmarks (Grinsztajn et al., 2022).</w:t>
      </w:r>
    </w:p>
    <w:p>
      <w:r>
        <w:rPr>
          <w:rFonts w:ascii="Times New Roman" w:hAnsi="Times New Roman"/>
          <w:sz w:val="24"/>
        </w:rPr>
        <w:t>The estimates hold under resampling and harder splits (Table 21). The fold standard deviation of PR-AUC is 0.003, and the clustered bootstrap interval of test PR-AUC clears the S2 target. The Wilcoxon test does not confirm the corrected fold test against the MLP, so that lead is thin. Unseen mines and 2020-2025 reports move PR-AUC by under 0.01, and in 2020-2025 recall holds in both sectors while specificity falls below plan. S5 is missed by 0.005, so a team reviewing half the filings catches fewer cases than planned.</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Uncertainty, generalisability and mechanism checks of HGB, covering cross-validation on the training split, 95% percentile bootstrap intervals and paired tests on the held-out test set, results by sector, a temporal split, a mine-grouped split, the reports still open at filing and logistic regression given the lookup baseline's joint cell; the capacity threshold is the out-of-fold threshold for specificity 0.40, and the last two checks were run after the test scoring and changed no choice. Source: author's analysis of MSHA open data.</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E7E6E6"/>
          </w:tcPr>
          <w:p>
            <w:pPr>
              <w:jc w:val="left"/>
            </w:pPr>
            <w:r>
              <w:rPr>
                <w:b/>
              </w:rPr>
            </w:r>
            <w:r>
              <w:rPr>
                <w:rFonts w:ascii="Times New Roman" w:hAnsi="Times New Roman"/>
                <w:b/>
                <w:sz w:val="22"/>
              </w:rPr>
              <w:t>Check</w:t>
            </w:r>
          </w:p>
        </w:tc>
        <w:tc>
          <w:tcPr>
            <w:tcW w:type="dxa" w:w="3009"/>
            <w:shd w:val="clear" w:color="auto" w:fill="E7E6E6"/>
          </w:tcPr>
          <w:p>
            <w:pPr>
              <w:jc w:val="left"/>
            </w:pPr>
            <w:r>
              <w:rPr>
                <w:b/>
              </w:rPr>
            </w:r>
            <w:r>
              <w:rPr>
                <w:rFonts w:ascii="Times New Roman" w:hAnsi="Times New Roman"/>
                <w:b/>
                <w:sz w:val="22"/>
              </w:rPr>
              <w:t>Data and protocol</w:t>
            </w:r>
          </w:p>
        </w:tc>
        <w:tc>
          <w:tcPr>
            <w:tcW w:type="dxa" w:w="3009"/>
            <w:shd w:val="clear" w:color="auto" w:fill="E7E6E6"/>
          </w:tcPr>
          <w:p>
            <w:pPr>
              <w:jc w:val="left"/>
            </w:pPr>
            <w:r>
              <w:rPr>
                <w:b/>
              </w:rPr>
            </w:r>
            <w:r>
              <w:rPr>
                <w:rFonts w:ascii="Times New Roman" w:hAnsi="Times New Roman"/>
                <w:b/>
                <w:sz w:val="22"/>
              </w:rPr>
              <w:t>Result for HGB</w:t>
            </w:r>
          </w:p>
        </w:tc>
      </w:tr>
      <w:tr>
        <w:tc>
          <w:tcPr>
            <w:tcW w:type="dxa" w:w="3009"/>
          </w:tcPr>
          <w:p>
            <w:pPr>
              <w:spacing w:after="0"/>
              <w:jc w:val="left"/>
            </w:pPr>
            <w:r/>
            <w:r>
              <w:rPr>
                <w:rFonts w:ascii="Times New Roman" w:hAnsi="Times New Roman"/>
                <w:sz w:val="22"/>
              </w:rPr>
              <w:t>Cross-validation</w:t>
            </w:r>
          </w:p>
        </w:tc>
        <w:tc>
          <w:tcPr>
            <w:tcW w:type="dxa" w:w="3009"/>
          </w:tcPr>
          <w:p>
            <w:pPr>
              <w:spacing w:after="0"/>
              <w:jc w:val="left"/>
            </w:pPr>
            <w:r/>
            <w:r>
              <w:rPr>
                <w:rFonts w:ascii="Times New Roman" w:hAnsi="Times New Roman"/>
                <w:sz w:val="22"/>
              </w:rPr>
              <w:t>5-fold mine-year-grouped CV on the 81,289 training rows</w:t>
            </w:r>
          </w:p>
        </w:tc>
        <w:tc>
          <w:tcPr>
            <w:tcW w:type="dxa" w:w="3009"/>
          </w:tcPr>
          <w:p>
            <w:pPr>
              <w:spacing w:after="0"/>
              <w:jc w:val="left"/>
            </w:pPr>
            <w:r/>
            <w:r>
              <w:rPr>
                <w:rFonts w:ascii="Times New Roman" w:hAnsi="Times New Roman"/>
                <w:sz w:val="22"/>
              </w:rPr>
              <w:t>PR-AUC 0.838 (SD 0.003, folds 0.834 to 0.841); ROC-AUC 0.839 (SD 0.002)</w:t>
            </w:r>
          </w:p>
        </w:tc>
      </w:tr>
      <w:tr>
        <w:tc>
          <w:tcPr>
            <w:tcW w:type="dxa" w:w="3009"/>
          </w:tcPr>
          <w:p>
            <w:pPr>
              <w:spacing w:after="0"/>
              <w:jc w:val="left"/>
            </w:pPr>
            <w:r/>
            <w:r>
              <w:rPr>
                <w:rFonts w:ascii="Times New Roman" w:hAnsi="Times New Roman"/>
                <w:sz w:val="22"/>
              </w:rPr>
              <w:t>Bootstrap intervals</w:t>
            </w:r>
          </w:p>
        </w:tc>
        <w:tc>
          <w:tcPr>
            <w:tcW w:type="dxa" w:w="3009"/>
          </w:tcPr>
          <w:p>
            <w:pPr>
              <w:spacing w:after="0"/>
              <w:jc w:val="left"/>
            </w:pPr>
            <w:r/>
            <w:r>
              <w:rPr>
                <w:rFonts w:ascii="Times New Roman" w:hAnsi="Times New Roman"/>
                <w:sz w:val="22"/>
              </w:rPr>
              <w:t>1,000 resamples of the 20,320 test rows and of their 6,724 mine-years</w:t>
            </w:r>
          </w:p>
        </w:tc>
        <w:tc>
          <w:tcPr>
            <w:tcW w:type="dxa" w:w="3009"/>
          </w:tcPr>
          <w:p>
            <w:pPr>
              <w:spacing w:after="0"/>
              <w:jc w:val="left"/>
            </w:pPr>
            <w:r/>
            <w:r>
              <w:rPr>
                <w:rFonts w:ascii="Times New Roman" w:hAnsi="Times New Roman"/>
                <w:sz w:val="22"/>
              </w:rPr>
              <w:t>PR-AUC 0.841 (rows 0.835 to 0.848; mine-years 0.825 to 0.856); ROC-AUC 0.843 (mine-years 0.835 to 0.851); recall at the capacity threshold 0.943 (mine-years 0.938 to 0.949)</w:t>
            </w:r>
          </w:p>
        </w:tc>
      </w:tr>
      <w:tr>
        <w:tc>
          <w:tcPr>
            <w:tcW w:type="dxa" w:w="3009"/>
          </w:tcPr>
          <w:p>
            <w:pPr>
              <w:spacing w:after="0"/>
              <w:jc w:val="left"/>
            </w:pPr>
            <w:r/>
            <w:r>
              <w:rPr>
                <w:rFonts w:ascii="Times New Roman" w:hAnsi="Times New Roman"/>
                <w:sz w:val="22"/>
              </w:rPr>
              <w:t>Paired fold test against the MLP</w:t>
            </w:r>
          </w:p>
        </w:tc>
        <w:tc>
          <w:tcPr>
            <w:tcW w:type="dxa" w:w="3009"/>
          </w:tcPr>
          <w:p>
            <w:pPr>
              <w:spacing w:after="0"/>
              <w:jc w:val="left"/>
            </w:pPr>
            <w:r/>
            <w:r>
              <w:rPr>
                <w:rFonts w:ascii="Times New Roman" w:hAnsi="Times New Roman"/>
                <w:sz w:val="22"/>
              </w:rPr>
              <w:t>PR-AUC on the same five CV folds</w:t>
            </w:r>
          </w:p>
        </w:tc>
        <w:tc>
          <w:tcPr>
            <w:tcW w:type="dxa" w:w="3009"/>
          </w:tcPr>
          <w:p>
            <w:pPr>
              <w:spacing w:after="0"/>
              <w:jc w:val="left"/>
            </w:pPr>
            <w:r/>
            <w:r>
              <w:rPr>
                <w:rFonts w:ascii="Times New Roman" w:hAnsi="Times New Roman"/>
                <w:sz w:val="22"/>
              </w:rPr>
              <w:t>mean difference 0.005; corrected t-test p = 0.044; Wilcoxon signed-rank p = 0.0625</w:t>
            </w:r>
          </w:p>
        </w:tc>
      </w:tr>
      <w:tr>
        <w:tc>
          <w:tcPr>
            <w:tcW w:type="dxa" w:w="3009"/>
          </w:tcPr>
          <w:p>
            <w:pPr>
              <w:spacing w:after="0"/>
              <w:jc w:val="left"/>
            </w:pPr>
            <w:r/>
            <w:r>
              <w:rPr>
                <w:rFonts w:ascii="Times New Roman" w:hAnsi="Times New Roman"/>
                <w:sz w:val="22"/>
              </w:rPr>
              <w:t>McNemar test against the lookup baseline</w:t>
            </w:r>
          </w:p>
        </w:tc>
        <w:tc>
          <w:tcPr>
            <w:tcW w:type="dxa" w:w="3009"/>
          </w:tcPr>
          <w:p>
            <w:pPr>
              <w:spacing w:after="0"/>
              <w:jc w:val="left"/>
            </w:pPr>
            <w:r/>
            <w:r>
              <w:rPr>
                <w:rFonts w:ascii="Times New Roman" w:hAnsi="Times New Roman"/>
                <w:sz w:val="22"/>
              </w:rPr>
              <w:t>test set at the capacity threshold, row-wise and clustered by mine-year</w:t>
            </w:r>
          </w:p>
        </w:tc>
        <w:tc>
          <w:tcPr>
            <w:tcW w:type="dxa" w:w="3009"/>
          </w:tcPr>
          <w:p>
            <w:pPr>
              <w:spacing w:after="0"/>
              <w:jc w:val="left"/>
            </w:pPr>
            <w:r/>
            <w:r>
              <w:rPr>
                <w:rFonts w:ascii="Times New Roman" w:hAnsi="Times New Roman"/>
                <w:sz w:val="22"/>
              </w:rPr>
              <w:t>p &lt; 0.001 in both forms (clustered chi-square 24.4, 1 df)</w:t>
            </w:r>
          </w:p>
        </w:tc>
      </w:tr>
      <w:tr>
        <w:tc>
          <w:tcPr>
            <w:tcW w:type="dxa" w:w="3009"/>
          </w:tcPr>
          <w:p>
            <w:pPr>
              <w:spacing w:after="0"/>
              <w:jc w:val="left"/>
            </w:pPr>
            <w:r/>
            <w:r>
              <w:rPr>
                <w:rFonts w:ascii="Times New Roman" w:hAnsi="Times New Roman"/>
                <w:sz w:val="22"/>
              </w:rPr>
              <w:t>By sector</w:t>
            </w:r>
          </w:p>
        </w:tc>
        <w:tc>
          <w:tcPr>
            <w:tcW w:type="dxa" w:w="3009"/>
          </w:tcPr>
          <w:p>
            <w:pPr>
              <w:spacing w:after="0"/>
              <w:jc w:val="left"/>
            </w:pPr>
            <w:r/>
            <w:r>
              <w:rPr>
                <w:rFonts w:ascii="Times New Roman" w:hAnsi="Times New Roman"/>
                <w:sz w:val="22"/>
              </w:rPr>
              <w:t>test set at the capacity threshold 0.210</w:t>
            </w:r>
          </w:p>
        </w:tc>
        <w:tc>
          <w:tcPr>
            <w:tcW w:type="dxa" w:w="3009"/>
          </w:tcPr>
          <w:p>
            <w:pPr>
              <w:spacing w:after="0"/>
              <w:jc w:val="left"/>
            </w:pPr>
            <w:r/>
            <w:r>
              <w:rPr>
                <w:rFonts w:ascii="Times New Roman" w:hAnsi="Times New Roman"/>
                <w:sz w:val="22"/>
              </w:rPr>
              <w:t>coal (n = 8,270) recall 0.971, specificity 0.397, precision 0.740; metal and non-metal (n = 12,050) recall 0.911, specificity 0.406, precision 0.486</w:t>
            </w:r>
          </w:p>
        </w:tc>
      </w:tr>
      <w:tr>
        <w:tc>
          <w:tcPr>
            <w:tcW w:type="dxa" w:w="3009"/>
          </w:tcPr>
          <w:p>
            <w:pPr>
              <w:spacing w:after="0"/>
              <w:jc w:val="left"/>
            </w:pPr>
            <w:r/>
            <w:r>
              <w:rPr>
                <w:rFonts w:ascii="Times New Roman" w:hAnsi="Times New Roman"/>
                <w:sz w:val="22"/>
              </w:rPr>
              <w:t>Temporal split</w:t>
            </w:r>
          </w:p>
        </w:tc>
        <w:tc>
          <w:tcPr>
            <w:tcW w:type="dxa" w:w="3009"/>
          </w:tcPr>
          <w:p>
            <w:pPr>
              <w:spacing w:after="0"/>
              <w:jc w:val="left"/>
            </w:pPr>
            <w:r/>
            <w:r>
              <w:rPr>
                <w:rFonts w:ascii="Times New Roman" w:hAnsi="Times New Roman"/>
                <w:sz w:val="22"/>
              </w:rPr>
              <w:t>re-tuned on 2010-2019 (71,877 rows) with thresholds from its out-of-fold probabilities, scored on 2020-2025 (29,732 rows)</w:t>
            </w:r>
          </w:p>
        </w:tc>
        <w:tc>
          <w:tcPr>
            <w:tcW w:type="dxa" w:w="3009"/>
          </w:tcPr>
          <w:p>
            <w:pPr>
              <w:spacing w:after="0"/>
              <w:jc w:val="left"/>
            </w:pPr>
            <w:r/>
            <w:r>
              <w:rPr>
                <w:rFonts w:ascii="Times New Roman" w:hAnsi="Times New Roman"/>
                <w:sz w:val="22"/>
              </w:rPr>
              <w:t>ROC-AUC 0.834, PR-AUC 0.843; recall 0.944 and specificity 0.377 at the capacity threshold; coal recall 0.973 and Brier 0.125; metal and non-metal recall 0.918 and Brier 0.187</w:t>
            </w:r>
          </w:p>
        </w:tc>
      </w:tr>
      <w:tr>
        <w:tc>
          <w:tcPr>
            <w:tcW w:type="dxa" w:w="3009"/>
          </w:tcPr>
          <w:p>
            <w:pPr>
              <w:spacing w:after="0"/>
              <w:jc w:val="left"/>
            </w:pPr>
            <w:r/>
            <w:r>
              <w:rPr>
                <w:rFonts w:ascii="Times New Roman" w:hAnsi="Times New Roman"/>
                <w:sz w:val="22"/>
              </w:rPr>
              <w:t>Mine-grouped split</w:t>
            </w:r>
          </w:p>
        </w:tc>
        <w:tc>
          <w:tcPr>
            <w:tcW w:type="dxa" w:w="3009"/>
          </w:tcPr>
          <w:p>
            <w:pPr>
              <w:spacing w:after="0"/>
              <w:jc w:val="left"/>
            </w:pPr>
            <w:r/>
            <w:r>
              <w:rPr>
                <w:rFonts w:ascii="Times New Roman" w:hAnsi="Times New Roman"/>
                <w:sz w:val="22"/>
              </w:rPr>
              <w:t>no mine on both sides (8,303 mines; 20,289 test rows), primary hyperparameters</w:t>
            </w:r>
          </w:p>
        </w:tc>
        <w:tc>
          <w:tcPr>
            <w:tcW w:type="dxa" w:w="3009"/>
          </w:tcPr>
          <w:p>
            <w:pPr>
              <w:spacing w:after="0"/>
              <w:jc w:val="left"/>
            </w:pPr>
            <w:r/>
            <w:r>
              <w:rPr>
                <w:rFonts w:ascii="Times New Roman" w:hAnsi="Times New Roman"/>
                <w:sz w:val="22"/>
              </w:rPr>
              <w:t>ROC-AUC 0.838, PR-AUC 0.836, recall 0.936 at the capacity threshold, recall 0.762 at a 50% flag rate</w:t>
            </w:r>
          </w:p>
        </w:tc>
      </w:tr>
      <w:tr>
        <w:tc>
          <w:tcPr>
            <w:tcW w:type="dxa" w:w="3009"/>
          </w:tcPr>
          <w:p>
            <w:pPr>
              <w:spacing w:after="0"/>
              <w:jc w:val="left"/>
            </w:pPr>
            <w:r/>
            <w:r>
              <w:rPr>
                <w:rFonts w:ascii="Times New Roman" w:hAnsi="Times New Roman"/>
                <w:sz w:val="22"/>
              </w:rPr>
              <w:t>Feature variants</w:t>
            </w:r>
          </w:p>
        </w:tc>
        <w:tc>
          <w:tcPr>
            <w:tcW w:type="dxa" w:w="3009"/>
          </w:tcPr>
          <w:p>
            <w:pPr>
              <w:spacing w:after="0"/>
              <w:jc w:val="left"/>
            </w:pPr>
            <w:r/>
            <w:r>
              <w:rPr>
                <w:rFonts w:ascii="Times New Roman" w:hAnsi="Times New Roman"/>
                <w:sz w:val="22"/>
              </w:rPr>
              <w:t>primary split with fixed hyperparameters: immed_reportable set to 0; status_103i_at_accident constant; 175 amputation test rows (nature code 100) removed</w:t>
            </w:r>
          </w:p>
        </w:tc>
        <w:tc>
          <w:tcPr>
            <w:tcW w:type="dxa" w:w="3009"/>
          </w:tcPr>
          <w:p>
            <w:pPr>
              <w:spacing w:after="0"/>
              <w:jc w:val="left"/>
            </w:pPr>
            <w:r/>
            <w:r>
              <w:rPr>
                <w:rFonts w:ascii="Times New Roman" w:hAnsi="Times New Roman"/>
                <w:sz w:val="22"/>
              </w:rPr>
              <w:t>PR-AUC 0.840, 0.841 and 0.834 against 0.841</w:t>
            </w:r>
          </w:p>
        </w:tc>
      </w:tr>
      <w:tr>
        <w:tc>
          <w:tcPr>
            <w:tcW w:type="dxa" w:w="3009"/>
          </w:tcPr>
          <w:p>
            <w:pPr>
              <w:spacing w:after="0"/>
              <w:jc w:val="left"/>
            </w:pPr>
            <w:r/>
            <w:r>
              <w:rPr>
                <w:rFonts w:ascii="Times New Roman" w:hAnsi="Times New Roman"/>
                <w:sz w:val="22"/>
              </w:rPr>
              <w:t>S5, recall at a 50% flag rate</w:t>
            </w:r>
          </w:p>
        </w:tc>
        <w:tc>
          <w:tcPr>
            <w:tcW w:type="dxa" w:w="3009"/>
          </w:tcPr>
          <w:p>
            <w:pPr>
              <w:spacing w:after="0"/>
              <w:jc w:val="left"/>
            </w:pPr>
            <w:r/>
            <w:r>
              <w:rPr>
                <w:rFonts w:ascii="Times New Roman" w:hAnsi="Times New Roman"/>
                <w:sz w:val="22"/>
              </w:rPr>
              <w:t>out-of-fold threshold 0.456, test flag rate 50.6%; and the top 50% of test scores, the planned form</w:t>
            </w:r>
          </w:p>
        </w:tc>
        <w:tc>
          <w:tcPr>
            <w:tcW w:type="dxa" w:w="3009"/>
          </w:tcPr>
          <w:p>
            <w:pPr>
              <w:spacing w:after="0"/>
              <w:jc w:val="left"/>
            </w:pPr>
            <w:r/>
            <w:r>
              <w:rPr>
                <w:rFonts w:ascii="Times New Roman" w:hAnsi="Times New Roman"/>
                <w:sz w:val="22"/>
              </w:rPr>
              <w:t>0.775 against the 0.78 target (missed); MLP 0.790 at a 52.5% flag rate; top half of test scores: HGB 0.769, MLP 0.768</w:t>
            </w:r>
          </w:p>
        </w:tc>
      </w:tr>
      <w:tr>
        <w:tc>
          <w:tcPr>
            <w:tcW w:type="dxa" w:w="3009"/>
          </w:tcPr>
          <w:p>
            <w:pPr>
              <w:spacing w:after="0"/>
              <w:jc w:val="left"/>
            </w:pPr>
            <w:r/>
            <w:r>
              <w:rPr>
                <w:rFonts w:ascii="Times New Roman" w:hAnsi="Times New Roman"/>
                <w:sz w:val="22"/>
              </w:rPr>
              <w:t>Reports still open at filing</w:t>
            </w:r>
          </w:p>
        </w:tc>
        <w:tc>
          <w:tcPr>
            <w:tcW w:type="dxa" w:w="3009"/>
          </w:tcPr>
          <w:p>
            <w:pPr>
              <w:spacing w:after="0"/>
              <w:jc w:val="left"/>
            </w:pPr>
            <w:r/>
            <w:r>
              <w:rPr>
                <w:rFonts w:ascii="Times New Roman" w:hAnsi="Times New Roman"/>
                <w:sz w:val="22"/>
              </w:rPr>
              <w:t>45,679 in-scope reports (45.0%) were filed once the worker was back at work, lost-time in 20.4% against 71.6% of the rest; test reports with a return-to-work date after the filing date or none (11,290, prevalence 0.712), thresholds unchanged</w:t>
            </w:r>
          </w:p>
        </w:tc>
        <w:tc>
          <w:tcPr>
            <w:tcW w:type="dxa" w:w="3009"/>
          </w:tcPr>
          <w:p>
            <w:pPr>
              <w:spacing w:after="0"/>
              <w:jc w:val="left"/>
            </w:pPr>
            <w:r/>
            <w:r>
              <w:rPr>
                <w:rFonts w:ascii="Times New Roman" w:hAnsi="Times New Roman"/>
                <w:sz w:val="22"/>
              </w:rPr>
              <w:t>ROC-AUC 0.812, PR-AUC 0.920; recall 0.950 and specificity 0.212 at the capacity threshold; reports filed after the return (9,030, prevalence 0.203): ROC-AUC 0.828, recall 0.914</w:t>
            </w:r>
          </w:p>
        </w:tc>
      </w:tr>
      <w:tr>
        <w:tc>
          <w:tcPr>
            <w:tcW w:type="dxa" w:w="3009"/>
          </w:tcPr>
          <w:p>
            <w:pPr>
              <w:spacing w:after="0"/>
              <w:jc w:val="left"/>
            </w:pPr>
            <w:r/>
            <w:r>
              <w:rPr>
                <w:rFonts w:ascii="Times New Roman" w:hAnsi="Times New Roman"/>
                <w:sz w:val="22"/>
              </w:rPr>
              <w:t>Logistic regression with the joint cell</w:t>
            </w:r>
          </w:p>
        </w:tc>
        <w:tc>
          <w:tcPr>
            <w:tcW w:type="dxa" w:w="3009"/>
          </w:tcPr>
          <w:p>
            <w:pPr>
              <w:spacing w:after="0"/>
              <w:jc w:val="left"/>
            </w:pPr>
            <w:r/>
            <w:r>
              <w:rPr>
                <w:rFonts w:ascii="Times New Roman" w:hAnsi="Times New Roman"/>
                <w:sz w:val="22"/>
              </w:rPr>
              <w:t>the selected logistic regression refitted with a one-hot block for the nature x body part x sector cell (724 columns), same five folds and test rows</w:t>
            </w:r>
          </w:p>
        </w:tc>
        <w:tc>
          <w:tcPr>
            <w:tcW w:type="dxa" w:w="3009"/>
          </w:tcPr>
          <w:p>
            <w:pPr>
              <w:spacing w:after="0"/>
              <w:jc w:val="left"/>
            </w:pPr>
            <w:r/>
            <w:r>
              <w:rPr>
                <w:rFonts w:ascii="Times New Roman" w:hAnsi="Times New Roman"/>
                <w:sz w:val="22"/>
              </w:rPr>
              <w:t>CV PR-AUC 0.829 (SD 0.004) against 0.820 without the block and 0.838 for HGB; test PR-AUC 0.833 against 0.825</w:t>
            </w:r>
          </w:p>
        </w:tc>
      </w:tr>
    </w:tbl>
    <w:p>
      <w:pPr>
        <w:spacing w:after="80"/>
      </w:pPr>
    </w:p>
    <w:p>
      <w:r>
        <w:rPr>
          <w:rFonts w:ascii="Times New Roman" w:hAnsi="Times New Roman"/>
          <w:sz w:val="24"/>
        </w:rPr>
        <w:t>The question of Section 1.1 is answered yes for an insurer that reviews about three cases in four, the load at which the score outranks both hand-built references. I recommend that insurers and self-insured operators score daily filings and review them in score order down to capacity, from the 0.210 threshold. An adjuster should decide every flagged claim, and the score should not rank mines for inspection.</w:t>
      </w:r>
    </w:p>
    <w:p>
      <w:pPr>
        <w:pStyle w:val="Heading2"/>
      </w:pPr>
      <w:r>
        <w:rPr>
          <w:rFonts w:ascii="Times New Roman" w:hAnsi="Times New Roman"/>
          <w:b/>
          <w:color w:val="000000"/>
          <w:sz w:val="28"/>
        </w:rPr>
        <w:t>5.3 Limitations</w:t>
      </w:r>
    </w:p>
    <w:p>
      <w:r>
        <w:rPr>
          <w:rFonts w:ascii="Times New Roman" w:hAnsi="Times New Roman"/>
          <w:sz w:val="24"/>
        </w:rPr>
        <w:t>The data are operator self-reports under Part 50, so the findings cover reported injuries and inherit under-reporting that varies by mine and year. The label also records each employer's restricted-duty practice, which the model learns with severity. Contractor hours are absent from the production file, so exposure is understated at contractor-heavy mines, and Mines attributes are a snapshot that can post-date the accident. About one in twenty late-2025 reports may still be re-coded. Test metrics also pool reports filed after the worker's return, and ranking is weaker on the open ones (Table 21).</w:t>
      </w:r>
    </w:p>
    <w:p>
      <w:r>
        <w:rPr>
          <w:rFonts w:ascii="Times New Roman" w:hAnsi="Times New Roman"/>
          <w:sz w:val="24"/>
        </w:rPr>
        <w:t>Grids were small, though wider ones tried after testing gained at most 0.002; the test set was one fold, and the SVM and KNN used subsamples. No external data set was scored, and the cost comparison rests on an assumed USD 4,000 per missed case (Table 1). SHAP values cover 500 rows, and the application retrains on reduced grids, so its live numbers differ from the full run.</w:t>
      </w:r>
    </w:p>
    <w:p>
      <w:pPr>
        <w:pStyle w:val="Heading2"/>
      </w:pPr>
      <w:r>
        <w:rPr>
          <w:rFonts w:ascii="Times New Roman" w:hAnsi="Times New Roman"/>
          <w:b/>
          <w:color w:val="000000"/>
          <w:sz w:val="28"/>
        </w:rPr>
        <w:t>5.4 Future work</w:t>
      </w:r>
    </w:p>
    <w:p>
      <w:r>
        <w:rPr>
          <w:rFonts w:ascii="Times New Roman" w:hAnsi="Times New Roman"/>
          <w:sz w:val="24"/>
        </w:rPr>
        <w:t>External validation on closed 2026 reports, with the thresholds fixed here, comes first. Sector-level monitoring of the Brier score and review rate should trigger a refit at the S6 limit. An insurer's closed claims could then price a missed case and replace the assumed ratio. Narrative text with post-filing leakage controls, and a DART model, come last. Uzbekistan publishes only aggregate accident statistics (Kun.uz, 2026), so transfer there would first need case-level reports with a degree-of-injury code.</w:t>
      </w:r>
    </w:p>
    <w:p>
      <w:pPr>
        <w:pStyle w:val="Heading2"/>
      </w:pPr>
      <w:r>
        <w:rPr>
          <w:rFonts w:ascii="Times New Roman" w:hAnsi="Times New Roman"/>
          <w:b/>
          <w:color w:val="000000"/>
          <w:sz w:val="28"/>
        </w:rPr>
        <w:t>5.5 Ethical considerations</w:t>
      </w:r>
    </w:p>
    <w:p>
      <w:r>
        <w:rPr>
          <w:rFonts w:ascii="Times New Roman" w:hAnsi="Times New Roman"/>
          <w:sz w:val="24"/>
        </w:rPr>
        <w:t>The MSHA files are public-domain US government works (Office of the Law Revision Counsel, 2020), credited to the US Department of Labor as requested (US Department of Labor, no date). No names or narratives enter the model, but occupation, experience, mine and date could identify a worker at a small mine, so scored lists should stay with claims staff. Self-reporting adds representational bias and the label measurement bias (Mehrabi et al., 2021), as the same injury scores lower where restricted duty is offered. Recall at the capacity threshold is 0.971 in coal and 0.911 in metal and non-metal mines (Table 21), so misses fall more often on metal and non-metal workers. The model card (Table 19) and the application's decision-support notice rule out using a score to contest or delay a claim. I recommend that an adjuster confirm every flag and that the insurer compare recall by sector each quarter, recalibrating when the gap widens.</w:t>
      </w:r>
    </w:p>
    <w:p>
      <w:r>
        <w:br w:type="page"/>
      </w:r>
    </w:p>
    <w:p>
      <w:pPr>
        <w:pStyle w:val="Heading1"/>
      </w:pPr>
      <w:r>
        <w:rPr>
          <w:rFonts w:ascii="Times New Roman" w:hAnsi="Times New Roman"/>
          <w:b/>
          <w:color w:val="000000"/>
          <w:sz w:val="32"/>
        </w:rPr>
        <w:t>References</w:t>
      </w:r>
    </w:p>
    <w:p>
      <w:r>
        <w:rPr>
          <w:rFonts w:ascii="Times New Roman" w:hAnsi="Times New Roman"/>
          <w:sz w:val="24"/>
        </w:rPr>
        <w:t xml:space="preserve">Bishop, C.M. (2006) </w:t>
      </w:r>
      <w:r>
        <w:rPr>
          <w:rFonts w:ascii="Times New Roman" w:hAnsi="Times New Roman"/>
          <w:i/>
          <w:sz w:val="24"/>
        </w:rPr>
        <w:t>Pattern Recognition and Machine Learning</w:t>
      </w:r>
      <w:r>
        <w:rPr>
          <w:rFonts w:ascii="Times New Roman" w:hAnsi="Times New Roman"/>
          <w:sz w:val="24"/>
        </w:rPr>
        <w:t>. New York: Springer.</w:t>
      </w:r>
    </w:p>
    <w:p>
      <w:r>
        <w:rPr>
          <w:rFonts w:ascii="Times New Roman" w:hAnsi="Times New Roman"/>
          <w:sz w:val="24"/>
        </w:rPr>
        <w:t xml:space="preserve">Breiman, L. (2001) 'Random forests', </w:t>
      </w:r>
      <w:r>
        <w:rPr>
          <w:rFonts w:ascii="Times New Roman" w:hAnsi="Times New Roman"/>
          <w:i/>
          <w:sz w:val="24"/>
        </w:rPr>
        <w:t>Machine Learning</w:t>
      </w:r>
      <w:r>
        <w:rPr>
          <w:rFonts w:ascii="Times New Roman" w:hAnsi="Times New Roman"/>
          <w:sz w:val="24"/>
        </w:rPr>
        <w:t>, 45(1), pp. 5-32. doi:10.1023/A:1010933404324.</w:t>
      </w:r>
    </w:p>
    <w:p>
      <w:r>
        <w:rPr>
          <w:rFonts w:ascii="Times New Roman" w:hAnsi="Times New Roman"/>
          <w:sz w:val="24"/>
        </w:rPr>
        <w:t xml:space="preserve">Bruce, P., Bruce, A. and Gedeck, P. (2020) </w:t>
      </w:r>
      <w:r>
        <w:rPr>
          <w:rFonts w:ascii="Times New Roman" w:hAnsi="Times New Roman"/>
          <w:i/>
          <w:sz w:val="24"/>
        </w:rPr>
        <w:t>Practical Statistics for Data Scientists</w:t>
      </w:r>
      <w:r>
        <w:rPr>
          <w:rFonts w:ascii="Times New Roman" w:hAnsi="Times New Roman"/>
          <w:sz w:val="24"/>
        </w:rPr>
        <w:t>. 2nd edn. Sebastopol, CA: O'Reilly Media.</w:t>
      </w:r>
    </w:p>
    <w:p>
      <w:r>
        <w:rPr>
          <w:rFonts w:ascii="Times New Roman" w:hAnsi="Times New Roman"/>
          <w:sz w:val="24"/>
        </w:rPr>
        <w:t xml:space="preserve">Bureau of Labor Statistics (2025) </w:t>
      </w:r>
      <w:r>
        <w:rPr>
          <w:rFonts w:ascii="Times New Roman" w:hAnsi="Times New Roman"/>
          <w:i/>
          <w:sz w:val="24"/>
        </w:rPr>
        <w:t>Occupational Outlook Handbook: Claims adjusters, appraisers, examiners, and investigators</w:t>
      </w:r>
      <w:r>
        <w:rPr>
          <w:rFonts w:ascii="Times New Roman" w:hAnsi="Times New Roman"/>
          <w:sz w:val="24"/>
        </w:rPr>
        <w:t>. Washington, DC: US Department of Labor. Available at: https://www.bls.gov/ooh/business-and-financial/claims-adjusters-appraisers-examiners-and-investigators.htm (Accessed: 14 October 2026).</w:t>
      </w:r>
    </w:p>
    <w:p>
      <w:r>
        <w:rPr>
          <w:rFonts w:ascii="Times New Roman" w:hAnsi="Times New Roman"/>
          <w:sz w:val="24"/>
        </w:rPr>
        <w:t xml:space="preserve">Bureau of Labor Statistics (no date) </w:t>
      </w:r>
      <w:r>
        <w:rPr>
          <w:rFonts w:ascii="Times New Roman" w:hAnsi="Times New Roman"/>
          <w:i/>
          <w:sz w:val="24"/>
        </w:rPr>
        <w:t>Handbook of Methods: Survey of Occupational Injuries and Illnesses - Concepts</w:t>
      </w:r>
      <w:r>
        <w:rPr>
          <w:rFonts w:ascii="Times New Roman" w:hAnsi="Times New Roman"/>
          <w:sz w:val="24"/>
        </w:rPr>
        <w:t>. Available at: https://www.bls.gov/opub/hom/soii/concepts.htm (Accessed: 14 October 2026).</w:t>
      </w:r>
    </w:p>
    <w:p>
      <w:r>
        <w:rPr>
          <w:rFonts w:ascii="Times New Roman" w:hAnsi="Times New Roman"/>
          <w:sz w:val="24"/>
        </w:rPr>
        <w:t>Business Insurance (2015) 'Delayed reporting of workplace injuries can raise comp claim costs up to 51%', 7 June. Available at: https://www.businessinsurance.com/delayed-reporting-of-workplace-injuries-can-raise-comp-claim-costs-up-to-51/ (Accessed: 14 October 2026).</w:t>
      </w:r>
    </w:p>
    <w:p>
      <w:r>
        <w:rPr>
          <w:rFonts w:ascii="Times New Roman" w:hAnsi="Times New Roman"/>
          <w:sz w:val="24"/>
        </w:rPr>
        <w:t xml:space="preserve">Chawla, N.V., Bowyer, K.W., Hall, L.O. and Kegelmeyer, W.P. (2002) 'SMOTE: Synthetic minority over-sampling technique', </w:t>
      </w:r>
      <w:r>
        <w:rPr>
          <w:rFonts w:ascii="Times New Roman" w:hAnsi="Times New Roman"/>
          <w:i/>
          <w:sz w:val="24"/>
        </w:rPr>
        <w:t>Journal of Artificial Intelligence Research</w:t>
      </w:r>
      <w:r>
        <w:rPr>
          <w:rFonts w:ascii="Times New Roman" w:hAnsi="Times New Roman"/>
          <w:sz w:val="24"/>
        </w:rPr>
        <w:t>, 16, pp. 321-357. doi:10.1613/jair.953.</w:t>
      </w:r>
    </w:p>
    <w:p>
      <w:r>
        <w:rPr>
          <w:rFonts w:ascii="Times New Roman" w:hAnsi="Times New Roman"/>
          <w:sz w:val="24"/>
        </w:rPr>
        <w:t xml:space="preserve">Chen, T. and Guestrin, C. (2016) 'XGBoost: A scalable tree boosting system', in </w:t>
      </w:r>
      <w:r>
        <w:rPr>
          <w:rFonts w:ascii="Times New Roman" w:hAnsi="Times New Roman"/>
          <w:i/>
          <w:sz w:val="24"/>
        </w:rPr>
        <w:t>Proceedings of the 22nd ACM SIGKDD International Conference on Knowledge Discovery and Data Mining</w:t>
      </w:r>
      <w:r>
        <w:rPr>
          <w:rFonts w:ascii="Times New Roman" w:hAnsi="Times New Roman"/>
          <w:sz w:val="24"/>
        </w:rPr>
        <w:t>. San Francisco, CA, 13-17 August. New York: ACM, pp. 785-794. doi:10.1145/2939672.2939785.</w:t>
      </w:r>
    </w:p>
    <w:p>
      <w:r>
        <w:rPr>
          <w:rFonts w:ascii="Times New Roman" w:hAnsi="Times New Roman"/>
          <w:sz w:val="24"/>
        </w:rPr>
        <w:t xml:space="preserve">Cortes, C. and Vapnik, V. (1995) 'Support-vector networks', </w:t>
      </w:r>
      <w:r>
        <w:rPr>
          <w:rFonts w:ascii="Times New Roman" w:hAnsi="Times New Roman"/>
          <w:i/>
          <w:sz w:val="24"/>
        </w:rPr>
        <w:t>Machine Learning</w:t>
      </w:r>
      <w:r>
        <w:rPr>
          <w:rFonts w:ascii="Times New Roman" w:hAnsi="Times New Roman"/>
          <w:sz w:val="24"/>
        </w:rPr>
        <w:t>, 20(3), pp. 273-297. doi:10.1007/BF00994018.</w:t>
      </w:r>
    </w:p>
    <w:p>
      <w:r>
        <w:rPr>
          <w:rFonts w:ascii="Times New Roman" w:hAnsi="Times New Roman"/>
          <w:sz w:val="24"/>
        </w:rPr>
        <w:t xml:space="preserve">Cover, T. and Hart, P. (1967) 'Nearest neighbor pattern classification', </w:t>
      </w:r>
      <w:r>
        <w:rPr>
          <w:rFonts w:ascii="Times New Roman" w:hAnsi="Times New Roman"/>
          <w:i/>
          <w:sz w:val="24"/>
        </w:rPr>
        <w:t>IEEE Transactions on Information Theory</w:t>
      </w:r>
      <w:r>
        <w:rPr>
          <w:rFonts w:ascii="Times New Roman" w:hAnsi="Times New Roman"/>
          <w:sz w:val="24"/>
        </w:rPr>
        <w:t>, 13(1), pp. 21-27. doi:10.1109/TIT.1967.1053964.</w:t>
      </w:r>
    </w:p>
    <w:p>
      <w:r>
        <w:rPr>
          <w:rFonts w:ascii="Times New Roman" w:hAnsi="Times New Roman"/>
          <w:sz w:val="24"/>
        </w:rPr>
        <w:t xml:space="preserve">Davis, J. and Goadrich, M. (2006) 'The relationship between Precision-Recall and ROC curves', in </w:t>
      </w:r>
      <w:r>
        <w:rPr>
          <w:rFonts w:ascii="Times New Roman" w:hAnsi="Times New Roman"/>
          <w:i/>
          <w:sz w:val="24"/>
        </w:rPr>
        <w:t>Proceedings of the 23rd International Conference on Machine Learning</w:t>
      </w:r>
      <w:r>
        <w:rPr>
          <w:rFonts w:ascii="Times New Roman" w:hAnsi="Times New Roman"/>
          <w:sz w:val="24"/>
        </w:rPr>
        <w:t>. Pittsburgh, PA, 25-29 June. New York: ACM, pp. 233-240. doi:10.1145/1143844.1143874.</w:t>
      </w:r>
    </w:p>
    <w:p>
      <w:r>
        <w:rPr>
          <w:rFonts w:ascii="Times New Roman" w:hAnsi="Times New Roman"/>
          <w:sz w:val="24"/>
        </w:rPr>
        <w:t xml:space="preserve">Demšar, J. (2006) 'Statistical comparisons of classifiers over multiple data sets', </w:t>
      </w:r>
      <w:r>
        <w:rPr>
          <w:rFonts w:ascii="Times New Roman" w:hAnsi="Times New Roman"/>
          <w:i/>
          <w:sz w:val="24"/>
        </w:rPr>
        <w:t>Journal of Machine Learning Research</w:t>
      </w:r>
      <w:r>
        <w:rPr>
          <w:rFonts w:ascii="Times New Roman" w:hAnsi="Times New Roman"/>
          <w:sz w:val="24"/>
        </w:rPr>
        <w:t>, 7, pp. 1-30.</w:t>
      </w:r>
    </w:p>
    <w:p>
      <w:r>
        <w:rPr>
          <w:rFonts w:ascii="Times New Roman" w:hAnsi="Times New Roman"/>
          <w:sz w:val="24"/>
        </w:rPr>
        <w:t xml:space="preserve">Dietterich, T.G. (1998) 'Approximate statistical tests for comparing supervised classification learning algorithms', </w:t>
      </w:r>
      <w:r>
        <w:rPr>
          <w:rFonts w:ascii="Times New Roman" w:hAnsi="Times New Roman"/>
          <w:i/>
          <w:sz w:val="24"/>
        </w:rPr>
        <w:t>Neural Computation</w:t>
      </w:r>
      <w:r>
        <w:rPr>
          <w:rFonts w:ascii="Times New Roman" w:hAnsi="Times New Roman"/>
          <w:sz w:val="24"/>
        </w:rPr>
        <w:t>, 10(7), pp. 1895-1923. doi:10.1162/089976698300017197.</w:t>
      </w:r>
    </w:p>
    <w:p>
      <w:r>
        <w:rPr>
          <w:rFonts w:ascii="Times New Roman" w:hAnsi="Times New Roman"/>
          <w:sz w:val="24"/>
        </w:rPr>
        <w:t xml:space="preserve">Domingos, P. and Pazzani, M. (1997) 'On the optimality of the simple Bayesian classifier under zero-one loss', </w:t>
      </w:r>
      <w:r>
        <w:rPr>
          <w:rFonts w:ascii="Times New Roman" w:hAnsi="Times New Roman"/>
          <w:i/>
          <w:sz w:val="24"/>
        </w:rPr>
        <w:t>Machine Learning</w:t>
      </w:r>
      <w:r>
        <w:rPr>
          <w:rFonts w:ascii="Times New Roman" w:hAnsi="Times New Roman"/>
          <w:sz w:val="24"/>
        </w:rPr>
        <w:t>, 29(2-3), pp. 103-130. doi:10.1023/A:1007413511361.</w:t>
      </w:r>
    </w:p>
    <w:p>
      <w:r>
        <w:rPr>
          <w:rFonts w:ascii="Times New Roman" w:hAnsi="Times New Roman"/>
          <w:sz w:val="24"/>
        </w:rPr>
        <w:t xml:space="preserve">Durkalski, V.L., Palesch, Y.Y., Lipsitz, S.R. and Rust, P.F. (2003) 'Analysis of clustered matched-pair data', </w:t>
      </w:r>
      <w:r>
        <w:rPr>
          <w:rFonts w:ascii="Times New Roman" w:hAnsi="Times New Roman"/>
          <w:i/>
          <w:sz w:val="24"/>
        </w:rPr>
        <w:t>Statistics in Medicine</w:t>
      </w:r>
      <w:r>
        <w:rPr>
          <w:rFonts w:ascii="Times New Roman" w:hAnsi="Times New Roman"/>
          <w:sz w:val="24"/>
        </w:rPr>
        <w:t>, 22(15), pp. 2417-2428. doi:10.1002/sim.1438.</w:t>
      </w:r>
    </w:p>
    <w:p>
      <w:r>
        <w:rPr>
          <w:rFonts w:ascii="Times New Roman" w:hAnsi="Times New Roman"/>
          <w:sz w:val="24"/>
        </w:rPr>
        <w:t xml:space="preserve">Fawcett, T. (2006) 'An introduction to ROC analysis', </w:t>
      </w:r>
      <w:r>
        <w:rPr>
          <w:rFonts w:ascii="Times New Roman" w:hAnsi="Times New Roman"/>
          <w:i/>
          <w:sz w:val="24"/>
        </w:rPr>
        <w:t>Pattern Recognition Letters</w:t>
      </w:r>
      <w:r>
        <w:rPr>
          <w:rFonts w:ascii="Times New Roman" w:hAnsi="Times New Roman"/>
          <w:sz w:val="24"/>
        </w:rPr>
        <w:t>, 27(8), pp. 861-874. doi:10.1016/j.patrec.2005.10.010.</w:t>
      </w:r>
    </w:p>
    <w:p>
      <w:r>
        <w:rPr>
          <w:rFonts w:ascii="Times New Roman" w:hAnsi="Times New Roman"/>
          <w:sz w:val="24"/>
        </w:rPr>
        <w:t xml:space="preserve">Gebru, T., Morgenstern, J., Vecchione, B., Vaughan, J.W., Wallach, H., Daume III, H. and Crawford, K. (2021) 'Datasheets for datasets', </w:t>
      </w:r>
      <w:r>
        <w:rPr>
          <w:rFonts w:ascii="Times New Roman" w:hAnsi="Times New Roman"/>
          <w:i/>
          <w:sz w:val="24"/>
        </w:rPr>
        <w:t>Communications of the ACM</w:t>
      </w:r>
      <w:r>
        <w:rPr>
          <w:rFonts w:ascii="Times New Roman" w:hAnsi="Times New Roman"/>
          <w:sz w:val="24"/>
        </w:rPr>
        <w:t>, 64(12), pp. 86-92. doi:10.1145/3458723.</w:t>
      </w:r>
    </w:p>
    <w:p>
      <w:r>
        <w:rPr>
          <w:rFonts w:ascii="Times New Roman" w:hAnsi="Times New Roman"/>
          <w:sz w:val="24"/>
        </w:rPr>
        <w:t xml:space="preserve">Gen Re (2026) </w:t>
      </w:r>
      <w:r>
        <w:rPr>
          <w:rFonts w:ascii="Times New Roman" w:hAnsi="Times New Roman"/>
          <w:i/>
          <w:sz w:val="24"/>
        </w:rPr>
        <w:t>Workers' comp healthy amid change</w:t>
      </w:r>
      <w:r>
        <w:rPr>
          <w:rFonts w:ascii="Times New Roman" w:hAnsi="Times New Roman"/>
          <w:sz w:val="24"/>
        </w:rPr>
        <w:t>. 26 May. Available at: https://www.genre.com/us/knowledge/publications/2026/may/workers-comp-healthy-amid-change-en (Accessed: 14 October 2026).</w:t>
      </w:r>
    </w:p>
    <w:p>
      <w:r>
        <w:rPr>
          <w:rFonts w:ascii="Times New Roman" w:hAnsi="Times New Roman"/>
          <w:sz w:val="24"/>
        </w:rPr>
        <w:t xml:space="preserve">Grinsztajn, L., Oyallon, E. and Varoquaux, G. (2022) 'Why do tree-based models still outperform deep learning on typical tabular data?', in </w:t>
      </w:r>
      <w:r>
        <w:rPr>
          <w:rFonts w:ascii="Times New Roman" w:hAnsi="Times New Roman"/>
          <w:i/>
          <w:sz w:val="24"/>
        </w:rPr>
        <w:t>Advances in Neural Information Processing Systems 35, Datasets and Benchmarks Track</w:t>
      </w:r>
      <w:r>
        <w:rPr>
          <w:rFonts w:ascii="Times New Roman" w:hAnsi="Times New Roman"/>
          <w:sz w:val="24"/>
        </w:rPr>
        <w:t>.</w:t>
      </w:r>
    </w:p>
    <w:p>
      <w:r>
        <w:rPr>
          <w:rFonts w:ascii="Times New Roman" w:hAnsi="Times New Roman"/>
          <w:sz w:val="24"/>
        </w:rPr>
        <w:t xml:space="preserve">Han, J., Pei, J. and Tong, H. (2022) </w:t>
      </w:r>
      <w:r>
        <w:rPr>
          <w:rFonts w:ascii="Times New Roman" w:hAnsi="Times New Roman"/>
          <w:i/>
          <w:sz w:val="24"/>
        </w:rPr>
        <w:t>Data Mining: Concepts and Techniques</w:t>
      </w:r>
      <w:r>
        <w:rPr>
          <w:rFonts w:ascii="Times New Roman" w:hAnsi="Times New Roman"/>
          <w:sz w:val="24"/>
        </w:rPr>
        <w:t>. 4th edn. Cambridge, MA: Morgan Kaufmann.</w:t>
      </w:r>
    </w:p>
    <w:p>
      <w:r>
        <w:rPr>
          <w:rFonts w:ascii="Times New Roman" w:hAnsi="Times New Roman"/>
          <w:sz w:val="24"/>
        </w:rPr>
        <w:t xml:space="preserve">Hastie, T., Tibshirani, R. and Friedman, J. (2009) </w:t>
      </w:r>
      <w:r>
        <w:rPr>
          <w:rFonts w:ascii="Times New Roman" w:hAnsi="Times New Roman"/>
          <w:i/>
          <w:sz w:val="24"/>
        </w:rPr>
        <w:t>The Elements of Statistical Learning: Data Mining, Inference, and Prediction</w:t>
      </w:r>
      <w:r>
        <w:rPr>
          <w:rFonts w:ascii="Times New Roman" w:hAnsi="Times New Roman"/>
          <w:sz w:val="24"/>
        </w:rPr>
        <w:t>. 2nd edn. New York: Springer.</w:t>
      </w:r>
    </w:p>
    <w:p>
      <w:r>
        <w:rPr>
          <w:rFonts w:ascii="Times New Roman" w:hAnsi="Times New Roman"/>
          <w:sz w:val="24"/>
        </w:rPr>
        <w:t xml:space="preserve">He, H. and Garcia, E.A. (2009) 'Learning from imbalanced data', </w:t>
      </w:r>
      <w:r>
        <w:rPr>
          <w:rFonts w:ascii="Times New Roman" w:hAnsi="Times New Roman"/>
          <w:i/>
          <w:sz w:val="24"/>
        </w:rPr>
        <w:t>IEEE Transactions on Knowledge and Data Engineering</w:t>
      </w:r>
      <w:r>
        <w:rPr>
          <w:rFonts w:ascii="Times New Roman" w:hAnsi="Times New Roman"/>
          <w:sz w:val="24"/>
        </w:rPr>
        <w:t>, 21(9), pp. 1263-1284. doi:10.1109/TKDE.2008.239.</w:t>
      </w:r>
    </w:p>
    <w:p>
      <w:r>
        <w:rPr>
          <w:rFonts w:ascii="Times New Roman" w:hAnsi="Times New Roman"/>
          <w:sz w:val="24"/>
        </w:rPr>
        <w:t xml:space="preserve">Hosmer, D.W., Lemeshow, S. and Sturdivant, R.X. (2013) </w:t>
      </w:r>
      <w:r>
        <w:rPr>
          <w:rFonts w:ascii="Times New Roman" w:hAnsi="Times New Roman"/>
          <w:i/>
          <w:sz w:val="24"/>
        </w:rPr>
        <w:t>Applied Logistic Regression</w:t>
      </w:r>
      <w:r>
        <w:rPr>
          <w:rFonts w:ascii="Times New Roman" w:hAnsi="Times New Roman"/>
          <w:sz w:val="24"/>
        </w:rPr>
        <w:t>. 3rd edn. Hoboken, NJ: Wiley.</w:t>
      </w:r>
    </w:p>
    <w:p>
      <w:r>
        <w:rPr>
          <w:rFonts w:ascii="Times New Roman" w:hAnsi="Times New Roman"/>
          <w:sz w:val="24"/>
        </w:rPr>
        <w:t xml:space="preserve">Hunter, J.D. (2007) 'Matplotlib: A 2D graphics environment', </w:t>
      </w:r>
      <w:r>
        <w:rPr>
          <w:rFonts w:ascii="Times New Roman" w:hAnsi="Times New Roman"/>
          <w:i/>
          <w:sz w:val="24"/>
        </w:rPr>
        <w:t>Computing in Science and Engineering</w:t>
      </w:r>
      <w:r>
        <w:rPr>
          <w:rFonts w:ascii="Times New Roman" w:hAnsi="Times New Roman"/>
          <w:sz w:val="24"/>
        </w:rPr>
        <w:t>, 9(3), pp. 90-95. doi:10.1109/MCSE.2007.55.</w:t>
      </w:r>
    </w:p>
    <w:p>
      <w:r>
        <w:rPr>
          <w:rFonts w:ascii="Times New Roman" w:hAnsi="Times New Roman"/>
          <w:sz w:val="24"/>
        </w:rPr>
        <w:t xml:space="preserve">Kaufman, S., Rosset, S., Perlich, C. and Stitelman, O. (2012) 'Leakage in data mining: Formulation, detection, and avoidance', </w:t>
      </w:r>
      <w:r>
        <w:rPr>
          <w:rFonts w:ascii="Times New Roman" w:hAnsi="Times New Roman"/>
          <w:i/>
          <w:sz w:val="24"/>
        </w:rPr>
        <w:t>ACM Transactions on Knowledge Discovery from Data</w:t>
      </w:r>
      <w:r>
        <w:rPr>
          <w:rFonts w:ascii="Times New Roman" w:hAnsi="Times New Roman"/>
          <w:sz w:val="24"/>
        </w:rPr>
        <w:t>, 6(4), Article 15. doi:10.1145/2382577.2382579.</w:t>
      </w:r>
    </w:p>
    <w:p>
      <w:r>
        <w:rPr>
          <w:rFonts w:ascii="Times New Roman" w:hAnsi="Times New Roman"/>
          <w:sz w:val="24"/>
        </w:rPr>
        <w:t xml:space="preserve">Kohavi, R. (1995) 'A study of cross-validation and bootstrap for accuracy estimation and model selection', in </w:t>
      </w:r>
      <w:r>
        <w:rPr>
          <w:rFonts w:ascii="Times New Roman" w:hAnsi="Times New Roman"/>
          <w:i/>
          <w:sz w:val="24"/>
        </w:rPr>
        <w:t>Proceedings of the 14th International Joint Conference on Artificial Intelligence</w:t>
      </w:r>
      <w:r>
        <w:rPr>
          <w:rFonts w:ascii="Times New Roman" w:hAnsi="Times New Roman"/>
          <w:sz w:val="24"/>
        </w:rPr>
        <w:t>. Montreal, 20-25 August. San Francisco, CA: Morgan Kaufmann, vol. 2, pp. 1137-1145.</w:t>
      </w:r>
    </w:p>
    <w:p>
      <w:r>
        <w:rPr>
          <w:rFonts w:ascii="Times New Roman" w:hAnsi="Times New Roman"/>
          <w:sz w:val="24"/>
        </w:rPr>
        <w:t xml:space="preserve">Kuhn, M. and Johnson, K. (2019) </w:t>
      </w:r>
      <w:r>
        <w:rPr>
          <w:rFonts w:ascii="Times New Roman" w:hAnsi="Times New Roman"/>
          <w:i/>
          <w:sz w:val="24"/>
        </w:rPr>
        <w:t>Feature Engineering and Selection: A Practical Approach for Predictive Models</w:t>
      </w:r>
      <w:r>
        <w:rPr>
          <w:rFonts w:ascii="Times New Roman" w:hAnsi="Times New Roman"/>
          <w:sz w:val="24"/>
        </w:rPr>
        <w:t>. Boca Raton, FL: CRC Press.</w:t>
      </w:r>
    </w:p>
    <w:p>
      <w:r>
        <w:rPr>
          <w:rFonts w:ascii="Times New Roman" w:hAnsi="Times New Roman"/>
          <w:sz w:val="24"/>
        </w:rPr>
        <w:t>Kun.uz (2026) 'Workplace accidents kill 248 people in Uzbekistan in 2025', 13 January. Available at: https://kun.uz/en/news/2026/01/13/workplace-accidents-kill-248-people-in-uzbekistan-in-2025over-240-people (Accessed: 14 October 2026).</w:t>
      </w:r>
    </w:p>
    <w:p>
      <w:r>
        <w:rPr>
          <w:rFonts w:ascii="Times New Roman" w:hAnsi="Times New Roman"/>
          <w:sz w:val="24"/>
        </w:rPr>
        <w:t xml:space="preserve">Legal Information Institute (no date a) </w:t>
      </w:r>
      <w:r>
        <w:rPr>
          <w:rFonts w:ascii="Times New Roman" w:hAnsi="Times New Roman"/>
          <w:i/>
          <w:sz w:val="24"/>
        </w:rPr>
        <w:t>30 CFR 50.20 - Preparation and submission of MSHA Report Form 7000-1</w:t>
      </w:r>
      <w:r>
        <w:rPr>
          <w:rFonts w:ascii="Times New Roman" w:hAnsi="Times New Roman"/>
          <w:sz w:val="24"/>
        </w:rPr>
        <w:t>. Available at: https://www.law.cornell.edu/cfr/text/30/50.20 (Accessed: 14 October 2026).</w:t>
      </w:r>
    </w:p>
    <w:p>
      <w:r>
        <w:rPr>
          <w:rFonts w:ascii="Times New Roman" w:hAnsi="Times New Roman"/>
          <w:sz w:val="24"/>
        </w:rPr>
        <w:t xml:space="preserve">Legal Information Institute (no date b) </w:t>
      </w:r>
      <w:r>
        <w:rPr>
          <w:rFonts w:ascii="Times New Roman" w:hAnsi="Times New Roman"/>
          <w:i/>
          <w:sz w:val="24"/>
        </w:rPr>
        <w:t>30 CFR 50.30 - Preparation and submission of MSHA Form 7000-2</w:t>
      </w:r>
      <w:r>
        <w:rPr>
          <w:rFonts w:ascii="Times New Roman" w:hAnsi="Times New Roman"/>
          <w:sz w:val="24"/>
        </w:rPr>
        <w:t>. Available at: https://www.law.cornell.edu/cfr/text/30/50.30 (Accessed: 14 October 2026).</w:t>
      </w:r>
    </w:p>
    <w:p>
      <w:r>
        <w:rPr>
          <w:rFonts w:ascii="Times New Roman" w:hAnsi="Times New Roman"/>
          <w:sz w:val="24"/>
        </w:rPr>
        <w:t xml:space="preserve">Lemaitre, G., Nogueira, F. and Aridas, C.K. (2017) 'Imbalanced-learn: A Python toolbox to tackle the curse of imbalanced datasets in machine learning', </w:t>
      </w:r>
      <w:r>
        <w:rPr>
          <w:rFonts w:ascii="Times New Roman" w:hAnsi="Times New Roman"/>
          <w:i/>
          <w:sz w:val="24"/>
        </w:rPr>
        <w:t>Journal of Machine Learning Research</w:t>
      </w:r>
      <w:r>
        <w:rPr>
          <w:rFonts w:ascii="Times New Roman" w:hAnsi="Times New Roman"/>
          <w:sz w:val="24"/>
        </w:rPr>
        <w:t>, 18(17), pp. 1-5.</w:t>
      </w:r>
    </w:p>
    <w:p>
      <w:r>
        <w:rPr>
          <w:rFonts w:ascii="Times New Roman" w:hAnsi="Times New Roman"/>
          <w:sz w:val="24"/>
        </w:rPr>
        <w:t xml:space="preserve">Lundberg, S.M. and Lee, S.-I. (2017)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pp. 4765-4774.</w:t>
      </w:r>
    </w:p>
    <w:p>
      <w:r>
        <w:rPr>
          <w:rFonts w:ascii="Times New Roman" w:hAnsi="Times New Roman"/>
          <w:sz w:val="24"/>
        </w:rPr>
        <w:t xml:space="preserve">Mehrabi, N., Morstatter, F., Saxena, N., Lerman, K. and Galstyan, A. (2021) 'A survey on bias and fairness in machine learning', </w:t>
      </w:r>
      <w:r>
        <w:rPr>
          <w:rFonts w:ascii="Times New Roman" w:hAnsi="Times New Roman"/>
          <w:i/>
          <w:sz w:val="24"/>
        </w:rPr>
        <w:t>ACM Computing Surveys</w:t>
      </w:r>
      <w:r>
        <w:rPr>
          <w:rFonts w:ascii="Times New Roman" w:hAnsi="Times New Roman"/>
          <w:sz w:val="24"/>
        </w:rPr>
        <w:t>, 54(6), Article 115. doi:10.1145/3457607.</w:t>
      </w:r>
    </w:p>
    <w:p>
      <w:r>
        <w:rPr>
          <w:rFonts w:ascii="Times New Roman" w:hAnsi="Times New Roman"/>
          <w:sz w:val="24"/>
        </w:rPr>
        <w:t xml:space="preserve">Mine Safety and Health Administration (2026) </w:t>
      </w:r>
      <w:r>
        <w:rPr>
          <w:rFonts w:ascii="Times New Roman" w:hAnsi="Times New Roman"/>
          <w:i/>
          <w:sz w:val="24"/>
        </w:rPr>
        <w:t>Mine Injury and Worktime, Quarterly: January-December 2025, preliminary</w:t>
      </w:r>
      <w:r>
        <w:rPr>
          <w:rFonts w:ascii="Times New Roman" w:hAnsi="Times New Roman"/>
          <w:sz w:val="24"/>
        </w:rPr>
        <w:t>. Available at: https://arlweb.msha.gov/Stats/Part50/WQ/2025/MIWQ%20-%20CY2025Q4.pdf (Accessed: 14 October 2026).</w:t>
      </w:r>
    </w:p>
    <w:p>
      <w:r>
        <w:rPr>
          <w:rFonts w:ascii="Times New Roman" w:hAnsi="Times New Roman"/>
          <w:sz w:val="24"/>
        </w:rPr>
        <w:t xml:space="preserve">Mine Safety and Health Administration (no date) </w:t>
      </w:r>
      <w:r>
        <w:rPr>
          <w:rFonts w:ascii="Times New Roman" w:hAnsi="Times New Roman"/>
          <w:i/>
          <w:sz w:val="24"/>
        </w:rPr>
        <w:t>Mine Accident, Injury and Illness Report, MSHA Form 7000-1 (OMB No. 1219-0007), with instructions</w:t>
      </w:r>
      <w:r>
        <w:rPr>
          <w:rFonts w:ascii="Times New Roman" w:hAnsi="Times New Roman"/>
          <w:sz w:val="24"/>
        </w:rPr>
        <w:t>. Available at: https://www.msha.gov/sites/default/files/Support_Resources/Forms/7000-1.pdf (Accessed: 14 October 2026).</w:t>
      </w:r>
    </w:p>
    <w:p>
      <w:r>
        <w:rPr>
          <w:rFonts w:ascii="Times New Roman" w:hAnsi="Times New Roman"/>
          <w:sz w:val="24"/>
        </w:rPr>
        <w:t xml:space="preserve">Mitchell, M., Wu, S., Zaldivar, A., Barnes, P., Vasserman, L., Hutchinson, B., Spitzer, E., Raji, I.D. and Gebru, T. (2019) 'Model cards for model reporting', in </w:t>
      </w:r>
      <w:r>
        <w:rPr>
          <w:rFonts w:ascii="Times New Roman" w:hAnsi="Times New Roman"/>
          <w:i/>
          <w:sz w:val="24"/>
        </w:rPr>
        <w:t>Proceedings of the Conference on Fairness, Accountability, and Transparency</w:t>
      </w:r>
      <w:r>
        <w:rPr>
          <w:rFonts w:ascii="Times New Roman" w:hAnsi="Times New Roman"/>
          <w:sz w:val="24"/>
        </w:rPr>
        <w:t>. Atlanta, GA, 29-31 January. New York: ACM, pp. 220-229. doi:10.1145/3287560.3287596.</w:t>
      </w:r>
    </w:p>
    <w:p>
      <w:r>
        <w:rPr>
          <w:rFonts w:ascii="Times New Roman" w:hAnsi="Times New Roman"/>
          <w:sz w:val="24"/>
        </w:rPr>
        <w:t xml:space="preserve">Mitchell, T.M. (1997) </w:t>
      </w:r>
      <w:r>
        <w:rPr>
          <w:rFonts w:ascii="Times New Roman" w:hAnsi="Times New Roman"/>
          <w:i/>
          <w:sz w:val="24"/>
        </w:rPr>
        <w:t>Machine Learning</w:t>
      </w:r>
      <w:r>
        <w:rPr>
          <w:rFonts w:ascii="Times New Roman" w:hAnsi="Times New Roman"/>
          <w:sz w:val="24"/>
        </w:rPr>
        <w:t>. New York: McGraw-Hill.</w:t>
      </w:r>
    </w:p>
    <w:p>
      <w:r>
        <w:rPr>
          <w:rFonts w:ascii="Times New Roman" w:hAnsi="Times New Roman"/>
          <w:sz w:val="24"/>
        </w:rPr>
        <w:t xml:space="preserve">Nadeau, C. and Bengio, Y. (2003) 'Inference for the generalization error', </w:t>
      </w:r>
      <w:r>
        <w:rPr>
          <w:rFonts w:ascii="Times New Roman" w:hAnsi="Times New Roman"/>
          <w:i/>
          <w:sz w:val="24"/>
        </w:rPr>
        <w:t>Machine Learning</w:t>
      </w:r>
      <w:r>
        <w:rPr>
          <w:rFonts w:ascii="Times New Roman" w:hAnsi="Times New Roman"/>
          <w:sz w:val="24"/>
        </w:rPr>
        <w:t>, 52(3), pp. 239-281. doi:10.1023/A:1024068626366.</w:t>
      </w:r>
    </w:p>
    <w:p>
      <w:r>
        <w:rPr>
          <w:rFonts w:ascii="Times New Roman" w:hAnsi="Times New Roman"/>
          <w:sz w:val="24"/>
        </w:rPr>
        <w:t xml:space="preserve">National Institute for Occupational Safety and Health (no date) </w:t>
      </w:r>
      <w:r>
        <w:rPr>
          <w:rFonts w:ascii="Times New Roman" w:hAnsi="Times New Roman"/>
          <w:i/>
          <w:sz w:val="24"/>
        </w:rPr>
        <w:t>NIOSH Mine and Mine Worker Charts: number and rate of nonfatal lost-time injuries, 2021-2024</w:t>
      </w:r>
      <w:r>
        <w:rPr>
          <w:rFonts w:ascii="Times New Roman" w:hAnsi="Times New Roman"/>
          <w:sz w:val="24"/>
        </w:rPr>
        <w:t>. Available at: https://wwwn.cdc.gov/niosh-mining/MMWC/Injuries/NumberAndRate (Accessed: 14 October 2026).</w:t>
      </w:r>
    </w:p>
    <w:p>
      <w:r>
        <w:rPr>
          <w:rFonts w:ascii="Times New Roman" w:hAnsi="Times New Roman"/>
          <w:sz w:val="24"/>
        </w:rPr>
        <w:t xml:space="preserve">Office of the Law Revision Counsel (2020) </w:t>
      </w:r>
      <w:r>
        <w:rPr>
          <w:rFonts w:ascii="Times New Roman" w:hAnsi="Times New Roman"/>
          <w:i/>
          <w:sz w:val="24"/>
        </w:rPr>
        <w:t>17 U.S.C. 105 - Subject matter of copyright: United States Government works</w:t>
      </w:r>
      <w:r>
        <w:rPr>
          <w:rFonts w:ascii="Times New Roman" w:hAnsi="Times New Roman"/>
          <w:sz w:val="24"/>
        </w:rPr>
        <w:t>. United States Code, 2020 edition. Available at: https://www.govinfo.gov/content/pkg/USCODE-2020-title17/html/USCODE-2020-title17-chap1-sec105.htm (Accessed: 14 October 2026).</w:t>
      </w:r>
    </w:p>
    <w:p>
      <w:r>
        <w:rPr>
          <w:rFonts w:ascii="Times New Roman" w:hAnsi="Times New Roman"/>
          <w:sz w:val="24"/>
        </w:rPr>
        <w:t xml:space="preserve">Pedregosa, F., Varoquaux, G., Gramfort, A., Michel, V., Thirion, B., Grisel, O., Blondel, M., Prettenhofer, P., Weiss, R., Dubourg, V., Vanderplas, J., Passos, A., Cournapeau, D., Brucher, M., Perrot, M. and Duchesnay, E. (2011) 'Scikit-learn: Machine learning in Python', </w:t>
      </w:r>
      <w:r>
        <w:rPr>
          <w:rFonts w:ascii="Times New Roman" w:hAnsi="Times New Roman"/>
          <w:i/>
          <w:sz w:val="24"/>
        </w:rPr>
        <w:t>Journal of Machine Learning Research</w:t>
      </w:r>
      <w:r>
        <w:rPr>
          <w:rFonts w:ascii="Times New Roman" w:hAnsi="Times New Roman"/>
          <w:sz w:val="24"/>
        </w:rPr>
        <w:t>, 12, pp. 2825-2830.</w:t>
      </w:r>
    </w:p>
    <w:p>
      <w:r>
        <w:rPr>
          <w:rFonts w:ascii="Times New Roman" w:hAnsi="Times New Roman"/>
          <w:sz w:val="24"/>
        </w:rPr>
        <w:t xml:space="preserve">Provost, F. and Fawcett, T. (2013) </w:t>
      </w:r>
      <w:r>
        <w:rPr>
          <w:rFonts w:ascii="Times New Roman" w:hAnsi="Times New Roman"/>
          <w:i/>
          <w:sz w:val="24"/>
        </w:rPr>
        <w:t>Data Science for Business: What You Need to Know about Data Mining and Data-Analytic Thinking</w:t>
      </w:r>
      <w:r>
        <w:rPr>
          <w:rFonts w:ascii="Times New Roman" w:hAnsi="Times New Roman"/>
          <w:sz w:val="24"/>
        </w:rPr>
        <w:t>. Sebastopol, CA: O'Reilly Media.</w:t>
      </w:r>
    </w:p>
    <w:p>
      <w:r>
        <w:rPr>
          <w:rFonts w:ascii="Times New Roman" w:hAnsi="Times New Roman"/>
          <w:sz w:val="24"/>
        </w:rPr>
        <w:t xml:space="preserve">Rubin, D.B. (1976) 'Inference and missing data', </w:t>
      </w:r>
      <w:r>
        <w:rPr>
          <w:rFonts w:ascii="Times New Roman" w:hAnsi="Times New Roman"/>
          <w:i/>
          <w:sz w:val="24"/>
        </w:rPr>
        <w:t>Biometrika</w:t>
      </w:r>
      <w:r>
        <w:rPr>
          <w:rFonts w:ascii="Times New Roman" w:hAnsi="Times New Roman"/>
          <w:sz w:val="24"/>
        </w:rPr>
        <w:t>, 63(3), pp. 581-592. doi:10.1093/biomet/63.3.581.</w:t>
      </w:r>
    </w:p>
    <w:p>
      <w:r>
        <w:rPr>
          <w:rFonts w:ascii="Times New Roman" w:hAnsi="Times New Roman"/>
          <w:sz w:val="24"/>
        </w:rPr>
        <w:t xml:space="preserve">Saito, T. and Rehmsmeier, M. (2015) 'The precision-recall plot is more informative than the ROC plot when evaluating binary classifiers on imbalanced datasets', </w:t>
      </w:r>
      <w:r>
        <w:rPr>
          <w:rFonts w:ascii="Times New Roman" w:hAnsi="Times New Roman"/>
          <w:i/>
          <w:sz w:val="24"/>
        </w:rPr>
        <w:t>PLoS ONE</w:t>
      </w:r>
      <w:r>
        <w:rPr>
          <w:rFonts w:ascii="Times New Roman" w:hAnsi="Times New Roman"/>
          <w:sz w:val="24"/>
        </w:rPr>
        <w:t>, 10(3), e0118432. doi:10.1371/journal.pone.0118432.</w:t>
      </w:r>
    </w:p>
    <w:p>
      <w:r>
        <w:rPr>
          <w:rFonts w:ascii="Times New Roman" w:hAnsi="Times New Roman"/>
          <w:sz w:val="24"/>
        </w:rPr>
        <w:t xml:space="preserve">Sculley, D., Holt, G., Golovin, D., Davydov, E., Phillips, T., Ebner, D., Chaudhary, V., Young, M., Crespo, J.-F. and Dennison, D. (2015) 'Hidden technical debt in machine learning systems', in </w:t>
      </w:r>
      <w:r>
        <w:rPr>
          <w:rFonts w:ascii="Times New Roman" w:hAnsi="Times New Roman"/>
          <w:i/>
          <w:sz w:val="24"/>
        </w:rPr>
        <w:t>Advances in Neural Information Processing Systems 28</w:t>
      </w:r>
      <w:r>
        <w:rPr>
          <w:rFonts w:ascii="Times New Roman" w:hAnsi="Times New Roman"/>
          <w:sz w:val="24"/>
        </w:rPr>
        <w:t>, pp. 2503-2511.</w:t>
      </w:r>
    </w:p>
    <w:p>
      <w:r>
        <w:rPr>
          <w:rFonts w:ascii="Times New Roman" w:hAnsi="Times New Roman"/>
          <w:sz w:val="24"/>
        </w:rPr>
        <w:t xml:space="preserve">Tan, P.-N., Steinbach, M., Karpatne, A. and Kumar, V. (2019) </w:t>
      </w:r>
      <w:r>
        <w:rPr>
          <w:rFonts w:ascii="Times New Roman" w:hAnsi="Times New Roman"/>
          <w:i/>
          <w:sz w:val="24"/>
        </w:rPr>
        <w:t>Introduction to Data Mining</w:t>
      </w:r>
      <w:r>
        <w:rPr>
          <w:rFonts w:ascii="Times New Roman" w:hAnsi="Times New Roman"/>
          <w:sz w:val="24"/>
        </w:rPr>
        <w:t>. 2nd edn. New York: Pearson.</w:t>
      </w:r>
    </w:p>
    <w:p>
      <w:r>
        <w:rPr>
          <w:rFonts w:ascii="Times New Roman" w:hAnsi="Times New Roman"/>
          <w:sz w:val="24"/>
        </w:rPr>
        <w:t xml:space="preserve">Tukey, J.W. (1977) </w:t>
      </w:r>
      <w:r>
        <w:rPr>
          <w:rFonts w:ascii="Times New Roman" w:hAnsi="Times New Roman"/>
          <w:i/>
          <w:sz w:val="24"/>
        </w:rPr>
        <w:t>Exploratory Data Analysis</w:t>
      </w:r>
      <w:r>
        <w:rPr>
          <w:rFonts w:ascii="Times New Roman" w:hAnsi="Times New Roman"/>
          <w:sz w:val="24"/>
        </w:rPr>
        <w:t>. Reading, MA: Addison-Wesley.</w:t>
      </w:r>
    </w:p>
    <w:p>
      <w:r>
        <w:rPr>
          <w:rFonts w:ascii="Times New Roman" w:hAnsi="Times New Roman"/>
          <w:sz w:val="24"/>
        </w:rPr>
        <w:t xml:space="preserve">US Department of Labor (no date) </w:t>
      </w:r>
      <w:r>
        <w:rPr>
          <w:rFonts w:ascii="Times New Roman" w:hAnsi="Times New Roman"/>
          <w:i/>
          <w:sz w:val="24"/>
        </w:rPr>
        <w:t>Copyright information</w:t>
      </w:r>
      <w:r>
        <w:rPr>
          <w:rFonts w:ascii="Times New Roman" w:hAnsi="Times New Roman"/>
          <w:sz w:val="24"/>
        </w:rPr>
        <w:t>. Available at: https://www.dol.gov/general/aboutdol/copyright (Accessed: 14 October 2026).</w:t>
      </w:r>
    </w:p>
    <w:p>
      <w:r>
        <w:rPr>
          <w:rFonts w:ascii="Times New Roman" w:hAnsi="Times New Roman"/>
          <w:sz w:val="24"/>
        </w:rPr>
        <w:t xml:space="preserve">US Department of Labor, Mine Safety and Health Administration (2026a) </w:t>
      </w:r>
      <w:r>
        <w:rPr>
          <w:rFonts w:ascii="Times New Roman" w:hAnsi="Times New Roman"/>
          <w:i/>
          <w:sz w:val="24"/>
        </w:rPr>
        <w:t>Accident Injuries Data Set</w:t>
      </w:r>
      <w:r>
        <w:rPr>
          <w:rFonts w:ascii="Times New Roman" w:hAnsi="Times New Roman"/>
          <w:sz w:val="24"/>
        </w:rPr>
        <w:t xml:space="preserve"> [Dataset]. Available at: https://arlweb.msha.gov/OpenGovernmentData/OGIMSHA.asp (Accessed: 14 October 2026). Public domain (US Government work).</w:t>
      </w:r>
    </w:p>
    <w:p>
      <w:r>
        <w:rPr>
          <w:rFonts w:ascii="Times New Roman" w:hAnsi="Times New Roman"/>
          <w:sz w:val="24"/>
        </w:rPr>
        <w:t xml:space="preserve">US Department of Labor, Mine Safety and Health Administration (2026b) </w:t>
      </w:r>
      <w:r>
        <w:rPr>
          <w:rFonts w:ascii="Times New Roman" w:hAnsi="Times New Roman"/>
          <w:i/>
          <w:sz w:val="24"/>
        </w:rPr>
        <w:t>Mines Data Set and Mines Production Yearly Data Set</w:t>
      </w:r>
      <w:r>
        <w:rPr>
          <w:rFonts w:ascii="Times New Roman" w:hAnsi="Times New Roman"/>
          <w:sz w:val="24"/>
        </w:rPr>
        <w:t xml:space="preserve"> [Datasets]. Available at: https://arlweb.msha.gov/OpenGovernmentData/OGIMSHA.asp (Accessed: 14 October 2026). Public domain (US Government work).</w:t>
      </w:r>
    </w:p>
    <w:p>
      <w:r>
        <w:rPr>
          <w:rFonts w:ascii="Times New Roman" w:hAnsi="Times New Roman"/>
          <w:sz w:val="24"/>
        </w:rPr>
        <w:t xml:space="preserve">van Buuren, S. (2018) </w:t>
      </w:r>
      <w:r>
        <w:rPr>
          <w:rFonts w:ascii="Times New Roman" w:hAnsi="Times New Roman"/>
          <w:i/>
          <w:sz w:val="24"/>
        </w:rPr>
        <w:t>Flexible Imputation of Missing Data</w:t>
      </w:r>
      <w:r>
        <w:rPr>
          <w:rFonts w:ascii="Times New Roman" w:hAnsi="Times New Roman"/>
          <w:sz w:val="24"/>
        </w:rPr>
        <w:t>. 2nd edn. Boca Raton, FL: CRC Press.</w:t>
      </w:r>
    </w:p>
    <w:p>
      <w:r>
        <w:rPr>
          <w:rFonts w:ascii="Times New Roman" w:hAnsi="Times New Roman"/>
          <w:sz w:val="24"/>
        </w:rPr>
        <w:t xml:space="preserve">Waskom, M.L. (2021) 'seaborn: statistical data visualization', </w:t>
      </w:r>
      <w:r>
        <w:rPr>
          <w:rFonts w:ascii="Times New Roman" w:hAnsi="Times New Roman"/>
          <w:i/>
          <w:sz w:val="24"/>
        </w:rPr>
        <w:t>Journal of Open Source Software</w:t>
      </w:r>
      <w:r>
        <w:rPr>
          <w:rFonts w:ascii="Times New Roman" w:hAnsi="Times New Roman"/>
          <w:sz w:val="24"/>
        </w:rPr>
        <w:t>, 6(60), 3021. doi:10.21105/joss.03021.</w:t>
      </w:r>
    </w:p>
    <w:p>
      <w:r>
        <w:rPr>
          <w:rFonts w:ascii="Times New Roman" w:hAnsi="Times New Roman"/>
          <w:sz w:val="24"/>
        </w:rPr>
        <w:t xml:space="preserve">Wolpert, D.H. (1996) 'The lack of a priori distinctions between learning algorithms', </w:t>
      </w:r>
      <w:r>
        <w:rPr>
          <w:rFonts w:ascii="Times New Roman" w:hAnsi="Times New Roman"/>
          <w:i/>
          <w:sz w:val="24"/>
        </w:rPr>
        <w:t>Neural Computation</w:t>
      </w:r>
      <w:r>
        <w:rPr>
          <w:rFonts w:ascii="Times New Roman" w:hAnsi="Times New Roman"/>
          <w:sz w:val="24"/>
        </w:rPr>
        <w:t>, 8(7), pp. 1341-1390. doi:10.1162/neco.1996.8.7.1341.</w:t>
      </w:r>
    </w:p>
    <w:p>
      <w:r>
        <w:rPr>
          <w:rFonts w:ascii="Times New Roman" w:hAnsi="Times New Roman"/>
          <w:sz w:val="24"/>
        </w:rPr>
        <w:t xml:space="preserve">Yedla, A., Kakhki, F.D. and Jannesari, A. (2020) 'Predictive modeling for occupational safety outcomes and days away from work analysis in mining operations', </w:t>
      </w:r>
      <w:r>
        <w:rPr>
          <w:rFonts w:ascii="Times New Roman" w:hAnsi="Times New Roman"/>
          <w:i/>
          <w:sz w:val="24"/>
        </w:rPr>
        <w:t>International Journal of Environmental Research and Public Health</w:t>
      </w:r>
      <w:r>
        <w:rPr>
          <w:rFonts w:ascii="Times New Roman" w:hAnsi="Times New Roman"/>
          <w:sz w:val="24"/>
        </w:rPr>
        <w:t>, 17(19), 7054. doi:10.3390/ijerph17197054.</w:t>
      </w:r>
    </w:p>
    <w:p>
      <w:r>
        <w:br w:type="page"/>
      </w:r>
    </w:p>
    <w:p>
      <w:pPr>
        <w:pStyle w:val="Heading1"/>
      </w:pPr>
      <w:r>
        <w:rPr>
          <w:rFonts w:ascii="Times New Roman" w:hAnsi="Times New Roman"/>
          <w:b/>
          <w:color w:val="000000"/>
          <w:sz w:val="32"/>
        </w:rPr>
        <w:t>Appendix A Additional descriptive statistics</w:t>
      </w:r>
    </w:p>
    <w:p>
      <w:r>
        <w:rPr>
          <w:rFonts w:ascii="Times New Roman" w:hAnsi="Times New Roman"/>
          <w:sz w:val="24"/>
        </w:rPr>
        <w:t>Table 22 gives the statistics of Table 6 for the eight numeric features that Section 2.3 leaves out of the main table, so that all 20 numeric features are described.</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Sample statistics of the remaining eight of the 20 numeric features on the 81,289 training rows, with the same definitions as the main descriptive table of Section 2.3; the trimmed mean cuts 10% from each tail, variance and SD (sample standard deviation) use the n - 1 denominator, and skewness is read against the bands below 0.5 symmetric, 0.5 to 1 moderate and above 1 high. Source: author's analysis of MSHA open data.</w:t>
      </w:r>
    </w:p>
    <w:tbl>
      <w:tblPr>
        <w:tblStyle w:val="TableGrid"/>
        <w:tblW w:type="auto" w:w="0"/>
        <w:jc w:val="center"/>
        <w:tblLook w:firstColumn="1" w:firstRow="1" w:lastColumn="0" w:lastRow="0" w:noHBand="0" w:noVBand="1" w:val="04A0"/>
      </w:tblPr>
      <w:tblGrid>
        <w:gridCol w:w="694"/>
        <w:gridCol w:w="694"/>
        <w:gridCol w:w="694"/>
        <w:gridCol w:w="694"/>
        <w:gridCol w:w="694"/>
        <w:gridCol w:w="694"/>
        <w:gridCol w:w="694"/>
        <w:gridCol w:w="694"/>
        <w:gridCol w:w="694"/>
        <w:gridCol w:w="694"/>
        <w:gridCol w:w="694"/>
        <w:gridCol w:w="694"/>
        <w:gridCol w:w="694"/>
      </w:tblGrid>
      <w:tr>
        <w:tc>
          <w:tcPr>
            <w:tcW w:type="dxa" w:w="694"/>
            <w:shd w:val="clear" w:color="auto" w:fill="E7E6E6"/>
          </w:tcPr>
          <w:p>
            <w:pPr>
              <w:jc w:val="left"/>
            </w:pPr>
            <w:r>
              <w:rPr>
                <w:b/>
              </w:rPr>
            </w:r>
            <w:r>
              <w:rPr>
                <w:rFonts w:ascii="Times New Roman" w:hAnsi="Times New Roman"/>
                <w:b/>
                <w:sz w:val="22"/>
              </w:rPr>
              <w:t>Feature (unit)</w:t>
            </w:r>
          </w:p>
        </w:tc>
        <w:tc>
          <w:tcPr>
            <w:tcW w:type="dxa" w:w="694"/>
            <w:shd w:val="clear" w:color="auto" w:fill="E7E6E6"/>
          </w:tcPr>
          <w:p>
            <w:pPr>
              <w:jc w:val="left"/>
            </w:pPr>
            <w:r>
              <w:rPr>
                <w:b/>
              </w:rPr>
            </w:r>
            <w:r>
              <w:rPr>
                <w:rFonts w:ascii="Times New Roman" w:hAnsi="Times New Roman"/>
                <w:b/>
                <w:sz w:val="22"/>
              </w:rPr>
              <w:t>Missing %</w:t>
            </w:r>
          </w:p>
        </w:tc>
        <w:tc>
          <w:tcPr>
            <w:tcW w:type="dxa" w:w="694"/>
            <w:shd w:val="clear" w:color="auto" w:fill="E7E6E6"/>
          </w:tcPr>
          <w:p>
            <w:pPr>
              <w:jc w:val="left"/>
            </w:pPr>
            <w:r>
              <w:rPr>
                <w:b/>
              </w:rPr>
            </w:r>
            <w:r>
              <w:rPr>
                <w:rFonts w:ascii="Times New Roman" w:hAnsi="Times New Roman"/>
                <w:b/>
                <w:sz w:val="22"/>
              </w:rPr>
              <w:t>Mean</w:t>
            </w:r>
          </w:p>
        </w:tc>
        <w:tc>
          <w:tcPr>
            <w:tcW w:type="dxa" w:w="694"/>
            <w:shd w:val="clear" w:color="auto" w:fill="E7E6E6"/>
          </w:tcPr>
          <w:p>
            <w:pPr>
              <w:jc w:val="left"/>
            </w:pPr>
            <w:r>
              <w:rPr>
                <w:b/>
              </w:rPr>
            </w:r>
            <w:r>
              <w:rPr>
                <w:rFonts w:ascii="Times New Roman" w:hAnsi="Times New Roman"/>
                <w:b/>
                <w:sz w:val="22"/>
              </w:rPr>
              <w:t>Median</w:t>
            </w:r>
          </w:p>
        </w:tc>
        <w:tc>
          <w:tcPr>
            <w:tcW w:type="dxa" w:w="694"/>
            <w:shd w:val="clear" w:color="auto" w:fill="E7E6E6"/>
          </w:tcPr>
          <w:p>
            <w:pPr>
              <w:jc w:val="left"/>
            </w:pPr>
            <w:r>
              <w:rPr>
                <w:b/>
              </w:rPr>
            </w:r>
            <w:r>
              <w:rPr>
                <w:rFonts w:ascii="Times New Roman" w:hAnsi="Times New Roman"/>
                <w:b/>
                <w:sz w:val="22"/>
              </w:rPr>
              <w:t>Trimmed mean</w:t>
            </w:r>
          </w:p>
        </w:tc>
        <w:tc>
          <w:tcPr>
            <w:tcW w:type="dxa" w:w="694"/>
            <w:shd w:val="clear" w:color="auto" w:fill="E7E6E6"/>
          </w:tcPr>
          <w:p>
            <w:pPr>
              <w:jc w:val="left"/>
            </w:pPr>
            <w:r>
              <w:rPr>
                <w:b/>
              </w:rPr>
            </w:r>
            <w:r>
              <w:rPr>
                <w:rFonts w:ascii="Times New Roman" w:hAnsi="Times New Roman"/>
                <w:b/>
                <w:sz w:val="22"/>
              </w:rPr>
              <w:t>Variance</w:t>
            </w:r>
          </w:p>
        </w:tc>
        <w:tc>
          <w:tcPr>
            <w:tcW w:type="dxa" w:w="694"/>
            <w:shd w:val="clear" w:color="auto" w:fill="E7E6E6"/>
          </w:tcPr>
          <w:p>
            <w:pPr>
              <w:jc w:val="left"/>
            </w:pPr>
            <w:r>
              <w:rPr>
                <w:b/>
              </w:rPr>
            </w:r>
            <w:r>
              <w:rPr>
                <w:rFonts w:ascii="Times New Roman" w:hAnsi="Times New Roman"/>
                <w:b/>
                <w:sz w:val="22"/>
              </w:rPr>
              <w:t>SD</w:t>
            </w:r>
          </w:p>
        </w:tc>
        <w:tc>
          <w:tcPr>
            <w:tcW w:type="dxa" w:w="694"/>
            <w:shd w:val="clear" w:color="auto" w:fill="E7E6E6"/>
          </w:tcPr>
          <w:p>
            <w:pPr>
              <w:jc w:val="left"/>
            </w:pPr>
            <w:r>
              <w:rPr>
                <w:b/>
              </w:rPr>
            </w:r>
            <w:r>
              <w:rPr>
                <w:rFonts w:ascii="Times New Roman" w:hAnsi="Times New Roman"/>
                <w:b/>
                <w:sz w:val="22"/>
              </w:rPr>
              <w:t>Min</w:t>
            </w:r>
          </w:p>
        </w:tc>
        <w:tc>
          <w:tcPr>
            <w:tcW w:type="dxa" w:w="694"/>
            <w:shd w:val="clear" w:color="auto" w:fill="E7E6E6"/>
          </w:tcPr>
          <w:p>
            <w:pPr>
              <w:jc w:val="left"/>
            </w:pPr>
            <w:r>
              <w:rPr>
                <w:b/>
              </w:rPr>
            </w:r>
            <w:r>
              <w:rPr>
                <w:rFonts w:ascii="Times New Roman" w:hAnsi="Times New Roman"/>
                <w:b/>
                <w:sz w:val="22"/>
              </w:rPr>
              <w:t>Q1</w:t>
            </w:r>
          </w:p>
        </w:tc>
        <w:tc>
          <w:tcPr>
            <w:tcW w:type="dxa" w:w="694"/>
            <w:shd w:val="clear" w:color="auto" w:fill="E7E6E6"/>
          </w:tcPr>
          <w:p>
            <w:pPr>
              <w:jc w:val="left"/>
            </w:pPr>
            <w:r>
              <w:rPr>
                <w:b/>
              </w:rPr>
            </w:r>
            <w:r>
              <w:rPr>
                <w:rFonts w:ascii="Times New Roman" w:hAnsi="Times New Roman"/>
                <w:b/>
                <w:sz w:val="22"/>
              </w:rPr>
              <w:t>Q3</w:t>
            </w:r>
          </w:p>
        </w:tc>
        <w:tc>
          <w:tcPr>
            <w:tcW w:type="dxa" w:w="694"/>
            <w:shd w:val="clear" w:color="auto" w:fill="E7E6E6"/>
          </w:tcPr>
          <w:p>
            <w:pPr>
              <w:jc w:val="left"/>
            </w:pPr>
            <w:r>
              <w:rPr>
                <w:b/>
              </w:rPr>
            </w:r>
            <w:r>
              <w:rPr>
                <w:rFonts w:ascii="Times New Roman" w:hAnsi="Times New Roman"/>
                <w:b/>
                <w:sz w:val="22"/>
              </w:rPr>
              <w:t>Max</w:t>
            </w:r>
          </w:p>
        </w:tc>
        <w:tc>
          <w:tcPr>
            <w:tcW w:type="dxa" w:w="694"/>
            <w:shd w:val="clear" w:color="auto" w:fill="E7E6E6"/>
          </w:tcPr>
          <w:p>
            <w:pPr>
              <w:jc w:val="left"/>
            </w:pPr>
            <w:r>
              <w:rPr>
                <w:b/>
              </w:rPr>
            </w:r>
            <w:r>
              <w:rPr>
                <w:rFonts w:ascii="Times New Roman" w:hAnsi="Times New Roman"/>
                <w:b/>
                <w:sz w:val="22"/>
              </w:rPr>
              <w:t>IQR</w:t>
            </w:r>
          </w:p>
        </w:tc>
        <w:tc>
          <w:tcPr>
            <w:tcW w:type="dxa" w:w="694"/>
            <w:shd w:val="clear" w:color="auto" w:fill="E7E6E6"/>
          </w:tcPr>
          <w:p>
            <w:pPr>
              <w:jc w:val="left"/>
            </w:pPr>
            <w:r>
              <w:rPr>
                <w:b/>
              </w:rPr>
            </w:r>
            <w:r>
              <w:rPr>
                <w:rFonts w:ascii="Times New Roman" w:hAnsi="Times New Roman"/>
                <w:b/>
                <w:sz w:val="22"/>
              </w:rPr>
              <w:t>Skewness</w:t>
            </w:r>
          </w:p>
        </w:tc>
      </w:tr>
      <w:tr>
        <w:tc>
          <w:tcPr>
            <w:tcW w:type="dxa" w:w="694"/>
          </w:tcPr>
          <w:p>
            <w:pPr>
              <w:spacing w:after="0"/>
              <w:jc w:val="left"/>
            </w:pPr>
            <w:r/>
            <w:r>
              <w:rPr>
                <w:rFonts w:ascii="Times New Roman" w:hAnsi="Times New Roman"/>
                <w:sz w:val="22"/>
              </w:rPr>
              <w:t>exper_ratio_job (ratio)</w:t>
            </w:r>
          </w:p>
        </w:tc>
        <w:tc>
          <w:tcPr>
            <w:tcW w:type="dxa" w:w="694"/>
          </w:tcPr>
          <w:p>
            <w:pPr>
              <w:spacing w:after="0"/>
              <w:jc w:val="left"/>
            </w:pPr>
            <w:r/>
            <w:r>
              <w:rPr>
                <w:rFonts w:ascii="Times New Roman" w:hAnsi="Times New Roman"/>
                <w:sz w:val="22"/>
              </w:rPr>
              <w:t>5.2</w:t>
            </w:r>
          </w:p>
        </w:tc>
        <w:tc>
          <w:tcPr>
            <w:tcW w:type="dxa" w:w="694"/>
          </w:tcPr>
          <w:p>
            <w:pPr>
              <w:spacing w:after="0"/>
              <w:jc w:val="left"/>
            </w:pPr>
            <w:r/>
            <w:r>
              <w:rPr>
                <w:rFonts w:ascii="Times New Roman" w:hAnsi="Times New Roman"/>
                <w:sz w:val="22"/>
              </w:rPr>
              <w:t>0.71</w:t>
            </w:r>
          </w:p>
        </w:tc>
        <w:tc>
          <w:tcPr>
            <w:tcW w:type="dxa" w:w="694"/>
          </w:tcPr>
          <w:p>
            <w:pPr>
              <w:spacing w:after="0"/>
              <w:jc w:val="left"/>
            </w:pPr>
            <w:r/>
            <w:r>
              <w:rPr>
                <w:rFonts w:ascii="Times New Roman" w:hAnsi="Times New Roman"/>
                <w:sz w:val="22"/>
              </w:rPr>
              <w:t>0.97</w:t>
            </w:r>
          </w:p>
        </w:tc>
        <w:tc>
          <w:tcPr>
            <w:tcW w:type="dxa" w:w="694"/>
          </w:tcPr>
          <w:p>
            <w:pPr>
              <w:spacing w:after="0"/>
              <w:jc w:val="left"/>
            </w:pPr>
            <w:r/>
            <w:r>
              <w:rPr>
                <w:rFonts w:ascii="Times New Roman" w:hAnsi="Times New Roman"/>
                <w:sz w:val="22"/>
              </w:rPr>
              <w:t>0.75</w:t>
            </w:r>
          </w:p>
        </w:tc>
        <w:tc>
          <w:tcPr>
            <w:tcW w:type="dxa" w:w="694"/>
          </w:tcPr>
          <w:p>
            <w:pPr>
              <w:spacing w:after="0"/>
              <w:jc w:val="left"/>
            </w:pPr>
            <w:r/>
            <w:r>
              <w:rPr>
                <w:rFonts w:ascii="Times New Roman" w:hAnsi="Times New Roman"/>
                <w:sz w:val="22"/>
              </w:rPr>
              <w:t>0.13</w:t>
            </w:r>
          </w:p>
        </w:tc>
        <w:tc>
          <w:tcPr>
            <w:tcW w:type="dxa" w:w="694"/>
          </w:tcPr>
          <w:p>
            <w:pPr>
              <w:spacing w:after="0"/>
              <w:jc w:val="left"/>
            </w:pPr>
            <w:r/>
            <w:r>
              <w:rPr>
                <w:rFonts w:ascii="Times New Roman" w:hAnsi="Times New Roman"/>
                <w:sz w:val="22"/>
              </w:rPr>
              <w:t>0.36</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0.38</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0.62</w:t>
            </w:r>
          </w:p>
        </w:tc>
        <w:tc>
          <w:tcPr>
            <w:tcW w:type="dxa" w:w="694"/>
          </w:tcPr>
          <w:p>
            <w:pPr>
              <w:spacing w:after="0"/>
              <w:jc w:val="left"/>
            </w:pPr>
            <w:r/>
            <w:r>
              <w:rPr>
                <w:rFonts w:ascii="Times New Roman" w:hAnsi="Times New Roman"/>
                <w:sz w:val="22"/>
              </w:rPr>
              <w:t>-0.72</w:t>
            </w:r>
          </w:p>
        </w:tc>
      </w:tr>
      <w:tr>
        <w:tc>
          <w:tcPr>
            <w:tcW w:type="dxa" w:w="694"/>
          </w:tcPr>
          <w:p>
            <w:pPr>
              <w:spacing w:after="0"/>
              <w:jc w:val="left"/>
            </w:pPr>
            <w:r/>
            <w:r>
              <w:rPr>
                <w:rFonts w:ascii="Times New Roman" w:hAnsi="Times New Roman"/>
                <w:sz w:val="22"/>
              </w:rPr>
              <w:t>no_injuries_capped (persons)</w:t>
            </w:r>
          </w:p>
        </w:tc>
        <w:tc>
          <w:tcPr>
            <w:tcW w:type="dxa" w:w="694"/>
          </w:tcPr>
          <w:p>
            <w:pPr>
              <w:spacing w:after="0"/>
              <w:jc w:val="left"/>
            </w:pPr>
            <w:r/>
            <w:r>
              <w:rPr>
                <w:rFonts w:ascii="Times New Roman" w:hAnsi="Times New Roman"/>
                <w:sz w:val="22"/>
              </w:rPr>
              <w:t>0.0</w:t>
            </w:r>
          </w:p>
        </w:tc>
        <w:tc>
          <w:tcPr>
            <w:tcW w:type="dxa" w:w="694"/>
          </w:tcPr>
          <w:p>
            <w:pPr>
              <w:spacing w:after="0"/>
              <w:jc w:val="left"/>
            </w:pPr>
            <w:r/>
            <w:r>
              <w:rPr>
                <w:rFonts w:ascii="Times New Roman" w:hAnsi="Times New Roman"/>
                <w:sz w:val="22"/>
              </w:rPr>
              <w:t>1.02</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0.05</w:t>
            </w:r>
          </w:p>
        </w:tc>
        <w:tc>
          <w:tcPr>
            <w:tcW w:type="dxa" w:w="694"/>
          </w:tcPr>
          <w:p>
            <w:pPr>
              <w:spacing w:after="0"/>
              <w:jc w:val="left"/>
            </w:pPr>
            <w:r/>
            <w:r>
              <w:rPr>
                <w:rFonts w:ascii="Times New Roman" w:hAnsi="Times New Roman"/>
                <w:sz w:val="22"/>
              </w:rPr>
              <w:t>0.23</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9</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21.94</w:t>
            </w:r>
          </w:p>
        </w:tc>
      </w:tr>
      <w:tr>
        <w:tc>
          <w:tcPr>
            <w:tcW w:type="dxa" w:w="694"/>
          </w:tcPr>
          <w:p>
            <w:pPr>
              <w:spacing w:after="0"/>
              <w:jc w:val="left"/>
            </w:pPr>
            <w:r/>
            <w:r>
              <w:rPr>
                <w:rFonts w:ascii="Times New Roman" w:hAnsi="Times New Roman"/>
                <w:sz w:val="22"/>
              </w:rPr>
              <w:t>accident_hour (hour, 0-23)</w:t>
            </w:r>
          </w:p>
        </w:tc>
        <w:tc>
          <w:tcPr>
            <w:tcW w:type="dxa" w:w="694"/>
          </w:tcPr>
          <w:p>
            <w:pPr>
              <w:spacing w:after="0"/>
              <w:jc w:val="left"/>
            </w:pPr>
            <w:r/>
            <w:r>
              <w:rPr>
                <w:rFonts w:ascii="Times New Roman" w:hAnsi="Times New Roman"/>
                <w:sz w:val="22"/>
              </w:rPr>
              <w:t>3.0</w:t>
            </w:r>
          </w:p>
        </w:tc>
        <w:tc>
          <w:tcPr>
            <w:tcW w:type="dxa" w:w="694"/>
          </w:tcPr>
          <w:p>
            <w:pPr>
              <w:spacing w:after="0"/>
              <w:jc w:val="left"/>
            </w:pPr>
            <w:r/>
            <w:r>
              <w:rPr>
                <w:rFonts w:ascii="Times New Roman" w:hAnsi="Times New Roman"/>
                <w:sz w:val="22"/>
              </w:rPr>
              <w:t>11.7</w:t>
            </w:r>
          </w:p>
        </w:tc>
        <w:tc>
          <w:tcPr>
            <w:tcW w:type="dxa" w:w="694"/>
          </w:tcPr>
          <w:p>
            <w:pPr>
              <w:spacing w:after="0"/>
              <w:jc w:val="left"/>
            </w:pPr>
            <w:r/>
            <w:r>
              <w:rPr>
                <w:rFonts w:ascii="Times New Roman" w:hAnsi="Times New Roman"/>
                <w:sz w:val="22"/>
              </w:rPr>
              <w:t>11.0</w:t>
            </w:r>
          </w:p>
        </w:tc>
        <w:tc>
          <w:tcPr>
            <w:tcW w:type="dxa" w:w="694"/>
          </w:tcPr>
          <w:p>
            <w:pPr>
              <w:spacing w:after="0"/>
              <w:jc w:val="left"/>
            </w:pPr>
            <w:r/>
            <w:r>
              <w:rPr>
                <w:rFonts w:ascii="Times New Roman" w:hAnsi="Times New Roman"/>
                <w:sz w:val="22"/>
              </w:rPr>
              <w:t>11.6</w:t>
            </w:r>
          </w:p>
        </w:tc>
        <w:tc>
          <w:tcPr>
            <w:tcW w:type="dxa" w:w="694"/>
          </w:tcPr>
          <w:p>
            <w:pPr>
              <w:spacing w:after="0"/>
              <w:jc w:val="left"/>
            </w:pPr>
            <w:r/>
            <w:r>
              <w:rPr>
                <w:rFonts w:ascii="Times New Roman" w:hAnsi="Times New Roman"/>
                <w:sz w:val="22"/>
              </w:rPr>
              <w:t>30.7</w:t>
            </w:r>
          </w:p>
        </w:tc>
        <w:tc>
          <w:tcPr>
            <w:tcW w:type="dxa" w:w="694"/>
          </w:tcPr>
          <w:p>
            <w:pPr>
              <w:spacing w:after="0"/>
              <w:jc w:val="left"/>
            </w:pPr>
            <w:r/>
            <w:r>
              <w:rPr>
                <w:rFonts w:ascii="Times New Roman" w:hAnsi="Times New Roman"/>
                <w:sz w:val="22"/>
              </w:rPr>
              <w:t>5.5</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8</w:t>
            </w:r>
          </w:p>
        </w:tc>
        <w:tc>
          <w:tcPr>
            <w:tcW w:type="dxa" w:w="694"/>
          </w:tcPr>
          <w:p>
            <w:pPr>
              <w:spacing w:after="0"/>
              <w:jc w:val="left"/>
            </w:pPr>
            <w:r/>
            <w:r>
              <w:rPr>
                <w:rFonts w:ascii="Times New Roman" w:hAnsi="Times New Roman"/>
                <w:sz w:val="22"/>
              </w:rPr>
              <w:t>15</w:t>
            </w:r>
          </w:p>
        </w:tc>
        <w:tc>
          <w:tcPr>
            <w:tcW w:type="dxa" w:w="694"/>
          </w:tcPr>
          <w:p>
            <w:pPr>
              <w:spacing w:after="0"/>
              <w:jc w:val="left"/>
            </w:pPr>
            <w:r/>
            <w:r>
              <w:rPr>
                <w:rFonts w:ascii="Times New Roman" w:hAnsi="Times New Roman"/>
                <w:sz w:val="22"/>
              </w:rPr>
              <w:t>23</w:t>
            </w:r>
          </w:p>
        </w:tc>
        <w:tc>
          <w:tcPr>
            <w:tcW w:type="dxa" w:w="694"/>
          </w:tcPr>
          <w:p>
            <w:pPr>
              <w:spacing w:after="0"/>
              <w:jc w:val="left"/>
            </w:pPr>
            <w:r/>
            <w:r>
              <w:rPr>
                <w:rFonts w:ascii="Times New Roman" w:hAnsi="Times New Roman"/>
                <w:sz w:val="22"/>
              </w:rPr>
              <w:t>7</w:t>
            </w:r>
          </w:p>
        </w:tc>
        <w:tc>
          <w:tcPr>
            <w:tcW w:type="dxa" w:w="694"/>
          </w:tcPr>
          <w:p>
            <w:pPr>
              <w:spacing w:after="0"/>
              <w:jc w:val="left"/>
            </w:pPr>
            <w:r/>
            <w:r>
              <w:rPr>
                <w:rFonts w:ascii="Times New Roman" w:hAnsi="Times New Roman"/>
                <w:sz w:val="22"/>
              </w:rPr>
              <w:t>0.06</w:t>
            </w:r>
          </w:p>
        </w:tc>
      </w:tr>
      <w:tr>
        <w:tc>
          <w:tcPr>
            <w:tcW w:type="dxa" w:w="694"/>
          </w:tcPr>
          <w:p>
            <w:pPr>
              <w:spacing w:after="0"/>
              <w:jc w:val="left"/>
            </w:pPr>
            <w:r/>
            <w:r>
              <w:rPr>
                <w:rFonts w:ascii="Times New Roman" w:hAnsi="Times New Roman"/>
                <w:sz w:val="22"/>
              </w:rPr>
              <w:t>shift_begin_hour (hour, 0-23)</w:t>
            </w:r>
          </w:p>
        </w:tc>
        <w:tc>
          <w:tcPr>
            <w:tcW w:type="dxa" w:w="694"/>
          </w:tcPr>
          <w:p>
            <w:pPr>
              <w:spacing w:after="0"/>
              <w:jc w:val="left"/>
            </w:pPr>
            <w:r/>
            <w:r>
              <w:rPr>
                <w:rFonts w:ascii="Times New Roman" w:hAnsi="Times New Roman"/>
                <w:sz w:val="22"/>
              </w:rPr>
              <w:t>0.5</w:t>
            </w:r>
          </w:p>
        </w:tc>
        <w:tc>
          <w:tcPr>
            <w:tcW w:type="dxa" w:w="694"/>
          </w:tcPr>
          <w:p>
            <w:pPr>
              <w:spacing w:after="0"/>
              <w:jc w:val="left"/>
            </w:pPr>
            <w:r/>
            <w:r>
              <w:rPr>
                <w:rFonts w:ascii="Times New Roman" w:hAnsi="Times New Roman"/>
                <w:sz w:val="22"/>
              </w:rPr>
              <w:t>9.7</w:t>
            </w:r>
          </w:p>
        </w:tc>
        <w:tc>
          <w:tcPr>
            <w:tcW w:type="dxa" w:w="694"/>
          </w:tcPr>
          <w:p>
            <w:pPr>
              <w:spacing w:after="0"/>
              <w:jc w:val="left"/>
            </w:pPr>
            <w:r/>
            <w:r>
              <w:rPr>
                <w:rFonts w:ascii="Times New Roman" w:hAnsi="Times New Roman"/>
                <w:sz w:val="22"/>
              </w:rPr>
              <w:t>7.0</w:t>
            </w:r>
          </w:p>
        </w:tc>
        <w:tc>
          <w:tcPr>
            <w:tcW w:type="dxa" w:w="694"/>
          </w:tcPr>
          <w:p>
            <w:pPr>
              <w:spacing w:after="0"/>
              <w:jc w:val="left"/>
            </w:pPr>
            <w:r/>
            <w:r>
              <w:rPr>
                <w:rFonts w:ascii="Times New Roman" w:hAnsi="Times New Roman"/>
                <w:sz w:val="22"/>
              </w:rPr>
              <w:t>9.0</w:t>
            </w:r>
          </w:p>
        </w:tc>
        <w:tc>
          <w:tcPr>
            <w:tcW w:type="dxa" w:w="694"/>
          </w:tcPr>
          <w:p>
            <w:pPr>
              <w:spacing w:after="0"/>
              <w:jc w:val="left"/>
            </w:pPr>
            <w:r/>
            <w:r>
              <w:rPr>
                <w:rFonts w:ascii="Times New Roman" w:hAnsi="Times New Roman"/>
                <w:sz w:val="22"/>
              </w:rPr>
              <w:t>32.5</w:t>
            </w:r>
          </w:p>
        </w:tc>
        <w:tc>
          <w:tcPr>
            <w:tcW w:type="dxa" w:w="694"/>
          </w:tcPr>
          <w:p>
            <w:pPr>
              <w:spacing w:after="0"/>
              <w:jc w:val="left"/>
            </w:pPr>
            <w:r/>
            <w:r>
              <w:rPr>
                <w:rFonts w:ascii="Times New Roman" w:hAnsi="Times New Roman"/>
                <w:sz w:val="22"/>
              </w:rPr>
              <w:t>5.7</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6</w:t>
            </w:r>
          </w:p>
        </w:tc>
        <w:tc>
          <w:tcPr>
            <w:tcW w:type="dxa" w:w="694"/>
          </w:tcPr>
          <w:p>
            <w:pPr>
              <w:spacing w:after="0"/>
              <w:jc w:val="left"/>
            </w:pPr>
            <w:r/>
            <w:r>
              <w:rPr>
                <w:rFonts w:ascii="Times New Roman" w:hAnsi="Times New Roman"/>
                <w:sz w:val="22"/>
              </w:rPr>
              <w:t>15</w:t>
            </w:r>
          </w:p>
        </w:tc>
        <w:tc>
          <w:tcPr>
            <w:tcW w:type="dxa" w:w="694"/>
          </w:tcPr>
          <w:p>
            <w:pPr>
              <w:spacing w:after="0"/>
              <w:jc w:val="left"/>
            </w:pPr>
            <w:r/>
            <w:r>
              <w:rPr>
                <w:rFonts w:ascii="Times New Roman" w:hAnsi="Times New Roman"/>
                <w:sz w:val="22"/>
              </w:rPr>
              <w:t>23</w:t>
            </w:r>
          </w:p>
        </w:tc>
        <w:tc>
          <w:tcPr>
            <w:tcW w:type="dxa" w:w="694"/>
          </w:tcPr>
          <w:p>
            <w:pPr>
              <w:spacing w:after="0"/>
              <w:jc w:val="left"/>
            </w:pPr>
            <w:r/>
            <w:r>
              <w:rPr>
                <w:rFonts w:ascii="Times New Roman" w:hAnsi="Times New Roman"/>
                <w:sz w:val="22"/>
              </w:rPr>
              <w:t>9</w:t>
            </w:r>
          </w:p>
        </w:tc>
        <w:tc>
          <w:tcPr>
            <w:tcW w:type="dxa" w:w="694"/>
          </w:tcPr>
          <w:p>
            <w:pPr>
              <w:spacing w:after="0"/>
              <w:jc w:val="left"/>
            </w:pPr>
            <w:r/>
            <w:r>
              <w:rPr>
                <w:rFonts w:ascii="Times New Roman" w:hAnsi="Times New Roman"/>
                <w:sz w:val="22"/>
              </w:rPr>
              <w:t>0.96</w:t>
            </w:r>
          </w:p>
        </w:tc>
      </w:tr>
      <w:tr>
        <w:tc>
          <w:tcPr>
            <w:tcW w:type="dxa" w:w="694"/>
          </w:tcPr>
          <w:p>
            <w:pPr>
              <w:spacing w:after="0"/>
              <w:jc w:val="left"/>
            </w:pPr>
            <w:r/>
            <w:r>
              <w:rPr>
                <w:rFonts w:ascii="Times New Roman" w:hAnsi="Times New Roman"/>
                <w:sz w:val="22"/>
              </w:rPr>
              <w:t>latitude (degrees)</w:t>
            </w:r>
          </w:p>
        </w:tc>
        <w:tc>
          <w:tcPr>
            <w:tcW w:type="dxa" w:w="694"/>
          </w:tcPr>
          <w:p>
            <w:pPr>
              <w:spacing w:after="0"/>
              <w:jc w:val="left"/>
            </w:pPr>
            <w:r/>
            <w:r>
              <w:rPr>
                <w:rFonts w:ascii="Times New Roman" w:hAnsi="Times New Roman"/>
                <w:sz w:val="22"/>
              </w:rPr>
              <w:t>0.2</w:t>
            </w:r>
          </w:p>
        </w:tc>
        <w:tc>
          <w:tcPr>
            <w:tcW w:type="dxa" w:w="694"/>
          </w:tcPr>
          <w:p>
            <w:pPr>
              <w:spacing w:after="0"/>
              <w:jc w:val="left"/>
            </w:pPr>
            <w:r/>
            <w:r>
              <w:rPr>
                <w:rFonts w:ascii="Times New Roman" w:hAnsi="Times New Roman"/>
                <w:sz w:val="22"/>
              </w:rPr>
              <w:t>38.4</w:t>
            </w:r>
          </w:p>
        </w:tc>
        <w:tc>
          <w:tcPr>
            <w:tcW w:type="dxa" w:w="694"/>
          </w:tcPr>
          <w:p>
            <w:pPr>
              <w:spacing w:after="0"/>
              <w:jc w:val="left"/>
            </w:pPr>
            <w:r/>
            <w:r>
              <w:rPr>
                <w:rFonts w:ascii="Times New Roman" w:hAnsi="Times New Roman"/>
                <w:sz w:val="22"/>
              </w:rPr>
              <w:t>38.2</w:t>
            </w:r>
          </w:p>
        </w:tc>
        <w:tc>
          <w:tcPr>
            <w:tcW w:type="dxa" w:w="694"/>
          </w:tcPr>
          <w:p>
            <w:pPr>
              <w:spacing w:after="0"/>
              <w:jc w:val="left"/>
            </w:pPr>
            <w:r/>
            <w:r>
              <w:rPr>
                <w:rFonts w:ascii="Times New Roman" w:hAnsi="Times New Roman"/>
                <w:sz w:val="22"/>
              </w:rPr>
              <w:t>38.2</w:t>
            </w:r>
          </w:p>
        </w:tc>
        <w:tc>
          <w:tcPr>
            <w:tcW w:type="dxa" w:w="694"/>
          </w:tcPr>
          <w:p>
            <w:pPr>
              <w:spacing w:after="0"/>
              <w:jc w:val="left"/>
            </w:pPr>
            <w:r/>
            <w:r>
              <w:rPr>
                <w:rFonts w:ascii="Times New Roman" w:hAnsi="Times New Roman"/>
                <w:sz w:val="22"/>
              </w:rPr>
              <w:t>26.2</w:t>
            </w:r>
          </w:p>
        </w:tc>
        <w:tc>
          <w:tcPr>
            <w:tcW w:type="dxa" w:w="694"/>
          </w:tcPr>
          <w:p>
            <w:pPr>
              <w:spacing w:after="0"/>
              <w:jc w:val="left"/>
            </w:pPr>
            <w:r/>
            <w:r>
              <w:rPr>
                <w:rFonts w:ascii="Times New Roman" w:hAnsi="Times New Roman"/>
                <w:sz w:val="22"/>
              </w:rPr>
              <w:t>5.1</w:t>
            </w:r>
          </w:p>
        </w:tc>
        <w:tc>
          <w:tcPr>
            <w:tcW w:type="dxa" w:w="694"/>
          </w:tcPr>
          <w:p>
            <w:pPr>
              <w:spacing w:after="0"/>
              <w:jc w:val="left"/>
            </w:pPr>
            <w:r/>
            <w:r>
              <w:rPr>
                <w:rFonts w:ascii="Times New Roman" w:hAnsi="Times New Roman"/>
                <w:sz w:val="22"/>
              </w:rPr>
              <w:t>18.0</w:t>
            </w:r>
          </w:p>
        </w:tc>
        <w:tc>
          <w:tcPr>
            <w:tcW w:type="dxa" w:w="694"/>
          </w:tcPr>
          <w:p>
            <w:pPr>
              <w:spacing w:after="0"/>
              <w:jc w:val="left"/>
            </w:pPr>
            <w:r/>
            <w:r>
              <w:rPr>
                <w:rFonts w:ascii="Times New Roman" w:hAnsi="Times New Roman"/>
                <w:sz w:val="22"/>
              </w:rPr>
              <w:t>35.9</w:t>
            </w:r>
          </w:p>
        </w:tc>
        <w:tc>
          <w:tcPr>
            <w:tcW w:type="dxa" w:w="694"/>
          </w:tcPr>
          <w:p>
            <w:pPr>
              <w:spacing w:after="0"/>
              <w:jc w:val="left"/>
            </w:pPr>
            <w:r/>
            <w:r>
              <w:rPr>
                <w:rFonts w:ascii="Times New Roman" w:hAnsi="Times New Roman"/>
                <w:sz w:val="22"/>
              </w:rPr>
              <w:t>40.5</w:t>
            </w:r>
          </w:p>
        </w:tc>
        <w:tc>
          <w:tcPr>
            <w:tcW w:type="dxa" w:w="694"/>
          </w:tcPr>
          <w:p>
            <w:pPr>
              <w:spacing w:after="0"/>
              <w:jc w:val="left"/>
            </w:pPr>
            <w:r/>
            <w:r>
              <w:rPr>
                <w:rFonts w:ascii="Times New Roman" w:hAnsi="Times New Roman"/>
                <w:sz w:val="22"/>
              </w:rPr>
              <w:t>68.0</w:t>
            </w:r>
          </w:p>
        </w:tc>
        <w:tc>
          <w:tcPr>
            <w:tcW w:type="dxa" w:w="694"/>
          </w:tcPr>
          <w:p>
            <w:pPr>
              <w:spacing w:after="0"/>
              <w:jc w:val="left"/>
            </w:pPr>
            <w:r/>
            <w:r>
              <w:rPr>
                <w:rFonts w:ascii="Times New Roman" w:hAnsi="Times New Roman"/>
                <w:sz w:val="22"/>
              </w:rPr>
              <w:t>4.6</w:t>
            </w:r>
          </w:p>
        </w:tc>
        <w:tc>
          <w:tcPr>
            <w:tcW w:type="dxa" w:w="694"/>
          </w:tcPr>
          <w:p>
            <w:pPr>
              <w:spacing w:after="0"/>
              <w:jc w:val="left"/>
            </w:pPr>
            <w:r/>
            <w:r>
              <w:rPr>
                <w:rFonts w:ascii="Times New Roman" w:hAnsi="Times New Roman"/>
                <w:sz w:val="22"/>
              </w:rPr>
              <w:t>0.96</w:t>
            </w:r>
          </w:p>
        </w:tc>
      </w:tr>
      <w:tr>
        <w:tc>
          <w:tcPr>
            <w:tcW w:type="dxa" w:w="694"/>
          </w:tcPr>
          <w:p>
            <w:pPr>
              <w:spacing w:after="0"/>
              <w:jc w:val="left"/>
            </w:pPr>
            <w:r/>
            <w:r>
              <w:rPr>
                <w:rFonts w:ascii="Times New Roman" w:hAnsi="Times New Roman"/>
                <w:sz w:val="22"/>
              </w:rPr>
              <w:t>log1p_prev_hours (log1p of hours)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12.27</w:t>
            </w:r>
          </w:p>
        </w:tc>
        <w:tc>
          <w:tcPr>
            <w:tcW w:type="dxa" w:w="694"/>
          </w:tcPr>
          <w:p>
            <w:pPr>
              <w:spacing w:after="0"/>
              <w:jc w:val="left"/>
            </w:pPr>
            <w:r/>
            <w:r>
              <w:rPr>
                <w:rFonts w:ascii="Times New Roman" w:hAnsi="Times New Roman"/>
                <w:sz w:val="22"/>
              </w:rPr>
              <w:t>12.42</w:t>
            </w:r>
          </w:p>
        </w:tc>
        <w:tc>
          <w:tcPr>
            <w:tcW w:type="dxa" w:w="694"/>
          </w:tcPr>
          <w:p>
            <w:pPr>
              <w:spacing w:after="0"/>
              <w:jc w:val="left"/>
            </w:pPr>
            <w:r/>
            <w:r>
              <w:rPr>
                <w:rFonts w:ascii="Times New Roman" w:hAnsi="Times New Roman"/>
                <w:sz w:val="22"/>
              </w:rPr>
              <w:t>12.36</w:t>
            </w:r>
          </w:p>
        </w:tc>
        <w:tc>
          <w:tcPr>
            <w:tcW w:type="dxa" w:w="694"/>
          </w:tcPr>
          <w:p>
            <w:pPr>
              <w:spacing w:after="0"/>
              <w:jc w:val="left"/>
            </w:pPr>
            <w:r/>
            <w:r>
              <w:rPr>
                <w:rFonts w:ascii="Times New Roman" w:hAnsi="Times New Roman"/>
                <w:sz w:val="22"/>
              </w:rPr>
              <w:t>2.79</w:t>
            </w:r>
          </w:p>
        </w:tc>
        <w:tc>
          <w:tcPr>
            <w:tcW w:type="dxa" w:w="694"/>
          </w:tcPr>
          <w:p>
            <w:pPr>
              <w:spacing w:after="0"/>
              <w:jc w:val="left"/>
            </w:pPr>
            <w:r/>
            <w:r>
              <w:rPr>
                <w:rFonts w:ascii="Times New Roman" w:hAnsi="Times New Roman"/>
                <w:sz w:val="22"/>
              </w:rPr>
              <w:t>1.67</w:t>
            </w:r>
          </w:p>
        </w:tc>
        <w:tc>
          <w:tcPr>
            <w:tcW w:type="dxa" w:w="694"/>
          </w:tcPr>
          <w:p>
            <w:pPr>
              <w:spacing w:after="0"/>
              <w:jc w:val="left"/>
            </w:pPr>
            <w:r/>
            <w:r>
              <w:rPr>
                <w:rFonts w:ascii="Times New Roman" w:hAnsi="Times New Roman"/>
                <w:sz w:val="22"/>
              </w:rPr>
              <w:t>0.69</w:t>
            </w:r>
          </w:p>
        </w:tc>
        <w:tc>
          <w:tcPr>
            <w:tcW w:type="dxa" w:w="694"/>
          </w:tcPr>
          <w:p>
            <w:pPr>
              <w:spacing w:after="0"/>
              <w:jc w:val="left"/>
            </w:pPr>
            <w:r/>
            <w:r>
              <w:rPr>
                <w:rFonts w:ascii="Times New Roman" w:hAnsi="Times New Roman"/>
                <w:sz w:val="22"/>
              </w:rPr>
              <w:t>11.15</w:t>
            </w:r>
          </w:p>
        </w:tc>
        <w:tc>
          <w:tcPr>
            <w:tcW w:type="dxa" w:w="694"/>
          </w:tcPr>
          <w:p>
            <w:pPr>
              <w:spacing w:after="0"/>
              <w:jc w:val="left"/>
            </w:pPr>
            <w:r/>
            <w:r>
              <w:rPr>
                <w:rFonts w:ascii="Times New Roman" w:hAnsi="Times New Roman"/>
                <w:sz w:val="22"/>
              </w:rPr>
              <w:t>13.63</w:t>
            </w:r>
          </w:p>
        </w:tc>
        <w:tc>
          <w:tcPr>
            <w:tcW w:type="dxa" w:w="694"/>
          </w:tcPr>
          <w:p>
            <w:pPr>
              <w:spacing w:after="0"/>
              <w:jc w:val="left"/>
            </w:pPr>
            <w:r/>
            <w:r>
              <w:rPr>
                <w:rFonts w:ascii="Times New Roman" w:hAnsi="Times New Roman"/>
                <w:sz w:val="22"/>
              </w:rPr>
              <w:t>15.86</w:t>
            </w:r>
          </w:p>
        </w:tc>
        <w:tc>
          <w:tcPr>
            <w:tcW w:type="dxa" w:w="694"/>
          </w:tcPr>
          <w:p>
            <w:pPr>
              <w:spacing w:after="0"/>
              <w:jc w:val="left"/>
            </w:pPr>
            <w:r/>
            <w:r>
              <w:rPr>
                <w:rFonts w:ascii="Times New Roman" w:hAnsi="Times New Roman"/>
                <w:sz w:val="22"/>
              </w:rPr>
              <w:t>2.48</w:t>
            </w:r>
          </w:p>
        </w:tc>
        <w:tc>
          <w:tcPr>
            <w:tcW w:type="dxa" w:w="694"/>
          </w:tcPr>
          <w:p>
            <w:pPr>
              <w:spacing w:after="0"/>
              <w:jc w:val="left"/>
            </w:pPr>
            <w:r/>
            <w:r>
              <w:rPr>
                <w:rFonts w:ascii="Times New Roman" w:hAnsi="Times New Roman"/>
                <w:sz w:val="22"/>
              </w:rPr>
              <w:t>-0.55</w:t>
            </w:r>
          </w:p>
        </w:tc>
      </w:tr>
      <w:tr>
        <w:tc>
          <w:tcPr>
            <w:tcW w:type="dxa" w:w="694"/>
          </w:tcPr>
          <w:p>
            <w:pPr>
              <w:spacing w:after="0"/>
              <w:jc w:val="left"/>
            </w:pPr>
            <w:r/>
            <w:r>
              <w:rPr>
                <w:rFonts w:ascii="Times New Roman" w:hAnsi="Times New Roman"/>
                <w:sz w:val="22"/>
              </w:rPr>
              <w:t>prev_hours_per_employee (hours per person)</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2,140.9</w:t>
            </w:r>
          </w:p>
        </w:tc>
        <w:tc>
          <w:tcPr>
            <w:tcW w:type="dxa" w:w="694"/>
          </w:tcPr>
          <w:p>
            <w:pPr>
              <w:spacing w:after="0"/>
              <w:jc w:val="left"/>
            </w:pPr>
            <w:r/>
            <w:r>
              <w:rPr>
                <w:rFonts w:ascii="Times New Roman" w:hAnsi="Times New Roman"/>
                <w:sz w:val="22"/>
              </w:rPr>
              <w:t>2,171.3</w:t>
            </w:r>
          </w:p>
        </w:tc>
        <w:tc>
          <w:tcPr>
            <w:tcW w:type="dxa" w:w="694"/>
          </w:tcPr>
          <w:p>
            <w:pPr>
              <w:spacing w:after="0"/>
              <w:jc w:val="left"/>
            </w:pPr>
            <w:r/>
            <w:r>
              <w:rPr>
                <w:rFonts w:ascii="Times New Roman" w:hAnsi="Times New Roman"/>
                <w:sz w:val="22"/>
              </w:rPr>
              <w:t>2,171.4</w:t>
            </w:r>
          </w:p>
        </w:tc>
        <w:tc>
          <w:tcPr>
            <w:tcW w:type="dxa" w:w="694"/>
          </w:tcPr>
          <w:p>
            <w:pPr>
              <w:spacing w:after="0"/>
              <w:jc w:val="left"/>
            </w:pPr>
            <w:r/>
            <w:r>
              <w:rPr>
                <w:rFonts w:ascii="Times New Roman" w:hAnsi="Times New Roman"/>
                <w:sz w:val="22"/>
              </w:rPr>
              <w:t>171,488</w:t>
            </w:r>
          </w:p>
        </w:tc>
        <w:tc>
          <w:tcPr>
            <w:tcW w:type="dxa" w:w="694"/>
          </w:tcPr>
          <w:p>
            <w:pPr>
              <w:spacing w:after="0"/>
              <w:jc w:val="left"/>
            </w:pPr>
            <w:r/>
            <w:r>
              <w:rPr>
                <w:rFonts w:ascii="Times New Roman" w:hAnsi="Times New Roman"/>
                <w:sz w:val="22"/>
              </w:rPr>
              <w:t>414.1</w:t>
            </w:r>
          </w:p>
        </w:tc>
        <w:tc>
          <w:tcPr>
            <w:tcW w:type="dxa" w:w="694"/>
          </w:tcPr>
          <w:p>
            <w:pPr>
              <w:spacing w:after="0"/>
              <w:jc w:val="left"/>
            </w:pPr>
            <w:r/>
            <w:r>
              <w:rPr>
                <w:rFonts w:ascii="Times New Roman" w:hAnsi="Times New Roman"/>
                <w:sz w:val="22"/>
              </w:rPr>
              <w:t>1.0</w:t>
            </w:r>
          </w:p>
        </w:tc>
        <w:tc>
          <w:tcPr>
            <w:tcW w:type="dxa" w:w="694"/>
          </w:tcPr>
          <w:p>
            <w:pPr>
              <w:spacing w:after="0"/>
              <w:jc w:val="left"/>
            </w:pPr>
            <w:r/>
            <w:r>
              <w:rPr>
                <w:rFonts w:ascii="Times New Roman" w:hAnsi="Times New Roman"/>
                <w:sz w:val="22"/>
              </w:rPr>
              <w:t>1,986.9</w:t>
            </w:r>
          </w:p>
        </w:tc>
        <w:tc>
          <w:tcPr>
            <w:tcW w:type="dxa" w:w="694"/>
          </w:tcPr>
          <w:p>
            <w:pPr>
              <w:spacing w:after="0"/>
              <w:jc w:val="left"/>
            </w:pPr>
            <w:r/>
            <w:r>
              <w:rPr>
                <w:rFonts w:ascii="Times New Roman" w:hAnsi="Times New Roman"/>
                <w:sz w:val="22"/>
              </w:rPr>
              <w:t>2,364.2</w:t>
            </w:r>
          </w:p>
        </w:tc>
        <w:tc>
          <w:tcPr>
            <w:tcW w:type="dxa" w:w="694"/>
          </w:tcPr>
          <w:p>
            <w:pPr>
              <w:spacing w:after="0"/>
              <w:jc w:val="left"/>
            </w:pPr>
            <w:r/>
            <w:r>
              <w:rPr>
                <w:rFonts w:ascii="Times New Roman" w:hAnsi="Times New Roman"/>
                <w:sz w:val="22"/>
              </w:rPr>
              <w:t>4,786.7</w:t>
            </w:r>
          </w:p>
        </w:tc>
        <w:tc>
          <w:tcPr>
            <w:tcW w:type="dxa" w:w="694"/>
          </w:tcPr>
          <w:p>
            <w:pPr>
              <w:spacing w:after="0"/>
              <w:jc w:val="left"/>
            </w:pPr>
            <w:r/>
            <w:r>
              <w:rPr>
                <w:rFonts w:ascii="Times New Roman" w:hAnsi="Times New Roman"/>
                <w:sz w:val="22"/>
              </w:rPr>
              <w:t>377.2</w:t>
            </w:r>
          </w:p>
        </w:tc>
        <w:tc>
          <w:tcPr>
            <w:tcW w:type="dxa" w:w="694"/>
          </w:tcPr>
          <w:p>
            <w:pPr>
              <w:spacing w:after="0"/>
              <w:jc w:val="left"/>
            </w:pPr>
            <w:r/>
            <w:r>
              <w:rPr>
                <w:rFonts w:ascii="Times New Roman" w:hAnsi="Times New Roman"/>
                <w:sz w:val="22"/>
              </w:rPr>
              <w:t>-1.19</w:t>
            </w:r>
          </w:p>
        </w:tc>
      </w:tr>
      <w:tr>
        <w:tc>
          <w:tcPr>
            <w:tcW w:type="dxa" w:w="694"/>
          </w:tcPr>
          <w:p>
            <w:pPr>
              <w:spacing w:after="0"/>
              <w:jc w:val="left"/>
            </w:pPr>
            <w:r/>
            <w:r>
              <w:rPr>
                <w:rFonts w:ascii="Times New Roman" w:hAnsi="Times New Roman"/>
                <w:sz w:val="22"/>
              </w:rPr>
              <w:t>prev_incident_rate_200k (log1p)</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1.51</w:t>
            </w:r>
          </w:p>
        </w:tc>
        <w:tc>
          <w:tcPr>
            <w:tcW w:type="dxa" w:w="694"/>
          </w:tcPr>
          <w:p>
            <w:pPr>
              <w:spacing w:after="0"/>
              <w:jc w:val="left"/>
            </w:pPr>
            <w:r/>
            <w:r>
              <w:rPr>
                <w:rFonts w:ascii="Times New Roman" w:hAnsi="Times New Roman"/>
                <w:sz w:val="22"/>
              </w:rPr>
              <w:t>1.66</w:t>
            </w:r>
          </w:p>
        </w:tc>
        <w:tc>
          <w:tcPr>
            <w:tcW w:type="dxa" w:w="694"/>
          </w:tcPr>
          <w:p>
            <w:pPr>
              <w:spacing w:after="0"/>
              <w:jc w:val="left"/>
            </w:pPr>
            <w:r/>
            <w:r>
              <w:rPr>
                <w:rFonts w:ascii="Times New Roman" w:hAnsi="Times New Roman"/>
                <w:sz w:val="22"/>
              </w:rPr>
              <w:t>1.53</w:t>
            </w:r>
          </w:p>
        </w:tc>
        <w:tc>
          <w:tcPr>
            <w:tcW w:type="dxa" w:w="694"/>
          </w:tcPr>
          <w:p>
            <w:pPr>
              <w:spacing w:after="0"/>
              <w:jc w:val="left"/>
            </w:pPr>
            <w:r/>
            <w:r>
              <w:rPr>
                <w:rFonts w:ascii="Times New Roman" w:hAnsi="Times New Roman"/>
                <w:sz w:val="22"/>
              </w:rPr>
              <w:t>0.83</w:t>
            </w:r>
          </w:p>
        </w:tc>
        <w:tc>
          <w:tcPr>
            <w:tcW w:type="dxa" w:w="694"/>
          </w:tcPr>
          <w:p>
            <w:pPr>
              <w:spacing w:after="0"/>
              <w:jc w:val="left"/>
            </w:pPr>
            <w:r/>
            <w:r>
              <w:rPr>
                <w:rFonts w:ascii="Times New Roman" w:hAnsi="Times New Roman"/>
                <w:sz w:val="22"/>
              </w:rPr>
              <w:t>0.91</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0.97</w:t>
            </w:r>
          </w:p>
        </w:tc>
        <w:tc>
          <w:tcPr>
            <w:tcW w:type="dxa" w:w="694"/>
          </w:tcPr>
          <w:p>
            <w:pPr>
              <w:spacing w:after="0"/>
              <w:jc w:val="left"/>
            </w:pPr>
            <w:r/>
            <w:r>
              <w:rPr>
                <w:rFonts w:ascii="Times New Roman" w:hAnsi="Times New Roman"/>
                <w:sz w:val="22"/>
              </w:rPr>
              <w:t>2.18</w:t>
            </w:r>
          </w:p>
        </w:tc>
        <w:tc>
          <w:tcPr>
            <w:tcW w:type="dxa" w:w="694"/>
          </w:tcPr>
          <w:p>
            <w:pPr>
              <w:spacing w:after="0"/>
              <w:jc w:val="left"/>
            </w:pPr>
            <w:r/>
            <w:r>
              <w:rPr>
                <w:rFonts w:ascii="Times New Roman" w:hAnsi="Times New Roman"/>
                <w:sz w:val="22"/>
              </w:rPr>
              <w:t>3.93</w:t>
            </w:r>
          </w:p>
        </w:tc>
        <w:tc>
          <w:tcPr>
            <w:tcW w:type="dxa" w:w="694"/>
          </w:tcPr>
          <w:p>
            <w:pPr>
              <w:spacing w:after="0"/>
              <w:jc w:val="left"/>
            </w:pPr>
            <w:r/>
            <w:r>
              <w:rPr>
                <w:rFonts w:ascii="Times New Roman" w:hAnsi="Times New Roman"/>
                <w:sz w:val="22"/>
              </w:rPr>
              <w:t>1.20</w:t>
            </w:r>
          </w:p>
        </w:tc>
        <w:tc>
          <w:tcPr>
            <w:tcW w:type="dxa" w:w="694"/>
          </w:tcPr>
          <w:p>
            <w:pPr>
              <w:spacing w:after="0"/>
              <w:jc w:val="left"/>
            </w:pPr>
            <w:r/>
            <w:r>
              <w:rPr>
                <w:rFonts w:ascii="Times New Roman" w:hAnsi="Times New Roman"/>
                <w:sz w:val="22"/>
              </w:rPr>
              <w:t>-0.27</w:t>
            </w:r>
          </w:p>
        </w:tc>
      </w:tr>
    </w:tbl>
    <w:p>
      <w:pPr>
        <w:spacing w:after="80"/>
      </w:pPr>
    </w:p>
    <w:p>
      <w:r>
        <w:br w:type="page"/>
      </w:r>
    </w:p>
    <w:p>
      <w:pPr>
        <w:pStyle w:val="Heading1"/>
      </w:pPr>
      <w:r>
        <w:rPr>
          <w:rFonts w:ascii="Times New Roman" w:hAnsi="Times New Roman"/>
          <w:b/>
          <w:color w:val="000000"/>
          <w:sz w:val="32"/>
        </w:rPr>
        <w:t>Appendix B Model explanations</w:t>
      </w:r>
    </w:p>
    <w:p>
      <w:r>
        <w:rPr>
          <w:rFonts w:ascii="Times New Roman" w:hAnsi="Times New Roman"/>
          <w:sz w:val="24"/>
        </w:rPr>
        <w:t>Table 23 lists the encoded columns with the largest mean absolute SHAP values for HGB, the values that Section 4.5 compares with the logistic coefficients of Figure 19. Cuts and finger or thumb injuries rank first and fourth, and both carry negative logistic coefficients.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Mean absolute SHAP value of the 15 encoded columns with the largest values for HGB, computed by TreeExplainer on 500 seeded test reports in log-odds units, beside the coefficient of the same column in the tuned logistic regression fitted on the training split (numeric inputs standardised); one-hot columns are labelled with their MSHA codebook meaning. Source: author's analysis of MSHA open data.</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E7E6E6"/>
          </w:tcPr>
          <w:p>
            <w:pPr>
              <w:jc w:val="left"/>
            </w:pPr>
            <w:r>
              <w:rPr>
                <w:b/>
              </w:rPr>
            </w:r>
            <w:r>
              <w:rPr>
                <w:rFonts w:ascii="Times New Roman" w:hAnsi="Times New Roman"/>
                <w:b/>
                <w:sz w:val="22"/>
              </w:rPr>
              <w:t>Rank</w:t>
            </w:r>
          </w:p>
        </w:tc>
        <w:tc>
          <w:tcPr>
            <w:tcW w:type="dxa" w:w="1805"/>
            <w:shd w:val="clear" w:color="auto" w:fill="E7E6E6"/>
          </w:tcPr>
          <w:p>
            <w:pPr>
              <w:jc w:val="left"/>
            </w:pPr>
            <w:r>
              <w:rPr>
                <w:b/>
              </w:rPr>
            </w:r>
            <w:r>
              <w:rPr>
                <w:rFonts w:ascii="Times New Roman" w:hAnsi="Times New Roman"/>
                <w:b/>
                <w:sz w:val="22"/>
              </w:rPr>
              <w:t>Encoded column</w:t>
            </w:r>
          </w:p>
        </w:tc>
        <w:tc>
          <w:tcPr>
            <w:tcW w:type="dxa" w:w="1805"/>
            <w:shd w:val="clear" w:color="auto" w:fill="E7E6E6"/>
          </w:tcPr>
          <w:p>
            <w:pPr>
              <w:jc w:val="left"/>
            </w:pPr>
            <w:r>
              <w:rPr>
                <w:b/>
              </w:rPr>
            </w:r>
            <w:r>
              <w:rPr>
                <w:rFonts w:ascii="Times New Roman" w:hAnsi="Times New Roman"/>
                <w:b/>
                <w:sz w:val="22"/>
              </w:rPr>
              <w:t>Meaning</w:t>
            </w:r>
          </w:p>
        </w:tc>
        <w:tc>
          <w:tcPr>
            <w:tcW w:type="dxa" w:w="1805"/>
            <w:shd w:val="clear" w:color="auto" w:fill="E7E6E6"/>
          </w:tcPr>
          <w:p>
            <w:pPr>
              <w:jc w:val="left"/>
            </w:pPr>
            <w:r>
              <w:rPr>
                <w:b/>
              </w:rPr>
            </w:r>
            <w:r>
              <w:rPr>
                <w:rFonts w:ascii="Times New Roman" w:hAnsi="Times New Roman"/>
                <w:b/>
                <w:sz w:val="22"/>
              </w:rPr>
              <w:t>Mean absolute SHAP value (log-odds)</w:t>
            </w:r>
          </w:p>
        </w:tc>
        <w:tc>
          <w:tcPr>
            <w:tcW w:type="dxa" w:w="1805"/>
            <w:shd w:val="clear" w:color="auto" w:fill="E7E6E6"/>
          </w:tcPr>
          <w:p>
            <w:pPr>
              <w:jc w:val="left"/>
            </w:pPr>
            <w:r>
              <w:rPr>
                <w:b/>
              </w:rPr>
            </w:r>
            <w:r>
              <w:rPr>
                <w:rFonts w:ascii="Times New Roman" w:hAnsi="Times New Roman"/>
                <w:b/>
                <w:sz w:val="22"/>
              </w:rPr>
              <w:t>Logistic regression coefficient</w:t>
            </w:r>
          </w:p>
        </w:tc>
      </w:tr>
      <w:tr>
        <w:tc>
          <w:tcPr>
            <w:tcW w:type="dxa" w:w="1805"/>
          </w:tcPr>
          <w:p>
            <w:pPr>
              <w:spacing w:after="0"/>
              <w:jc w:val="left"/>
            </w:pPr>
            <w:r/>
            <w:r>
              <w:rPr>
                <w:rFonts w:ascii="Times New Roman" w:hAnsi="Times New Roman"/>
                <w:sz w:val="22"/>
              </w:rPr>
              <w:t>1</w:t>
            </w:r>
          </w:p>
        </w:tc>
        <w:tc>
          <w:tcPr>
            <w:tcW w:type="dxa" w:w="1805"/>
          </w:tcPr>
          <w:p>
            <w:pPr>
              <w:spacing w:after="0"/>
              <w:jc w:val="left"/>
            </w:pPr>
            <w:r/>
            <w:r>
              <w:rPr>
                <w:rFonts w:ascii="Times New Roman" w:hAnsi="Times New Roman"/>
                <w:sz w:val="22"/>
              </w:rPr>
              <w:t>NATURE_INJURY_CD_180</w:t>
            </w:r>
          </w:p>
        </w:tc>
        <w:tc>
          <w:tcPr>
            <w:tcW w:type="dxa" w:w="1805"/>
          </w:tcPr>
          <w:p>
            <w:pPr>
              <w:spacing w:after="0"/>
              <w:jc w:val="left"/>
            </w:pPr>
            <w:r/>
            <w:r>
              <w:rPr>
                <w:rFonts w:ascii="Times New Roman" w:hAnsi="Times New Roman"/>
                <w:sz w:val="22"/>
              </w:rPr>
              <w:t>Nature of the injury: cut, lacer, punct-opn wound</w:t>
            </w:r>
          </w:p>
        </w:tc>
        <w:tc>
          <w:tcPr>
            <w:tcW w:type="dxa" w:w="1805"/>
          </w:tcPr>
          <w:p>
            <w:pPr>
              <w:spacing w:after="0"/>
              <w:jc w:val="left"/>
            </w:pPr>
            <w:r/>
            <w:r>
              <w:rPr>
                <w:rFonts w:ascii="Times New Roman" w:hAnsi="Times New Roman"/>
                <w:sz w:val="22"/>
              </w:rPr>
              <w:t>0.575</w:t>
            </w:r>
          </w:p>
        </w:tc>
        <w:tc>
          <w:tcPr>
            <w:tcW w:type="dxa" w:w="1805"/>
          </w:tcPr>
          <w:p>
            <w:pPr>
              <w:spacing w:after="0"/>
              <w:jc w:val="left"/>
            </w:pPr>
            <w:r/>
            <w:r>
              <w:rPr>
                <w:rFonts w:ascii="Times New Roman" w:hAnsi="Times New Roman"/>
                <w:sz w:val="22"/>
              </w:rPr>
              <w:t>-1.555</w:t>
            </w:r>
          </w:p>
        </w:tc>
      </w:tr>
      <w:tr>
        <w:tc>
          <w:tcPr>
            <w:tcW w:type="dxa" w:w="1805"/>
          </w:tcPr>
          <w:p>
            <w:pPr>
              <w:spacing w:after="0"/>
              <w:jc w:val="left"/>
            </w:pPr>
            <w:r/>
            <w:r>
              <w:rPr>
                <w:rFonts w:ascii="Times New Roman" w:hAnsi="Times New Roman"/>
                <w:sz w:val="22"/>
              </w:rPr>
              <w:t>2</w:t>
            </w:r>
          </w:p>
        </w:tc>
        <w:tc>
          <w:tcPr>
            <w:tcW w:type="dxa" w:w="1805"/>
          </w:tcPr>
          <w:p>
            <w:pPr>
              <w:spacing w:after="0"/>
              <w:jc w:val="left"/>
            </w:pPr>
            <w:r/>
            <w:r>
              <w:rPr>
                <w:rFonts w:ascii="Times New Roman" w:hAnsi="Times New Roman"/>
                <w:sz w:val="22"/>
              </w:rPr>
              <w:t>prev_lost_time_share</w:t>
            </w:r>
          </w:p>
        </w:tc>
        <w:tc>
          <w:tcPr>
            <w:tcW w:type="dxa" w:w="1805"/>
          </w:tcPr>
          <w:p>
            <w:pPr>
              <w:spacing w:after="0"/>
              <w:jc w:val="left"/>
            </w:pPr>
            <w:r/>
            <w:r>
              <w:rPr>
                <w:rFonts w:ascii="Times New Roman" w:hAnsi="Times New Roman"/>
                <w:sz w:val="22"/>
              </w:rPr>
              <w:t>Lost-time share of the mine's previous-year cases (ratio)</w:t>
            </w:r>
          </w:p>
        </w:tc>
        <w:tc>
          <w:tcPr>
            <w:tcW w:type="dxa" w:w="1805"/>
          </w:tcPr>
          <w:p>
            <w:pPr>
              <w:spacing w:after="0"/>
              <w:jc w:val="left"/>
            </w:pPr>
            <w:r/>
            <w:r>
              <w:rPr>
                <w:rFonts w:ascii="Times New Roman" w:hAnsi="Times New Roman"/>
                <w:sz w:val="22"/>
              </w:rPr>
              <w:t>0.365</w:t>
            </w:r>
          </w:p>
        </w:tc>
        <w:tc>
          <w:tcPr>
            <w:tcW w:type="dxa" w:w="1805"/>
          </w:tcPr>
          <w:p>
            <w:pPr>
              <w:spacing w:after="0"/>
              <w:jc w:val="left"/>
            </w:pPr>
            <w:r/>
            <w:r>
              <w:rPr>
                <w:rFonts w:ascii="Times New Roman" w:hAnsi="Times New Roman"/>
                <w:sz w:val="22"/>
              </w:rPr>
              <w:t>0.356</w:t>
            </w:r>
          </w:p>
        </w:tc>
      </w:tr>
      <w:tr>
        <w:tc>
          <w:tcPr>
            <w:tcW w:type="dxa" w:w="1805"/>
          </w:tcPr>
          <w:p>
            <w:pPr>
              <w:spacing w:after="0"/>
              <w:jc w:val="left"/>
            </w:pPr>
            <w:r/>
            <w:r>
              <w:rPr>
                <w:rFonts w:ascii="Times New Roman" w:hAnsi="Times New Roman"/>
                <w:sz w:val="22"/>
              </w:rPr>
              <w:t>3</w:t>
            </w:r>
          </w:p>
        </w:tc>
        <w:tc>
          <w:tcPr>
            <w:tcW w:type="dxa" w:w="1805"/>
          </w:tcPr>
          <w:p>
            <w:pPr>
              <w:spacing w:after="0"/>
              <w:jc w:val="left"/>
            </w:pPr>
            <w:r/>
            <w:r>
              <w:rPr>
                <w:rFonts w:ascii="Times New Roman" w:hAnsi="Times New Roman"/>
                <w:sz w:val="22"/>
              </w:rPr>
              <w:t>COAL_METAL_IND_C</w:t>
            </w:r>
          </w:p>
        </w:tc>
        <w:tc>
          <w:tcPr>
            <w:tcW w:type="dxa" w:w="1805"/>
          </w:tcPr>
          <w:p>
            <w:pPr>
              <w:spacing w:after="0"/>
              <w:jc w:val="left"/>
            </w:pPr>
            <w:r/>
            <w:r>
              <w:rPr>
                <w:rFonts w:ascii="Times New Roman" w:hAnsi="Times New Roman"/>
                <w:sz w:val="22"/>
              </w:rPr>
              <w:t>Sector (coal or metal/non-metal): coal</w:t>
            </w:r>
          </w:p>
        </w:tc>
        <w:tc>
          <w:tcPr>
            <w:tcW w:type="dxa" w:w="1805"/>
          </w:tcPr>
          <w:p>
            <w:pPr>
              <w:spacing w:after="0"/>
              <w:jc w:val="left"/>
            </w:pPr>
            <w:r/>
            <w:r>
              <w:rPr>
                <w:rFonts w:ascii="Times New Roman" w:hAnsi="Times New Roman"/>
                <w:sz w:val="22"/>
              </w:rPr>
              <w:t>0.350</w:t>
            </w:r>
          </w:p>
        </w:tc>
        <w:tc>
          <w:tcPr>
            <w:tcW w:type="dxa" w:w="1805"/>
          </w:tcPr>
          <w:p>
            <w:pPr>
              <w:spacing w:after="0"/>
              <w:jc w:val="left"/>
            </w:pPr>
            <w:r/>
            <w:r>
              <w:rPr>
                <w:rFonts w:ascii="Times New Roman" w:hAnsi="Times New Roman"/>
                <w:sz w:val="22"/>
              </w:rPr>
              <w:t>0.258</w:t>
            </w:r>
          </w:p>
        </w:tc>
      </w:tr>
      <w:tr>
        <w:tc>
          <w:tcPr>
            <w:tcW w:type="dxa" w:w="1805"/>
          </w:tcPr>
          <w:p>
            <w:pPr>
              <w:spacing w:after="0"/>
              <w:jc w:val="left"/>
            </w:pPr>
            <w:r/>
            <w:r>
              <w:rPr>
                <w:rFonts w:ascii="Times New Roman" w:hAnsi="Times New Roman"/>
                <w:sz w:val="22"/>
              </w:rPr>
              <w:t>4</w:t>
            </w:r>
          </w:p>
        </w:tc>
        <w:tc>
          <w:tcPr>
            <w:tcW w:type="dxa" w:w="1805"/>
          </w:tcPr>
          <w:p>
            <w:pPr>
              <w:spacing w:after="0"/>
              <w:jc w:val="left"/>
            </w:pPr>
            <w:r/>
            <w:r>
              <w:rPr>
                <w:rFonts w:ascii="Times New Roman" w:hAnsi="Times New Roman"/>
                <w:sz w:val="22"/>
              </w:rPr>
              <w:t>INJ_BODY_PART_CD_340</w:t>
            </w:r>
          </w:p>
        </w:tc>
        <w:tc>
          <w:tcPr>
            <w:tcW w:type="dxa" w:w="1805"/>
          </w:tcPr>
          <w:p>
            <w:pPr>
              <w:spacing w:after="0"/>
              <w:jc w:val="left"/>
            </w:pPr>
            <w:r/>
            <w:r>
              <w:rPr>
                <w:rFonts w:ascii="Times New Roman" w:hAnsi="Times New Roman"/>
                <w:sz w:val="22"/>
              </w:rPr>
              <w:t>Body part injured: finger(s)/thumb</w:t>
            </w:r>
          </w:p>
        </w:tc>
        <w:tc>
          <w:tcPr>
            <w:tcW w:type="dxa" w:w="1805"/>
          </w:tcPr>
          <w:p>
            <w:pPr>
              <w:spacing w:after="0"/>
              <w:jc w:val="left"/>
            </w:pPr>
            <w:r/>
            <w:r>
              <w:rPr>
                <w:rFonts w:ascii="Times New Roman" w:hAnsi="Times New Roman"/>
                <w:sz w:val="22"/>
              </w:rPr>
              <w:t>0.206</w:t>
            </w:r>
          </w:p>
        </w:tc>
        <w:tc>
          <w:tcPr>
            <w:tcW w:type="dxa" w:w="1805"/>
          </w:tcPr>
          <w:p>
            <w:pPr>
              <w:spacing w:after="0"/>
              <w:jc w:val="left"/>
            </w:pPr>
            <w:r/>
            <w:r>
              <w:rPr>
                <w:rFonts w:ascii="Times New Roman" w:hAnsi="Times New Roman"/>
                <w:sz w:val="22"/>
              </w:rPr>
              <w:t>-0.882</w:t>
            </w:r>
          </w:p>
        </w:tc>
      </w:tr>
      <w:tr>
        <w:tc>
          <w:tcPr>
            <w:tcW w:type="dxa" w:w="1805"/>
          </w:tcPr>
          <w:p>
            <w:pPr>
              <w:spacing w:after="0"/>
              <w:jc w:val="left"/>
            </w:pPr>
            <w:r/>
            <w:r>
              <w:rPr>
                <w:rFonts w:ascii="Times New Roman" w:hAnsi="Times New Roman"/>
                <w:sz w:val="22"/>
              </w:rPr>
              <w:t>5</w:t>
            </w:r>
          </w:p>
        </w:tc>
        <w:tc>
          <w:tcPr>
            <w:tcW w:type="dxa" w:w="1805"/>
          </w:tcPr>
          <w:p>
            <w:pPr>
              <w:spacing w:after="0"/>
              <w:jc w:val="left"/>
            </w:pPr>
            <w:r/>
            <w:r>
              <w:rPr>
                <w:rFonts w:ascii="Times New Roman" w:hAnsi="Times New Roman"/>
                <w:sz w:val="22"/>
              </w:rPr>
              <w:t>longitude</w:t>
            </w:r>
          </w:p>
        </w:tc>
        <w:tc>
          <w:tcPr>
            <w:tcW w:type="dxa" w:w="1805"/>
          </w:tcPr>
          <w:p>
            <w:pPr>
              <w:spacing w:after="0"/>
              <w:jc w:val="left"/>
            </w:pPr>
            <w:r/>
            <w:r>
              <w:rPr>
                <w:rFonts w:ascii="Times New Roman" w:hAnsi="Times New Roman"/>
                <w:sz w:val="22"/>
              </w:rPr>
              <w:t>Longitude (degrees east)</w:t>
            </w:r>
          </w:p>
        </w:tc>
        <w:tc>
          <w:tcPr>
            <w:tcW w:type="dxa" w:w="1805"/>
          </w:tcPr>
          <w:p>
            <w:pPr>
              <w:spacing w:after="0"/>
              <w:jc w:val="left"/>
            </w:pPr>
            <w:r/>
            <w:r>
              <w:rPr>
                <w:rFonts w:ascii="Times New Roman" w:hAnsi="Times New Roman"/>
                <w:sz w:val="22"/>
              </w:rPr>
              <w:t>0.082</w:t>
            </w:r>
          </w:p>
        </w:tc>
        <w:tc>
          <w:tcPr>
            <w:tcW w:type="dxa" w:w="1805"/>
          </w:tcPr>
          <w:p>
            <w:pPr>
              <w:spacing w:after="0"/>
              <w:jc w:val="left"/>
            </w:pPr>
            <w:r/>
            <w:r>
              <w:rPr>
                <w:rFonts w:ascii="Times New Roman" w:hAnsi="Times New Roman"/>
                <w:sz w:val="22"/>
              </w:rPr>
              <w:t>0.103</w:t>
            </w:r>
          </w:p>
        </w:tc>
      </w:tr>
      <w:tr>
        <w:tc>
          <w:tcPr>
            <w:tcW w:type="dxa" w:w="1805"/>
          </w:tcPr>
          <w:p>
            <w:pPr>
              <w:spacing w:after="0"/>
              <w:jc w:val="left"/>
            </w:pPr>
            <w:r/>
            <w:r>
              <w:rPr>
                <w:rFonts w:ascii="Times New Roman" w:hAnsi="Times New Roman"/>
                <w:sz w:val="22"/>
              </w:rPr>
              <w:t>6</w:t>
            </w:r>
          </w:p>
        </w:tc>
        <w:tc>
          <w:tcPr>
            <w:tcW w:type="dxa" w:w="1805"/>
          </w:tcPr>
          <w:p>
            <w:pPr>
              <w:spacing w:after="0"/>
              <w:jc w:val="left"/>
            </w:pPr>
            <w:r/>
            <w:r>
              <w:rPr>
                <w:rFonts w:ascii="Times New Roman" w:hAnsi="Times New Roman"/>
                <w:sz w:val="22"/>
              </w:rPr>
              <w:t>NATURE_INJURY_CD_100</w:t>
            </w:r>
          </w:p>
        </w:tc>
        <w:tc>
          <w:tcPr>
            <w:tcW w:type="dxa" w:w="1805"/>
          </w:tcPr>
          <w:p>
            <w:pPr>
              <w:spacing w:after="0"/>
              <w:jc w:val="left"/>
            </w:pPr>
            <w:r/>
            <w:r>
              <w:rPr>
                <w:rFonts w:ascii="Times New Roman" w:hAnsi="Times New Roman"/>
                <w:sz w:val="22"/>
              </w:rPr>
              <w:t>Nature of the injury: amputation or enucleation</w:t>
            </w:r>
          </w:p>
        </w:tc>
        <w:tc>
          <w:tcPr>
            <w:tcW w:type="dxa" w:w="1805"/>
          </w:tcPr>
          <w:p>
            <w:pPr>
              <w:spacing w:after="0"/>
              <w:jc w:val="left"/>
            </w:pPr>
            <w:r/>
            <w:r>
              <w:rPr>
                <w:rFonts w:ascii="Times New Roman" w:hAnsi="Times New Roman"/>
                <w:sz w:val="22"/>
              </w:rPr>
              <w:t>0.073</w:t>
            </w:r>
          </w:p>
        </w:tc>
        <w:tc>
          <w:tcPr>
            <w:tcW w:type="dxa" w:w="1805"/>
          </w:tcPr>
          <w:p>
            <w:pPr>
              <w:spacing w:after="0"/>
              <w:jc w:val="left"/>
            </w:pPr>
            <w:r/>
            <w:r>
              <w:rPr>
                <w:rFonts w:ascii="Times New Roman" w:hAnsi="Times New Roman"/>
                <w:sz w:val="22"/>
              </w:rPr>
              <w:t>5.605</w:t>
            </w:r>
          </w:p>
        </w:tc>
      </w:tr>
      <w:tr>
        <w:tc>
          <w:tcPr>
            <w:tcW w:type="dxa" w:w="1805"/>
          </w:tcPr>
          <w:p>
            <w:pPr>
              <w:spacing w:after="0"/>
              <w:jc w:val="left"/>
            </w:pPr>
            <w:r/>
            <w:r>
              <w:rPr>
                <w:rFonts w:ascii="Times New Roman" w:hAnsi="Times New Roman"/>
                <w:sz w:val="22"/>
              </w:rPr>
              <w:t>7</w:t>
            </w:r>
          </w:p>
        </w:tc>
        <w:tc>
          <w:tcPr>
            <w:tcW w:type="dxa" w:w="1805"/>
          </w:tcPr>
          <w:p>
            <w:pPr>
              <w:spacing w:after="0"/>
              <w:jc w:val="left"/>
            </w:pPr>
            <w:r/>
            <w:r>
              <w:rPr>
                <w:rFonts w:ascii="Times New Roman" w:hAnsi="Times New Roman"/>
                <w:sz w:val="22"/>
              </w:rPr>
              <w:t>NATURE_INJURY_CD_220</w:t>
            </w:r>
          </w:p>
        </w:tc>
        <w:tc>
          <w:tcPr>
            <w:tcW w:type="dxa" w:w="1805"/>
          </w:tcPr>
          <w:p>
            <w:pPr>
              <w:spacing w:after="0"/>
              <w:jc w:val="left"/>
            </w:pPr>
            <w:r/>
            <w:r>
              <w:rPr>
                <w:rFonts w:ascii="Times New Roman" w:hAnsi="Times New Roman"/>
                <w:sz w:val="22"/>
              </w:rPr>
              <w:t>Nature of the injury: fracture, chip</w:t>
            </w:r>
          </w:p>
        </w:tc>
        <w:tc>
          <w:tcPr>
            <w:tcW w:type="dxa" w:w="1805"/>
          </w:tcPr>
          <w:p>
            <w:pPr>
              <w:spacing w:after="0"/>
              <w:jc w:val="left"/>
            </w:pPr>
            <w:r/>
            <w:r>
              <w:rPr>
                <w:rFonts w:ascii="Times New Roman" w:hAnsi="Times New Roman"/>
                <w:sz w:val="22"/>
              </w:rPr>
              <w:t>0.068</w:t>
            </w:r>
          </w:p>
        </w:tc>
        <w:tc>
          <w:tcPr>
            <w:tcW w:type="dxa" w:w="1805"/>
          </w:tcPr>
          <w:p>
            <w:pPr>
              <w:spacing w:after="0"/>
              <w:jc w:val="left"/>
            </w:pPr>
            <w:r/>
            <w:r>
              <w:rPr>
                <w:rFonts w:ascii="Times New Roman" w:hAnsi="Times New Roman"/>
                <w:sz w:val="22"/>
              </w:rPr>
              <w:t>0.061</w:t>
            </w:r>
          </w:p>
        </w:tc>
      </w:tr>
      <w:tr>
        <w:tc>
          <w:tcPr>
            <w:tcW w:type="dxa" w:w="1805"/>
          </w:tcPr>
          <w:p>
            <w:pPr>
              <w:spacing w:after="0"/>
              <w:jc w:val="left"/>
            </w:pPr>
            <w:r/>
            <w:r>
              <w:rPr>
                <w:rFonts w:ascii="Times New Roman" w:hAnsi="Times New Roman"/>
                <w:sz w:val="22"/>
              </w:rPr>
              <w:t>8</w:t>
            </w:r>
          </w:p>
        </w:tc>
        <w:tc>
          <w:tcPr>
            <w:tcW w:type="dxa" w:w="1805"/>
          </w:tcPr>
          <w:p>
            <w:pPr>
              <w:spacing w:after="0"/>
              <w:jc w:val="left"/>
            </w:pPr>
            <w:r/>
            <w:r>
              <w:rPr>
                <w:rFonts w:ascii="Times New Roman" w:hAnsi="Times New Roman"/>
                <w:sz w:val="22"/>
              </w:rPr>
              <w:t>INJ_BODY_PART_CD_130</w:t>
            </w:r>
          </w:p>
        </w:tc>
        <w:tc>
          <w:tcPr>
            <w:tcW w:type="dxa" w:w="1805"/>
          </w:tcPr>
          <w:p>
            <w:pPr>
              <w:spacing w:after="0"/>
              <w:jc w:val="left"/>
            </w:pPr>
            <w:r/>
            <w:r>
              <w:rPr>
                <w:rFonts w:ascii="Times New Roman" w:hAnsi="Times New Roman"/>
                <w:sz w:val="22"/>
              </w:rPr>
              <w:t>Body part injured: eye(s) optic nerve/vison</w:t>
            </w:r>
          </w:p>
        </w:tc>
        <w:tc>
          <w:tcPr>
            <w:tcW w:type="dxa" w:w="1805"/>
          </w:tcPr>
          <w:p>
            <w:pPr>
              <w:spacing w:after="0"/>
              <w:jc w:val="left"/>
            </w:pPr>
            <w:r/>
            <w:r>
              <w:rPr>
                <w:rFonts w:ascii="Times New Roman" w:hAnsi="Times New Roman"/>
                <w:sz w:val="22"/>
              </w:rPr>
              <w:t>0.067</w:t>
            </w:r>
          </w:p>
        </w:tc>
        <w:tc>
          <w:tcPr>
            <w:tcW w:type="dxa" w:w="1805"/>
          </w:tcPr>
          <w:p>
            <w:pPr>
              <w:spacing w:after="0"/>
              <w:jc w:val="left"/>
            </w:pPr>
            <w:r/>
            <w:r>
              <w:rPr>
                <w:rFonts w:ascii="Times New Roman" w:hAnsi="Times New Roman"/>
                <w:sz w:val="22"/>
              </w:rPr>
              <w:t>-0.452</w:t>
            </w:r>
          </w:p>
        </w:tc>
      </w:tr>
      <w:tr>
        <w:tc>
          <w:tcPr>
            <w:tcW w:type="dxa" w:w="1805"/>
          </w:tcPr>
          <w:p>
            <w:pPr>
              <w:spacing w:after="0"/>
              <w:jc w:val="left"/>
            </w:pPr>
            <w:r/>
            <w:r>
              <w:rPr>
                <w:rFonts w:ascii="Times New Roman" w:hAnsi="Times New Roman"/>
                <w:sz w:val="22"/>
              </w:rPr>
              <w:t>9</w:t>
            </w:r>
          </w:p>
        </w:tc>
        <w:tc>
          <w:tcPr>
            <w:tcW w:type="dxa" w:w="1805"/>
          </w:tcPr>
          <w:p>
            <w:pPr>
              <w:spacing w:after="0"/>
              <w:jc w:val="left"/>
            </w:pPr>
            <w:r/>
            <w:r>
              <w:rPr>
                <w:rFonts w:ascii="Times New Roman" w:hAnsi="Times New Roman"/>
                <w:sz w:val="22"/>
              </w:rPr>
              <w:t>INJ_BODY_PART_CD_142</w:t>
            </w:r>
          </w:p>
        </w:tc>
        <w:tc>
          <w:tcPr>
            <w:tcW w:type="dxa" w:w="1805"/>
          </w:tcPr>
          <w:p>
            <w:pPr>
              <w:spacing w:after="0"/>
              <w:jc w:val="left"/>
            </w:pPr>
            <w:r/>
            <w:r>
              <w:rPr>
                <w:rFonts w:ascii="Times New Roman" w:hAnsi="Times New Roman"/>
                <w:sz w:val="22"/>
              </w:rPr>
              <w:t>Body part injured: mouth/lip/teeth/tongue/throat/taste</w:t>
            </w:r>
          </w:p>
        </w:tc>
        <w:tc>
          <w:tcPr>
            <w:tcW w:type="dxa" w:w="1805"/>
          </w:tcPr>
          <w:p>
            <w:pPr>
              <w:spacing w:after="0"/>
              <w:jc w:val="left"/>
            </w:pPr>
            <w:r/>
            <w:r>
              <w:rPr>
                <w:rFonts w:ascii="Times New Roman" w:hAnsi="Times New Roman"/>
                <w:sz w:val="22"/>
              </w:rPr>
              <w:t>0.059</w:t>
            </w:r>
          </w:p>
        </w:tc>
        <w:tc>
          <w:tcPr>
            <w:tcW w:type="dxa" w:w="1805"/>
          </w:tcPr>
          <w:p>
            <w:pPr>
              <w:spacing w:after="0"/>
              <w:jc w:val="left"/>
            </w:pPr>
            <w:r/>
            <w:r>
              <w:rPr>
                <w:rFonts w:ascii="Times New Roman" w:hAnsi="Times New Roman"/>
                <w:sz w:val="22"/>
              </w:rPr>
              <w:t>-2.421</w:t>
            </w:r>
          </w:p>
        </w:tc>
      </w:tr>
      <w:tr>
        <w:tc>
          <w:tcPr>
            <w:tcW w:type="dxa" w:w="1805"/>
          </w:tcPr>
          <w:p>
            <w:pPr>
              <w:spacing w:after="0"/>
              <w:jc w:val="left"/>
            </w:pPr>
            <w:r/>
            <w:r>
              <w:rPr>
                <w:rFonts w:ascii="Times New Roman" w:hAnsi="Times New Roman"/>
                <w:sz w:val="22"/>
              </w:rPr>
              <w:t>10</w:t>
            </w:r>
          </w:p>
        </w:tc>
        <w:tc>
          <w:tcPr>
            <w:tcW w:type="dxa" w:w="1805"/>
          </w:tcPr>
          <w:p>
            <w:pPr>
              <w:spacing w:after="0"/>
              <w:jc w:val="left"/>
            </w:pPr>
            <w:r/>
            <w:r>
              <w:rPr>
                <w:rFonts w:ascii="Times New Roman" w:hAnsi="Times New Roman"/>
                <w:sz w:val="22"/>
              </w:rPr>
              <w:t>prev_incidents</w:t>
            </w:r>
          </w:p>
        </w:tc>
        <w:tc>
          <w:tcPr>
            <w:tcW w:type="dxa" w:w="1805"/>
          </w:tcPr>
          <w:p>
            <w:pPr>
              <w:spacing w:after="0"/>
              <w:jc w:val="left"/>
            </w:pPr>
            <w:r/>
            <w:r>
              <w:rPr>
                <w:rFonts w:ascii="Times New Roman" w:hAnsi="Times New Roman"/>
                <w:sz w:val="22"/>
              </w:rPr>
              <w:t>Incidents reported at the mine in the previous year (count)</w:t>
            </w:r>
          </w:p>
        </w:tc>
        <w:tc>
          <w:tcPr>
            <w:tcW w:type="dxa" w:w="1805"/>
          </w:tcPr>
          <w:p>
            <w:pPr>
              <w:spacing w:after="0"/>
              <w:jc w:val="left"/>
            </w:pPr>
            <w:r/>
            <w:r>
              <w:rPr>
                <w:rFonts w:ascii="Times New Roman" w:hAnsi="Times New Roman"/>
                <w:sz w:val="22"/>
              </w:rPr>
              <w:t>0.050</w:t>
            </w:r>
          </w:p>
        </w:tc>
        <w:tc>
          <w:tcPr>
            <w:tcW w:type="dxa" w:w="1805"/>
          </w:tcPr>
          <w:p>
            <w:pPr>
              <w:spacing w:after="0"/>
              <w:jc w:val="left"/>
            </w:pPr>
            <w:r/>
            <w:r>
              <w:rPr>
                <w:rFonts w:ascii="Times New Roman" w:hAnsi="Times New Roman"/>
                <w:sz w:val="22"/>
              </w:rPr>
              <w:t>0.179</w:t>
            </w:r>
          </w:p>
        </w:tc>
      </w:tr>
      <w:tr>
        <w:tc>
          <w:tcPr>
            <w:tcW w:type="dxa" w:w="1805"/>
          </w:tcPr>
          <w:p>
            <w:pPr>
              <w:spacing w:after="0"/>
              <w:jc w:val="left"/>
            </w:pPr>
            <w:r/>
            <w:r>
              <w:rPr>
                <w:rFonts w:ascii="Times New Roman" w:hAnsi="Times New Roman"/>
                <w:sz w:val="22"/>
              </w:rPr>
              <w:t>11</w:t>
            </w:r>
          </w:p>
        </w:tc>
        <w:tc>
          <w:tcPr>
            <w:tcW w:type="dxa" w:w="1805"/>
          </w:tcPr>
          <w:p>
            <w:pPr>
              <w:spacing w:after="0"/>
              <w:jc w:val="left"/>
            </w:pPr>
            <w:r/>
            <w:r>
              <w:rPr>
                <w:rFonts w:ascii="Times New Roman" w:hAnsi="Times New Roman"/>
                <w:sz w:val="22"/>
              </w:rPr>
              <w:t>prev_employees</w:t>
            </w:r>
          </w:p>
        </w:tc>
        <w:tc>
          <w:tcPr>
            <w:tcW w:type="dxa" w:w="1805"/>
          </w:tcPr>
          <w:p>
            <w:pPr>
              <w:spacing w:after="0"/>
              <w:jc w:val="left"/>
            </w:pPr>
            <w:r/>
            <w:r>
              <w:rPr>
                <w:rFonts w:ascii="Times New Roman" w:hAnsi="Times New Roman"/>
                <w:sz w:val="22"/>
              </w:rPr>
              <w:t>Average employees at the mine in the previous year (persons)</w:t>
            </w:r>
          </w:p>
        </w:tc>
        <w:tc>
          <w:tcPr>
            <w:tcW w:type="dxa" w:w="1805"/>
          </w:tcPr>
          <w:p>
            <w:pPr>
              <w:spacing w:after="0"/>
              <w:jc w:val="left"/>
            </w:pPr>
            <w:r/>
            <w:r>
              <w:rPr>
                <w:rFonts w:ascii="Times New Roman" w:hAnsi="Times New Roman"/>
                <w:sz w:val="22"/>
              </w:rPr>
              <w:t>0.048</w:t>
            </w:r>
          </w:p>
        </w:tc>
        <w:tc>
          <w:tcPr>
            <w:tcW w:type="dxa" w:w="1805"/>
          </w:tcPr>
          <w:p>
            <w:pPr>
              <w:spacing w:after="0"/>
              <w:jc w:val="left"/>
            </w:pPr>
            <w:r/>
            <w:r>
              <w:rPr>
                <w:rFonts w:ascii="Times New Roman" w:hAnsi="Times New Roman"/>
                <w:sz w:val="22"/>
              </w:rPr>
              <w:t>-0.166</w:t>
            </w:r>
          </w:p>
        </w:tc>
      </w:tr>
      <w:tr>
        <w:tc>
          <w:tcPr>
            <w:tcW w:type="dxa" w:w="1805"/>
          </w:tcPr>
          <w:p>
            <w:pPr>
              <w:spacing w:after="0"/>
              <w:jc w:val="left"/>
            </w:pPr>
            <w:r/>
            <w:r>
              <w:rPr>
                <w:rFonts w:ascii="Times New Roman" w:hAnsi="Times New Roman"/>
                <w:sz w:val="22"/>
              </w:rPr>
              <w:t>12</w:t>
            </w:r>
          </w:p>
        </w:tc>
        <w:tc>
          <w:tcPr>
            <w:tcW w:type="dxa" w:w="1805"/>
          </w:tcPr>
          <w:p>
            <w:pPr>
              <w:spacing w:after="0"/>
              <w:jc w:val="left"/>
            </w:pPr>
            <w:r/>
            <w:r>
              <w:rPr>
                <w:rFonts w:ascii="Times New Roman" w:hAnsi="Times New Roman"/>
                <w:sz w:val="22"/>
              </w:rPr>
              <w:t>immed_reportable</w:t>
            </w:r>
          </w:p>
        </w:tc>
        <w:tc>
          <w:tcPr>
            <w:tcW w:type="dxa" w:w="1805"/>
          </w:tcPr>
          <w:p>
            <w:pPr>
              <w:spacing w:after="0"/>
              <w:jc w:val="left"/>
            </w:pPr>
            <w:r/>
            <w:r>
              <w:rPr>
                <w:rFonts w:ascii="Times New Roman" w:hAnsi="Times New Roman"/>
                <w:sz w:val="22"/>
              </w:rPr>
              <w:t>Immediately reportable accident type (flag)</w:t>
            </w:r>
          </w:p>
        </w:tc>
        <w:tc>
          <w:tcPr>
            <w:tcW w:type="dxa" w:w="1805"/>
          </w:tcPr>
          <w:p>
            <w:pPr>
              <w:spacing w:after="0"/>
              <w:jc w:val="left"/>
            </w:pPr>
            <w:r/>
            <w:r>
              <w:rPr>
                <w:rFonts w:ascii="Times New Roman" w:hAnsi="Times New Roman"/>
                <w:sz w:val="22"/>
              </w:rPr>
              <w:t>0.048</w:t>
            </w:r>
          </w:p>
        </w:tc>
        <w:tc>
          <w:tcPr>
            <w:tcW w:type="dxa" w:w="1805"/>
          </w:tcPr>
          <w:p>
            <w:pPr>
              <w:spacing w:after="0"/>
              <w:jc w:val="left"/>
            </w:pPr>
            <w:r/>
            <w:r>
              <w:rPr>
                <w:rFonts w:ascii="Times New Roman" w:hAnsi="Times New Roman"/>
                <w:sz w:val="22"/>
              </w:rPr>
              <w:t>0.873</w:t>
            </w:r>
          </w:p>
        </w:tc>
      </w:tr>
      <w:tr>
        <w:tc>
          <w:tcPr>
            <w:tcW w:type="dxa" w:w="1805"/>
          </w:tcPr>
          <w:p>
            <w:pPr>
              <w:spacing w:after="0"/>
              <w:jc w:val="left"/>
            </w:pPr>
            <w:r/>
            <w:r>
              <w:rPr>
                <w:rFonts w:ascii="Times New Roman" w:hAnsi="Times New Roman"/>
                <w:sz w:val="22"/>
              </w:rPr>
              <w:t>13</w:t>
            </w:r>
          </w:p>
        </w:tc>
        <w:tc>
          <w:tcPr>
            <w:tcW w:type="dxa" w:w="1805"/>
          </w:tcPr>
          <w:p>
            <w:pPr>
              <w:spacing w:after="0"/>
              <w:jc w:val="left"/>
            </w:pPr>
            <w:r/>
            <w:r>
              <w:rPr>
                <w:rFonts w:ascii="Times New Roman" w:hAnsi="Times New Roman"/>
                <w:sz w:val="22"/>
              </w:rPr>
              <w:t>prev_lost_time_rate_200k</w:t>
            </w:r>
          </w:p>
        </w:tc>
        <w:tc>
          <w:tcPr>
            <w:tcW w:type="dxa" w:w="1805"/>
          </w:tcPr>
          <w:p>
            <w:pPr>
              <w:spacing w:after="0"/>
              <w:jc w:val="left"/>
            </w:pPr>
            <w:r/>
            <w:r>
              <w:rPr>
                <w:rFonts w:ascii="Times New Roman" w:hAnsi="Times New Roman"/>
                <w:sz w:val="22"/>
              </w:rPr>
              <w:t>log(1 + lost-time cases per 200,000 employee-hours, previous year)</w:t>
            </w:r>
          </w:p>
        </w:tc>
        <w:tc>
          <w:tcPr>
            <w:tcW w:type="dxa" w:w="1805"/>
          </w:tcPr>
          <w:p>
            <w:pPr>
              <w:spacing w:after="0"/>
              <w:jc w:val="left"/>
            </w:pPr>
            <w:r/>
            <w:r>
              <w:rPr>
                <w:rFonts w:ascii="Times New Roman" w:hAnsi="Times New Roman"/>
                <w:sz w:val="22"/>
              </w:rPr>
              <w:t>0.043</w:t>
            </w:r>
          </w:p>
        </w:tc>
        <w:tc>
          <w:tcPr>
            <w:tcW w:type="dxa" w:w="1805"/>
          </w:tcPr>
          <w:p>
            <w:pPr>
              <w:spacing w:after="0"/>
              <w:jc w:val="left"/>
            </w:pPr>
            <w:r/>
            <w:r>
              <w:rPr>
                <w:rFonts w:ascii="Times New Roman" w:hAnsi="Times New Roman"/>
                <w:sz w:val="22"/>
              </w:rPr>
              <w:t>0.081</w:t>
            </w:r>
          </w:p>
        </w:tc>
      </w:tr>
      <w:tr>
        <w:tc>
          <w:tcPr>
            <w:tcW w:type="dxa" w:w="1805"/>
          </w:tcPr>
          <w:p>
            <w:pPr>
              <w:spacing w:after="0"/>
              <w:jc w:val="left"/>
            </w:pPr>
            <w:r/>
            <w:r>
              <w:rPr>
                <w:rFonts w:ascii="Times New Roman" w:hAnsi="Times New Roman"/>
                <w:sz w:val="22"/>
              </w:rPr>
              <w:t>14</w:t>
            </w:r>
          </w:p>
        </w:tc>
        <w:tc>
          <w:tcPr>
            <w:tcW w:type="dxa" w:w="1805"/>
          </w:tcPr>
          <w:p>
            <w:pPr>
              <w:spacing w:after="0"/>
              <w:jc w:val="left"/>
            </w:pPr>
            <w:r/>
            <w:r>
              <w:rPr>
                <w:rFonts w:ascii="Times New Roman" w:hAnsi="Times New Roman"/>
                <w:sz w:val="22"/>
              </w:rPr>
              <w:t>INJ_BODY_PART_CD_330</w:t>
            </w:r>
          </w:p>
        </w:tc>
        <w:tc>
          <w:tcPr>
            <w:tcW w:type="dxa" w:w="1805"/>
          </w:tcPr>
          <w:p>
            <w:pPr>
              <w:spacing w:after="0"/>
              <w:jc w:val="left"/>
            </w:pPr>
            <w:r/>
            <w:r>
              <w:rPr>
                <w:rFonts w:ascii="Times New Roman" w:hAnsi="Times New Roman"/>
                <w:sz w:val="22"/>
              </w:rPr>
              <w:t>Body part injured: hand (not wrist or fingers)</w:t>
            </w:r>
          </w:p>
        </w:tc>
        <w:tc>
          <w:tcPr>
            <w:tcW w:type="dxa" w:w="1805"/>
          </w:tcPr>
          <w:p>
            <w:pPr>
              <w:spacing w:after="0"/>
              <w:jc w:val="left"/>
            </w:pPr>
            <w:r/>
            <w:r>
              <w:rPr>
                <w:rFonts w:ascii="Times New Roman" w:hAnsi="Times New Roman"/>
                <w:sz w:val="22"/>
              </w:rPr>
              <w:t>0.038</w:t>
            </w:r>
          </w:p>
        </w:tc>
        <w:tc>
          <w:tcPr>
            <w:tcW w:type="dxa" w:w="1805"/>
          </w:tcPr>
          <w:p>
            <w:pPr>
              <w:spacing w:after="0"/>
              <w:jc w:val="left"/>
            </w:pPr>
            <w:r/>
            <w:r>
              <w:rPr>
                <w:rFonts w:ascii="Times New Roman" w:hAnsi="Times New Roman"/>
                <w:sz w:val="22"/>
              </w:rPr>
              <w:t>-0.502</w:t>
            </w:r>
          </w:p>
        </w:tc>
      </w:tr>
      <w:tr>
        <w:tc>
          <w:tcPr>
            <w:tcW w:type="dxa" w:w="1805"/>
          </w:tcPr>
          <w:p>
            <w:pPr>
              <w:spacing w:after="0"/>
              <w:jc w:val="left"/>
            </w:pPr>
            <w:r/>
            <w:r>
              <w:rPr>
                <w:rFonts w:ascii="Times New Roman" w:hAnsi="Times New Roman"/>
                <w:sz w:val="22"/>
              </w:rPr>
              <w:t>15</w:t>
            </w:r>
          </w:p>
        </w:tc>
        <w:tc>
          <w:tcPr>
            <w:tcW w:type="dxa" w:w="1805"/>
          </w:tcPr>
          <w:p>
            <w:pPr>
              <w:spacing w:after="0"/>
              <w:jc w:val="left"/>
            </w:pPr>
            <w:r/>
            <w:r>
              <w:rPr>
                <w:rFonts w:ascii="Times New Roman" w:hAnsi="Times New Roman"/>
                <w:sz w:val="22"/>
              </w:rPr>
              <w:t>NATURE_INJURY_CD_330</w:t>
            </w:r>
          </w:p>
        </w:tc>
        <w:tc>
          <w:tcPr>
            <w:tcW w:type="dxa" w:w="1805"/>
          </w:tcPr>
          <w:p>
            <w:pPr>
              <w:spacing w:after="0"/>
              <w:jc w:val="left"/>
            </w:pPr>
            <w:r/>
            <w:r>
              <w:rPr>
                <w:rFonts w:ascii="Times New Roman" w:hAnsi="Times New Roman"/>
                <w:sz w:val="22"/>
              </w:rPr>
              <w:t>Nature of the injury: sprain, strain rupt disc</w:t>
            </w:r>
          </w:p>
        </w:tc>
        <w:tc>
          <w:tcPr>
            <w:tcW w:type="dxa" w:w="1805"/>
          </w:tcPr>
          <w:p>
            <w:pPr>
              <w:spacing w:after="0"/>
              <w:jc w:val="left"/>
            </w:pPr>
            <w:r/>
            <w:r>
              <w:rPr>
                <w:rFonts w:ascii="Times New Roman" w:hAnsi="Times New Roman"/>
                <w:sz w:val="22"/>
              </w:rPr>
              <w:t>0.038</w:t>
            </w:r>
          </w:p>
        </w:tc>
        <w:tc>
          <w:tcPr>
            <w:tcW w:type="dxa" w:w="1805"/>
          </w:tcPr>
          <w:p>
            <w:pPr>
              <w:spacing w:after="0"/>
              <w:jc w:val="left"/>
            </w:pPr>
            <w:r/>
            <w:r>
              <w:rPr>
                <w:rFonts w:ascii="Times New Roman" w:hAnsi="Times New Roman"/>
                <w:sz w:val="22"/>
              </w:rPr>
              <w:t>-0.319</w:t>
            </w:r>
          </w:p>
        </w:tc>
      </w:tr>
    </w:tbl>
    <w:p>
      <w:pPr>
        <w:spacing w:after="80"/>
      </w:pP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0"/>
      </w:rPr>
      <w:t xml:space="preserve">Page </w:t>
    </w:r>
    <w:r>
      <w:rPr>
        <w:rFonts w:ascii="Times New Roman" w:hAnsi="Times New Roman"/>
        <w:sz w:val="24"/>
      </w:rPr>
      <w:fldChar w:fldCharType="begin" w:dirty="true"/>
      <w:instrText xml:space="preserve"> PAGE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0"/>
      </w:rPr>
      <w:t xml:space="preserve"> of </w:t>
    </w:r>
    <w:r>
      <w:rPr>
        <w:rFonts w:ascii="Times New Roman" w:hAnsi="Times New Roman"/>
        <w:sz w:val="24"/>
      </w:rPr>
      <w:fldChar w:fldCharType="begin" w:dirty="true"/>
      <w:instrText xml:space="preserve"> NUMPAGES </w:instrText>
      <w:fldChar w:fldCharType="separate"/>
    </w:r>
    <w:r>
      <w:rPr>
        <w:rFonts w:ascii="Times New Roman" w:hAnsi="Times New Roman"/>
        <w:sz w:val="24"/>
      </w:rPr>
      <w:t>1</w:t>
    </w:r>
    <w:r>
      <w:rPr>
        <w:rFonts w:ascii="Times New Roman" w:hAnsi="Times New Roman"/>
        <w:sz w:val="2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sz w:val="20"/>
      </w:rPr>
      <w:t>Student ID: 13130    6COSC017C Machine Learning and Data Analytics, CW1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4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jc w:val="left"/>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jc w:val="left"/>
    </w:pPr>
    <w:rPr>
      <w:rFonts w:ascii="Times New Roman" w:hAnsi="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lost-time mine injuries from MSHA open data</dc:title>
  <dc:subject>6COSC017C Coursework 1 (50% of the module mark)</dc:subject>
  <dc:creator>13130</dc:creator>
  <cp:keywords/>
  <dc:description/>
  <cp:lastModifiedBy>13130</cp:lastModifiedBy>
  <cp:revision>1</cp:revision>
  <dcterms:created xsi:type="dcterms:W3CDTF">2013-12-23T23:15:00Z</dcterms:created>
  <dcterms:modified xsi:type="dcterms:W3CDTF">2013-12-23T23:15:00Z</dcterms:modified>
  <cp:category/>
</cp:coreProperties>
</file>