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665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Collette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65940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2016-07-27T23:44:00Z</dcterms:modified>
</cp:coreProperties>
</file>