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40"/>
          <w:shd w:fill="auto" w:val="clear"/>
        </w:rPr>
      </w:pPr>
      <w:r>
        <w:object w:dxaOrig="8971" w:dyaOrig="3254">
          <v:rect xmlns:o="urn:schemas-microsoft-com:office:office" xmlns:v="urn:schemas-microsoft-com:vml" id="rectole0000000000" style="width:448.550000pt;height:162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</w:rPr>
        <w:t xml:space="preserve">Московский международный колледж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</w:rPr>
        <w:t xml:space="preserve">цифровых технологий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</w:rPr>
        <w:t xml:space="preserve">Академия TOP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0"/>
          <w:shd w:fill="auto" w:val="clear"/>
        </w:rPr>
        <w:t xml:space="preserve">»</w:t>
      </w:r>
    </w:p>
    <w:p>
      <w:pPr>
        <w:spacing w:before="0" w:after="16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44"/>
          <w:shd w:fill="auto" w:val="clear"/>
        </w:rPr>
      </w:pPr>
    </w:p>
    <w:p>
      <w:pPr>
        <w:spacing w:before="0" w:after="16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6"/>
          <w:shd w:fill="auto" w:val="clear"/>
        </w:rPr>
        <w:t xml:space="preserve">Направление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Разработка ПО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»</w:t>
      </w:r>
    </w:p>
    <w:p>
      <w:pPr>
        <w:spacing w:before="0" w:after="16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Практическая работа на тему:</w:t>
      </w:r>
    </w:p>
    <w:p>
      <w:pPr>
        <w:spacing w:before="0" w:after="16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Измерение и анализ эксплуатационных характеристик качества программного обеспечения</w:t>
      </w:r>
    </w:p>
    <w:p>
      <w:pPr>
        <w:spacing w:before="0" w:after="16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Выполнила: </w:t>
      </w:r>
    </w:p>
    <w:p>
      <w:pPr>
        <w:spacing w:before="0" w:after="160" w:line="24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Лясковская В.С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Новомосковск 2025 г.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Цель работы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Научиться рассчитывать и анализировать основные эксплуатационные показатели качества ИС: среднее время наработки на отказ (MTBF), среднее время восстановления (MTTR) и коэффициент готовности (Availability). Отработать навыки принятия решений на основе анализа этих метрик.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Ход работы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755" w:dyaOrig="4334">
          <v:rect xmlns:o="urn:schemas-microsoft-com:office:office" xmlns:v="urn:schemas-microsoft-com:vml" id="rectole0000000001" style="width:437.750000pt;height:216.7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Таблица инцидентов (внеплановые отказы)</w:t>
      </w:r>
    </w:p>
    <w:tbl>
      <w:tblPr/>
      <w:tblGrid>
        <w:gridCol w:w="1500"/>
        <w:gridCol w:w="1500"/>
        <w:gridCol w:w="2396"/>
        <w:gridCol w:w="2570"/>
      </w:tblGrid>
      <w:tr>
        <w:trPr>
          <w:trHeight w:val="300" w:hRule="auto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№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Дата</w:t>
            </w:r>
          </w:p>
        </w:tc>
        <w:tc>
          <w:tcPr>
            <w:tcW w:w="23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Событие</w:t>
            </w:r>
          </w:p>
        </w:tc>
        <w:tc>
          <w:tcPr>
            <w:tcW w:w="2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Время простоя (часы)</w:t>
            </w:r>
          </w:p>
        </w:tc>
      </w:tr>
      <w:tr>
        <w:trPr>
          <w:trHeight w:val="300" w:hRule="auto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5-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е число</w:t>
            </w:r>
          </w:p>
        </w:tc>
        <w:tc>
          <w:tcPr>
            <w:tcW w:w="23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Сбой базы данных</w:t>
            </w:r>
          </w:p>
        </w:tc>
        <w:tc>
          <w:tcPr>
            <w:tcW w:w="2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2.5</w:t>
            </w:r>
          </w:p>
        </w:tc>
      </w:tr>
      <w:tr>
        <w:trPr>
          <w:trHeight w:val="300" w:hRule="auto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12-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е число</w:t>
            </w:r>
          </w:p>
        </w:tc>
        <w:tc>
          <w:tcPr>
            <w:tcW w:w="23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Ошибка конфигурации</w:t>
            </w:r>
          </w:p>
        </w:tc>
        <w:tc>
          <w:tcPr>
            <w:tcW w:w="2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0.25</w:t>
            </w:r>
          </w:p>
        </w:tc>
      </w:tr>
      <w:tr>
        <w:trPr>
          <w:trHeight w:val="300" w:hRule="auto"/>
          <w:jc w:val="left"/>
        </w:trPr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1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20-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е число</w:t>
            </w:r>
          </w:p>
        </w:tc>
        <w:tc>
          <w:tcPr>
            <w:tcW w:w="23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DDoS-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атака</w:t>
            </w:r>
          </w:p>
        </w:tc>
        <w:tc>
          <w:tcPr>
            <w:tcW w:w="25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3.0</w:t>
            </w:r>
          </w:p>
        </w:tc>
      </w:tr>
    </w:tbl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Плановое техобслуживание (не учитывается в MTBF/MTTR):</w:t>
      </w:r>
    </w:p>
    <w:p>
      <w:pPr>
        <w:numPr>
          <w:ilvl w:val="0"/>
          <w:numId w:val="20"/>
        </w:numPr>
        <w:spacing w:before="0" w:after="16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28-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е число: 1 час простоя (не влияет на расчёт отказов, но влияет на общую доступность).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Блок расчётов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Исходные данные:</w:t>
      </w:r>
    </w:p>
    <w:p>
      <w:pPr>
        <w:numPr>
          <w:ilvl w:val="0"/>
          <w:numId w:val="22"/>
        </w:numPr>
        <w:spacing w:before="0" w:after="160" w:line="279"/>
        <w:ind w:right="0" w:left="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Период: 30 дней = 720 ч</w:t>
      </w:r>
    </w:p>
    <w:p>
      <w:pPr>
        <w:numPr>
          <w:ilvl w:val="0"/>
          <w:numId w:val="22"/>
        </w:numPr>
        <w:spacing w:before="0" w:after="160" w:line="279"/>
        <w:ind w:right="0" w:left="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Количество внеплановых отказов n=3n=3.</w:t>
      </w:r>
    </w:p>
    <w:p>
      <w:pPr>
        <w:numPr>
          <w:ilvl w:val="0"/>
          <w:numId w:val="22"/>
        </w:numPr>
        <w:spacing w:before="0" w:after="160" w:line="279"/>
        <w:ind w:right="0" w:left="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Общее время простоев из-за отказов: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Downtimefail=2.5+0.25+3.0=5.75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ч</w:t>
      </w:r>
    </w:p>
    <w:p>
      <w:pPr>
        <w:numPr>
          <w:ilvl w:val="0"/>
          <w:numId w:val="24"/>
        </w:numPr>
        <w:spacing w:before="0" w:after="160" w:line="279"/>
        <w:ind w:right="0" w:left="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Общее время простоя с учётом планового ТО: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Downtimetotal=5.75+1.0=6.75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ч</w:t>
      </w:r>
    </w:p>
    <w:p>
      <w:pPr>
        <w:numPr>
          <w:ilvl w:val="0"/>
          <w:numId w:val="26"/>
        </w:numPr>
        <w:spacing w:before="0" w:after="160" w:line="279"/>
        <w:ind w:right="0" w:left="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Фактическое время работы (Uptime):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Uptime=720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6.75=713.25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ч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2.1. MTBF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среднее время между отказами)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MTBF=Uptimen=713.253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≈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237.75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ч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2.2. MTTR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среднее время восстановления)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MTTR=Downtimefailn=5.753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≈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1.9167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часа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≈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ч 55 мин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Коэффициент готовности (Availability)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A=MTBFMTBF+MTTR×100%=237.75237.75+1.9167×100%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≈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99.20%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Сравнение с SLA (требование 99.5%)</w:t>
      </w:r>
    </w:p>
    <w:p>
      <w:pPr>
        <w:numPr>
          <w:ilvl w:val="0"/>
          <w:numId w:val="28"/>
        </w:numPr>
        <w:spacing w:before="0" w:after="16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Доступность по факту: 99.20%</w:t>
      </w:r>
    </w:p>
    <w:p>
      <w:pPr>
        <w:numPr>
          <w:ilvl w:val="0"/>
          <w:numId w:val="28"/>
        </w:numPr>
        <w:spacing w:before="0" w:after="16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Требование SLA: 99.50%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Вывод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ходе практики рассчитаны MTBF, MTTR и коэффициент готовности системы. Фактическая доступность (99,20%) оказалась ниже требуемой по SLA (99,5%). Основная причина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длительные простои из-за DDoS и сбоя БД. Для выполнения SLA необходимо сокращать MTTR за счёт автоматизации и резервирования.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20">
    <w:abstractNumId w:val="24"/>
  </w:num>
  <w:num w:numId="22">
    <w:abstractNumId w:val="18"/>
  </w:num>
  <w:num w:numId="24">
    <w:abstractNumId w:val="12"/>
  </w:num>
  <w:num w:numId="26">
    <w:abstractNumId w:val="6"/>
  </w:num>
  <w:num w:numId="2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