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8220"/>
          </w:tcPr>
          <w:p>
            <w:pPr>
              <w:spacing w:before="0" w:after="160" w:line="264" w:lineRule="auto"/>
            </w:pPr>
            <w:r/>
            <w:r>
              <w:rPr>
                <w:rFonts w:ascii="微软雅黑" w:hAnsi="微软雅黑" w:eastAsia="微软雅黑"/>
                <w:b/>
                <w:color w:val="111111"/>
                <w:sz w:val="52"/>
              </w:rPr>
              <w:t>傅怡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110"/>
              <w:gridCol w:w="4110"/>
            </w:tblGrid>
            <w:tr>
              <w:tc>
                <w:tcPr>
                  <w:tcW w:type="dxa" w:w="4110"/>
                </w:tcPr>
                <w:p>
                  <w:pPr>
                    <w:spacing w:before="0" w:after="40" w:line="300" w:lineRule="auto"/>
                  </w:pPr>
                  <w:r/>
                  <w:r>
                    <w:rPr>
                      <w:rFonts w:ascii="微软雅黑" w:hAnsi="微软雅黑" w:eastAsia="微软雅黑"/>
                      <w:b w:val="0"/>
                      <w:color w:val="111111"/>
                      <w:sz w:val="21"/>
                    </w:rPr>
                    <w:t>求职：UI / 视觉设计师（C端）</w:t>
                  </w:r>
                </w:p>
              </w:tc>
              <w:tc>
                <w:tcPr>
                  <w:tcW w:type="dxa" w:w="4110"/>
                </w:tcPr>
                <w:p>
                  <w:pPr>
                    <w:spacing w:before="0" w:after="40" w:line="300" w:lineRule="auto"/>
                  </w:pPr>
                  <w:r/>
                  <w:r>
                    <w:rPr>
                      <w:rFonts w:ascii="微软雅黑" w:hAnsi="微软雅黑" w:eastAsia="微软雅黑"/>
                      <w:b w:val="0"/>
                      <w:color w:val="111111"/>
                      <w:sz w:val="21"/>
                    </w:rPr>
                    <w:t>城市：深圳</w:t>
                  </w:r>
                </w:p>
              </w:tc>
            </w:tr>
            <w:tr>
              <w:tc>
                <w:tcPr>
                  <w:tcW w:type="dxa" w:w="4110"/>
                </w:tcPr>
                <w:p>
                  <w:pPr>
                    <w:spacing w:before="0" w:after="40" w:line="300" w:lineRule="auto"/>
                  </w:pPr>
                  <w:r/>
                  <w:r>
                    <w:rPr>
                      <w:rFonts w:ascii="微软雅黑" w:hAnsi="微软雅黑" w:eastAsia="微软雅黑"/>
                      <w:b w:val="0"/>
                      <w:color w:val="111111"/>
                      <w:sz w:val="21"/>
                    </w:rPr>
                    <w:t>电话：13177850203</w:t>
                  </w:r>
                </w:p>
              </w:tc>
              <w:tc>
                <w:tcPr>
                  <w:tcW w:type="dxa" w:w="4110"/>
                </w:tcPr>
                <w:p>
                  <w:pPr>
                    <w:spacing w:before="0" w:after="40" w:line="300" w:lineRule="auto"/>
                  </w:pPr>
                  <w:r/>
                  <w:r>
                    <w:rPr>
                      <w:rFonts w:ascii="微软雅黑" w:hAnsi="微软雅黑" w:eastAsia="微软雅黑"/>
                      <w:b w:val="0"/>
                      <w:color w:val="111111"/>
                      <w:sz w:val="21"/>
                    </w:rPr>
                    <w:t>邮箱：3528544024@qq.com</w:t>
                  </w:r>
                </w:p>
              </w:tc>
            </w:tr>
            <w:tr>
              <w:tc>
                <w:tcPr>
                  <w:tcW w:type="dxa" w:w="4110"/>
                </w:tcPr>
                <w:p>
                  <w:pPr>
                    <w:spacing w:before="0" w:after="40" w:line="300" w:lineRule="auto"/>
                  </w:pPr>
                  <w:r/>
                  <w:r>
                    <w:rPr>
                      <w:rFonts w:ascii="微软雅黑" w:hAnsi="微软雅黑" w:eastAsia="微软雅黑"/>
                      <w:b w:val="0"/>
                      <w:color w:val="111111"/>
                      <w:sz w:val="21"/>
                    </w:rPr>
                    <w:t>届别：2027届（可实习）</w:t>
                  </w:r>
                </w:p>
              </w:tc>
              <w:tc>
                <w:tcPr>
                  <w:tcW w:type="dxa" w:w="4110"/>
                </w:tcPr>
                <w:p>
                  <w:pPr>
                    <w:spacing w:before="0" w:after="40" w:line="300" w:lineRule="auto"/>
                  </w:pPr>
                  <w:r/>
                  <w:r>
                    <w:rPr>
                      <w:rFonts w:ascii="微软雅黑" w:hAnsi="微软雅黑" w:eastAsia="微软雅黑"/>
                      <w:b w:val="0"/>
                      <w:color w:val="111111"/>
                      <w:sz w:val="21"/>
                    </w:rPr>
                    <w:t>作品集：制作中，可索取</w:t>
                  </w:r>
                </w:p>
              </w:tc>
            </w:tr>
          </w:tbl>
          <w:p/>
        </w:tc>
        <w:tc>
          <w:tcPr>
            <w:tcW w:type="dxa" w:w="1587"/>
            <w:tcBorders>
              <w:top w:val="single" w:sz="8" w:color="D0D5DD"/>
              <w:left w:val="single" w:sz="8" w:color="D0D5DD"/>
              <w:bottom w:val="single" w:sz="8" w:color="D0D5DD"/>
              <w:right w:val="single" w:sz="8" w:color="D0D5DD"/>
            </w:tcBorders>
          </w:tcPr>
          <w:p>
            <w:pPr>
              <w:spacing w:before="0" w:after="0" w:line="288" w:lineRule="auto"/>
              <w:jc w:val="center"/>
            </w:pPr>
            <w:r/>
          </w:p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98A2B3"/>
                <w:sz w:val="18"/>
              </w:rPr>
              <w:t>一寸照</w:t>
              <w:br/>
              <w:t>可替换</w:t>
            </w:r>
          </w:p>
        </w:tc>
      </w:tr>
    </w:tbl>
    <w:p>
      <w:pPr>
        <w:spacing w:before="200" w:after="120" w:line="288" w:lineRule="auto"/>
        <w:pBdr>
          <w:bottom w:val="single" w:sz="6" w:space="4" w:color="CFD6E0"/>
        </w:pBdr>
      </w:pPr>
      <w:r>
        <w:rPr>
          <w:rFonts w:ascii="微软雅黑" w:hAnsi="微软雅黑" w:eastAsia="微软雅黑"/>
          <w:b/>
          <w:color w:val="111111"/>
          <w:sz w:val="24"/>
        </w:rPr>
        <w:t>教育经历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11111"/>
                <w:sz w:val="21"/>
              </w:rPr>
              <w:t>2023.09 – 2027.07</w:t>
            </w:r>
          </w:p>
        </w:tc>
        <w:tc>
          <w:tcPr>
            <w:tcW w:type="dxa" w:w="493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300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11111"/>
                <w:sz w:val="21"/>
              </w:rPr>
              <w:t>豫章师范学院</w:t>
            </w:r>
          </w:p>
        </w:tc>
      </w:tr>
    </w:tbl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color w:val="444444"/>
          <w:sz w:val="21"/>
        </w:rPr>
        <w:t>视觉传达设计｜本科</w:t>
      </w:r>
    </w:p>
    <w:p>
      <w:pPr>
        <w:spacing w:before="200" w:after="120" w:line="288" w:lineRule="auto"/>
        <w:pBdr>
          <w:bottom w:val="single" w:sz="6" w:space="4" w:color="CFD6E0"/>
        </w:pBdr>
      </w:pPr>
      <w:r>
        <w:rPr>
          <w:rFonts w:ascii="微软雅黑" w:hAnsi="微软雅黑" w:eastAsia="微软雅黑"/>
          <w:b/>
          <w:color w:val="111111"/>
          <w:sz w:val="24"/>
        </w:rPr>
        <w:t>专业技能</w:t>
      </w:r>
    </w:p>
    <w:p>
      <w:pPr>
        <w:spacing w:before="0" w:after="8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【界面设计】</w:t>
      </w:r>
      <w:r>
        <w:rPr>
          <w:rFonts w:ascii="微软雅黑" w:hAnsi="微软雅黑" w:eastAsia="微软雅黑"/>
          <w:b w:val="0"/>
          <w:color w:val="111111"/>
          <w:sz w:val="21"/>
        </w:rPr>
        <w:t xml:space="preserve">熟练使用 </w:t>
      </w:r>
      <w:r>
        <w:rPr>
          <w:rFonts w:ascii="微软雅黑" w:hAnsi="微软雅黑" w:eastAsia="微软雅黑"/>
          <w:b/>
          <w:color w:val="2F6FED"/>
          <w:sz w:val="21"/>
        </w:rPr>
        <w:t>Figma</w:t>
      </w:r>
      <w:r>
        <w:rPr>
          <w:rFonts w:ascii="微软雅黑" w:hAnsi="微软雅黑" w:eastAsia="微软雅黑"/>
          <w:b w:val="0"/>
          <w:color w:val="111111"/>
          <w:sz w:val="21"/>
        </w:rPr>
        <w:t xml:space="preserve"> 完成 C 端界面设计，掌握 Auto Layout、组件化与基础设计规范（色彩 / 字体 / 间距），能输出便于标注与还原的界面稿。</w:t>
      </w:r>
    </w:p>
    <w:p>
      <w:pPr>
        <w:spacing w:before="0" w:after="8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【视觉执行】</w:t>
      </w:r>
      <w:r>
        <w:rPr>
          <w:rFonts w:ascii="微软雅黑" w:hAnsi="微软雅黑" w:eastAsia="微软雅黑"/>
          <w:b w:val="0"/>
          <w:color w:val="111111"/>
          <w:sz w:val="21"/>
        </w:rPr>
        <w:t xml:space="preserve">熟练使用 </w:t>
      </w:r>
      <w:r>
        <w:rPr>
          <w:rFonts w:ascii="微软雅黑" w:hAnsi="微软雅黑" w:eastAsia="微软雅黑"/>
          <w:b/>
          <w:color w:val="2F6FED"/>
          <w:sz w:val="21"/>
        </w:rPr>
        <w:t>Photoshop、Illustrator</w:t>
      </w:r>
      <w:r>
        <w:rPr>
          <w:rFonts w:ascii="微软雅黑" w:hAnsi="微软雅黑" w:eastAsia="微软雅黑"/>
          <w:b w:val="0"/>
          <w:color w:val="111111"/>
          <w:sz w:val="21"/>
        </w:rPr>
        <w:t>，具备主 KV、图标、运营物料与样机呈现能力；具备品牌 IP / 角色视觉延展经验。</w:t>
      </w:r>
    </w:p>
    <w:p>
      <w:pPr>
        <w:spacing w:before="0" w:after="8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【AI 设计工具】</w:t>
      </w:r>
      <w:r>
        <w:rPr>
          <w:rFonts w:ascii="微软雅黑" w:hAnsi="微软雅黑" w:eastAsia="微软雅黑"/>
          <w:b w:val="0"/>
          <w:color w:val="111111"/>
          <w:sz w:val="21"/>
        </w:rPr>
        <w:t xml:space="preserve">熟练使用 </w:t>
      </w:r>
      <w:r>
        <w:rPr>
          <w:rFonts w:ascii="微软雅黑" w:hAnsi="微软雅黑" w:eastAsia="微软雅黑"/>
          <w:b/>
          <w:color w:val="2F6FED"/>
          <w:sz w:val="21"/>
        </w:rPr>
        <w:t>ChatGPT、Gemini、即梦、哩布哩布</w:t>
      </w:r>
      <w:r>
        <w:rPr>
          <w:rFonts w:ascii="微软雅黑" w:hAnsi="微软雅黑" w:eastAsia="微软雅黑"/>
          <w:b w:val="0"/>
          <w:color w:val="111111"/>
          <w:sz w:val="21"/>
        </w:rPr>
        <w:t xml:space="preserve"> 等主流 AI：用大模型辅助信息架构与文案梳理，用图像生成做风格探索与素材发散，再回到设计工具完成筛选、规范统一与界面落地。</w:t>
      </w:r>
    </w:p>
    <w:p>
      <w:pPr>
        <w:spacing w:before="0" w:after="8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【产品协作意识】</w:t>
      </w:r>
      <w:r>
        <w:rPr>
          <w:rFonts w:ascii="微软雅黑" w:hAnsi="微软雅黑" w:eastAsia="微软雅黑"/>
          <w:b w:val="0"/>
          <w:color w:val="111111"/>
          <w:sz w:val="21"/>
        </w:rPr>
        <w:t>能梳理首页到核心功能的信息层级，关注状态表达与多屏一致性，适配互联网团队协作节奏。</w:t>
      </w:r>
    </w:p>
    <w:p>
      <w:pPr>
        <w:spacing w:before="200" w:after="120" w:line="288" w:lineRule="auto"/>
        <w:pBdr>
          <w:bottom w:val="single" w:sz="6" w:space="4" w:color="CFD6E0"/>
        </w:pBdr>
      </w:pPr>
      <w:r>
        <w:rPr>
          <w:rFonts w:ascii="微软雅黑" w:hAnsi="微软雅黑" w:eastAsia="微软雅黑"/>
          <w:b/>
          <w:color w:val="111111"/>
          <w:sz w:val="24"/>
        </w:rPr>
        <w:t>项目经历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11111"/>
                <w:sz w:val="21"/>
              </w:rPr>
              <w:t>2025</w:t>
            </w:r>
          </w:p>
        </w:tc>
        <w:tc>
          <w:tcPr>
            <w:tcW w:type="dxa" w:w="493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300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11111"/>
                <w:sz w:val="21"/>
              </w:rPr>
              <w:t>大理·文化信息体验小程序 / Web</w:t>
            </w:r>
          </w:p>
        </w:tc>
      </w:tr>
    </w:tbl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color w:val="444444"/>
          <w:sz w:val="20"/>
        </w:rPr>
        <w:t>界面与视觉设计（课程项目 / 独立完成）</w:t>
      </w:r>
    </w:p>
    <w:p>
      <w:pPr>
        <w:spacing w:before="0" w:after="4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项目概述：</w:t>
      </w:r>
      <w:r>
        <w:rPr>
          <w:rFonts w:ascii="微软雅黑" w:hAnsi="微软雅黑" w:eastAsia="微软雅黑"/>
          <w:b w:val="0"/>
          <w:color w:val="111111"/>
          <w:sz w:val="21"/>
        </w:rPr>
        <w:t>面向年轻游客的大理文旅数字化体验，独立完成微信小程序核心界面与 Web 专题页，从文化符号提取到多端界面落地形成完整闭环。</w:t>
      </w:r>
    </w:p>
    <w:p>
      <w:pPr>
        <w:spacing w:before="0" w:after="4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【信息架构与主路径】</w:t>
      </w:r>
      <w:r>
        <w:rPr>
          <w:rFonts w:ascii="微软雅黑" w:hAnsi="微软雅黑" w:eastAsia="微软雅黑"/>
          <w:b w:val="0"/>
          <w:color w:val="111111"/>
          <w:sz w:val="21"/>
        </w:rPr>
        <w:t>梳理文化 / 景点 / 文创 / 攻略等模块，完成引导进入到内容详情的主路径设计，降低信息查找成本。</w:t>
      </w:r>
    </w:p>
    <w:p>
      <w:pPr>
        <w:spacing w:before="0" w:after="16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【视觉体系与规范】</w:t>
      </w:r>
      <w:r>
        <w:rPr>
          <w:rFonts w:ascii="微软雅黑" w:hAnsi="微软雅黑" w:eastAsia="微软雅黑"/>
          <w:b w:val="0"/>
          <w:color w:val="111111"/>
          <w:sz w:val="21"/>
        </w:rPr>
        <w:t xml:space="preserve">提取扎染、瓦猫等符号落地 Logo、图标与蓝白视觉语言；结合 </w:t>
      </w:r>
      <w:r>
        <w:rPr>
          <w:rFonts w:ascii="微软雅黑" w:hAnsi="微软雅黑" w:eastAsia="微软雅黑"/>
          <w:b/>
          <w:color w:val="2F6FED"/>
          <w:sz w:val="21"/>
        </w:rPr>
        <w:t>ChatGPT / 即梦 / 哩布哩布</w:t>
      </w:r>
      <w:r>
        <w:rPr>
          <w:rFonts w:ascii="微软雅黑" w:hAnsi="微软雅黑" w:eastAsia="微软雅黑"/>
          <w:b w:val="0"/>
          <w:color w:val="111111"/>
          <w:sz w:val="21"/>
        </w:rPr>
        <w:t xml:space="preserve"> 辅助结构梳理与风格探索，并在设计工具中完成规范统一与落地。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11111"/>
                <w:sz w:val="21"/>
              </w:rPr>
              <w:t>2025</w:t>
            </w:r>
          </w:p>
        </w:tc>
        <w:tc>
          <w:tcPr>
            <w:tcW w:type="dxa" w:w="493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300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11111"/>
                <w:sz w:val="21"/>
              </w:rPr>
              <w:t>娃哈哈 AD 钙 · 品牌年轻化数字体验</w:t>
            </w:r>
          </w:p>
        </w:tc>
      </w:tr>
    </w:tbl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color w:val="444444"/>
          <w:sz w:val="20"/>
        </w:rPr>
        <w:t>品牌视觉 / 界面视觉（个人练习，非官方项目）</w:t>
      </w:r>
    </w:p>
    <w:p>
      <w:pPr>
        <w:spacing w:before="0" w:after="4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项目概述：</w:t>
      </w:r>
      <w:r>
        <w:rPr>
          <w:rFonts w:ascii="微软雅黑" w:hAnsi="微软雅黑" w:eastAsia="微软雅黑"/>
          <w:b w:val="0"/>
          <w:color w:val="111111"/>
          <w:sz w:val="21"/>
        </w:rPr>
        <w:t>围绕儿童营养与亲子场景，完成品牌年轻化方向的视觉探索，输出品牌调性、图标体系与 App 核心界面视觉，强化 IP 与情感化表达。</w:t>
      </w:r>
    </w:p>
    <w:p>
      <w:pPr>
        <w:spacing w:before="0" w:after="4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【品牌与 IP 表达】</w:t>
      </w:r>
      <w:r>
        <w:rPr>
          <w:rFonts w:ascii="微软雅黑" w:hAnsi="微软雅黑" w:eastAsia="微软雅黑"/>
          <w:b w:val="0"/>
          <w:color w:val="111111"/>
          <w:sz w:val="21"/>
        </w:rPr>
        <w:t xml:space="preserve">建立色板与 </w:t>
      </w:r>
      <w:r>
        <w:rPr>
          <w:rFonts w:ascii="微软雅黑" w:hAnsi="微软雅黑" w:eastAsia="微软雅黑"/>
          <w:b/>
          <w:color w:val="2F6FED"/>
          <w:sz w:val="21"/>
        </w:rPr>
        <w:t>3D 图标</w:t>
      </w:r>
      <w:r>
        <w:rPr>
          <w:rFonts w:ascii="微软雅黑" w:hAnsi="微软雅黑" w:eastAsia="微软雅黑"/>
          <w:b w:val="0"/>
          <w:color w:val="111111"/>
          <w:sz w:val="21"/>
        </w:rPr>
        <w:t xml:space="preserve"> 体系，产出主视觉 KV 与功能展示页，突出年轻化、亲和的品牌气质。</w:t>
      </w:r>
    </w:p>
    <w:p>
      <w:pPr>
        <w:spacing w:before="0" w:after="16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【界面转化】</w:t>
      </w:r>
      <w:r>
        <w:rPr>
          <w:rFonts w:ascii="微软雅黑" w:hAnsi="微软雅黑" w:eastAsia="微软雅黑"/>
          <w:b w:val="0"/>
          <w:color w:val="111111"/>
          <w:sz w:val="21"/>
        </w:rPr>
        <w:t>结合竞品与信息层级整理，将产品展示、营养教育、会员互动等模块转化为可落地的首页及核心功能布局。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11111"/>
                <w:sz w:val="21"/>
              </w:rPr>
              <w:t>2025</w:t>
            </w:r>
          </w:p>
        </w:tc>
        <w:tc>
          <w:tcPr>
            <w:tcW w:type="dxa" w:w="493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300" w:lineRule="auto"/>
              <w:jc w:val="right"/>
            </w:pPr>
            <w:r/>
            <w:r>
              <w:rPr>
                <w:rFonts w:ascii="微软雅黑" w:hAnsi="微软雅黑" w:eastAsia="微软雅黑"/>
                <w:b/>
                <w:color w:val="111111"/>
                <w:sz w:val="21"/>
              </w:rPr>
              <w:t>查件 · 快递查询工具 App UI</w:t>
            </w:r>
          </w:p>
        </w:tc>
      </w:tr>
    </w:tbl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color w:val="444444"/>
          <w:sz w:val="20"/>
        </w:rPr>
        <w:t>UI 设计（个人项目 / 独立完成）</w:t>
      </w:r>
    </w:p>
    <w:p>
      <w:pPr>
        <w:spacing w:before="0" w:after="4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项目概述：</w:t>
      </w:r>
      <w:r>
        <w:rPr>
          <w:rFonts w:ascii="微软雅黑" w:hAnsi="微软雅黑" w:eastAsia="微软雅黑"/>
          <w:b w:val="0"/>
          <w:color w:val="111111"/>
          <w:sz w:val="21"/>
        </w:rPr>
        <w:t>面向高频查件场景，独立完成工具类 App 核心界面与精简设计规范，强调清晰、克制、可开发还原的产品视觉。</w:t>
      </w:r>
    </w:p>
    <w:p>
      <w:pPr>
        <w:spacing w:before="0" w:after="4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【核心界面】</w:t>
      </w:r>
      <w:r>
        <w:rPr>
          <w:rFonts w:ascii="微软雅黑" w:hAnsi="微软雅黑" w:eastAsia="微软雅黑"/>
          <w:b w:val="0"/>
          <w:color w:val="111111"/>
          <w:sz w:val="21"/>
        </w:rPr>
        <w:t>设计包裹列表、物流详情时间轴、添加快递、个人中心等页面，针对在途 / 派送 / 签收等状态区分信息层级。</w:t>
      </w:r>
    </w:p>
    <w:p>
      <w:pPr>
        <w:spacing w:before="0" w:after="120" w:line="336" w:lineRule="auto"/>
        <w:jc w:val="both"/>
      </w:pPr>
      <w:r>
        <w:rPr>
          <w:rFonts w:ascii="微软雅黑" w:hAnsi="微软雅黑" w:eastAsia="微软雅黑"/>
          <w:b/>
          <w:color w:val="111111"/>
          <w:sz w:val="21"/>
        </w:rPr>
        <w:t>【组件一致性】</w:t>
      </w:r>
      <w:r>
        <w:rPr>
          <w:rFonts w:ascii="微软雅黑" w:hAnsi="微软雅黑" w:eastAsia="微软雅黑"/>
          <w:b w:val="0"/>
          <w:color w:val="111111"/>
          <w:sz w:val="21"/>
        </w:rPr>
        <w:t>建立列表卡片、状态标签、时间轴等组件，统一多屏视觉语言，提升界面完整度与落地效率。</w:t>
      </w:r>
    </w:p>
    <w:p>
      <w:pPr>
        <w:spacing w:before="200" w:after="120" w:line="288" w:lineRule="auto"/>
        <w:pBdr>
          <w:bottom w:val="single" w:sz="6" w:space="4" w:color="CFD6E0"/>
        </w:pBdr>
      </w:pPr>
      <w:r>
        <w:rPr>
          <w:rFonts w:ascii="微软雅黑" w:hAnsi="微软雅黑" w:eastAsia="微软雅黑"/>
          <w:b/>
          <w:color w:val="111111"/>
          <w:sz w:val="24"/>
        </w:rPr>
        <w:t>自我评价</w:t>
      </w:r>
    </w:p>
    <w:p>
      <w:pPr>
        <w:spacing w:before="0" w:after="0" w:line="336" w:lineRule="auto"/>
        <w:jc w:val="both"/>
      </w:pPr>
      <w:r>
        <w:rPr>
          <w:rFonts w:ascii="微软雅黑" w:hAnsi="微软雅黑" w:eastAsia="微软雅黑"/>
          <w:b w:val="0"/>
          <w:color w:val="111111"/>
          <w:sz w:val="21"/>
        </w:rPr>
        <w:t xml:space="preserve">视觉传达专业在读，具备排版、色彩与品牌视觉基础，并持续向 </w:t>
      </w:r>
      <w:r>
        <w:rPr>
          <w:rFonts w:ascii="微软雅黑" w:hAnsi="微软雅黑" w:eastAsia="微软雅黑"/>
          <w:b/>
          <w:color w:val="2F6FED"/>
          <w:sz w:val="21"/>
        </w:rPr>
        <w:t>C 端 UI / 产品视觉</w:t>
      </w:r>
      <w:r>
        <w:rPr>
          <w:rFonts w:ascii="微软雅黑" w:hAnsi="微软雅黑" w:eastAsia="微软雅黑"/>
          <w:b w:val="0"/>
          <w:color w:val="111111"/>
          <w:sz w:val="21"/>
        </w:rPr>
        <w:t xml:space="preserve"> 转化；能将 </w:t>
      </w:r>
      <w:r>
        <w:rPr>
          <w:rFonts w:ascii="微软雅黑" w:hAnsi="微软雅黑" w:eastAsia="微软雅黑"/>
          <w:b/>
          <w:color w:val="2F6FED"/>
          <w:sz w:val="21"/>
        </w:rPr>
        <w:t>ChatGPT、Gemini、即梦、哩布哩布</w:t>
      </w:r>
      <w:r>
        <w:rPr>
          <w:rFonts w:ascii="微软雅黑" w:hAnsi="微软雅黑" w:eastAsia="微软雅黑"/>
          <w:b w:val="0"/>
          <w:color w:val="111111"/>
          <w:sz w:val="21"/>
        </w:rPr>
        <w:t xml:space="preserve"> 融入设计工作流，重视规范与信息层级，能以完整项目呈现作品。求职方向为互联网 UI / 视觉设计（含 2027 届实习），可快速融入团队协作。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