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hyperlink r:id="rId6">
        <w:r w:rsidDel="00000000" w:rsidR="00000000" w:rsidRPr="00000000">
          <w:rPr>
            <w:color w:val="1155cc"/>
            <w:u w:val="single"/>
            <w:rtl w:val="0"/>
          </w:rPr>
          <w:t xml:space="preserve">wizardlouis97@gmail.com</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22/08/13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folder includes two types of files, png and tiff. Use whichever is more convenient for you.</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They are kymographs from an tube experiment, where one end of the tube is connected to a mitotic source (cytoplasmic extract supplemented with high concentrations of non-degradable cyclin B) and the tubes are filled with cycling extract containing various concentrations of CCCP (concentration indicated in the file name). The up boundary of the kymographs are typically where the two types of extracts meet. Whereas the bottom does are not the other end of the tube. The tubes are extended beyond the imaging fields.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y-axes of the kymographs indicate distance. Each pixel in this direction represents 2.58*4 = 10.32 um (rescaled, I can generate pictures of finer resolution if needed later). The x-axes are time. The movies were taken in the frame rate of 0.2 min-1 (or 5 min intervals). For visualization purposes, I stretched the pixels by a factor of 10. Hence, each pixel in the x direction represents 0.5 min.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For this experiment, I also included ATP/ADP sensor measurements. I am going to analyze those and give you a report.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wizardlouis9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