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sonohl-task-1-audit-plan"/>
    <w:p>
      <w:pPr>
        <w:pStyle w:val="Heading1"/>
      </w:pPr>
      <w:r>
        <w:t xml:space="preserve">SonoHL Task 1 Audit Plan</w:t>
      </w:r>
    </w:p>
    <w:bookmarkStart w:id="21" w:name="executive-summary"/>
    <w:p>
      <w:pPr>
        <w:pStyle w:val="Heading2"/>
      </w:pPr>
      <w:r>
        <w:t xml:space="preserve">Executive Summary</w:t>
      </w:r>
    </w:p>
    <w:p>
      <w:pPr>
        <w:pStyle w:val="FirstParagraph"/>
      </w:pPr>
      <w:r>
        <w:t xml:space="preserve">SonoHL is pursuing a pre-FDA operating plan whose purpose is not only future authorization, but reimbursement readiness at launch: the roadmap is designed so that every item that can legally be completed before marketing authorization is finished in advance, and every gated item is made submission-ready for immediate activation once FDA authorization arrives. The whitepaper describes SonoHL as a wearable, multi-point acoustic platform for cardiopulmonary assessment, clinician review, and possible remote use, but it also explicitly warns that statistics, performance claims, trial status, and regulatory language still require confirmation before external publication. fileciteturn0file0 fileciteturn0file1</w:t>
      </w:r>
    </w:p>
    <w:p>
      <w:pPr>
        <w:pStyle w:val="BodyText"/>
      </w:pPr>
      <w:r>
        <w:t xml:space="preserve">Task 1 of 22 is</w:t>
      </w:r>
      <w:r>
        <w:t xml:space="preserve"> </w:t>
      </w:r>
      <w:r>
        <w:rPr>
          <w:b/>
          <w:bCs/>
        </w:rPr>
        <w:t xml:space="preserve">A0: Audit every website page and all collateral as labeling</w:t>
      </w:r>
      <w:r>
        <w:t xml:space="preserve">. This is the correct starting point. It is the foundation for the next five communications-and-positioning tasks and, practically, for the rest of the roadmap, because the project currently has unresolved claim risk around terms such as diagnostics, abnormal-heart-sound detection, remote monitoring readiness, hardware configuration, and clinical-trial status. The roadmap itself treats A0 as a pre-approval item that must be fully closed before FDA marketing authorization. fileciteturn0file0 fileciteturn0file1</w:t>
      </w:r>
    </w:p>
    <w:p>
      <w:pPr>
        <w:pStyle w:val="BodyText"/>
      </w:pPr>
      <w:r>
        <w:t xml:space="preserve">My recommendation is a</w:t>
      </w:r>
      <w:r>
        <w:t xml:space="preserve"> </w:t>
      </w:r>
      <w:r>
        <w:rPr>
          <w:b/>
          <w:bCs/>
        </w:rPr>
        <w:t xml:space="preserve">Conditional Go</w:t>
      </w:r>
      <w:r>
        <w:t xml:space="preserve">. There is enough information to start A0 immediately, but not enough to declare it complete without additional inputs the roadmap specifically requires: full asset access, archived copies, approval history, evidence references, owner assignments, and named Regulatory/Legal approvers. In a small four-person working team, an immediate draft-level A0 package is realistically a</w:t>
      </w:r>
      <w:r>
        <w:t xml:space="preserve"> </w:t>
      </w:r>
      <w:r>
        <w:rPr>
          <w:b/>
          <w:bCs/>
        </w:rPr>
        <w:t xml:space="preserve">one-week sprint</w:t>
      </w:r>
      <w:r>
        <w:t xml:space="preserve">, with</w:t>
      </w:r>
      <w:r>
        <w:t xml:space="preserve"> </w:t>
      </w:r>
      <w:r>
        <w:rPr>
          <w:b/>
          <w:bCs/>
        </w:rPr>
        <w:t xml:space="preserve">two weeks total</w:t>
      </w:r>
      <w:r>
        <w:t xml:space="preserve"> </w:t>
      </w:r>
      <w:r>
        <w:t xml:space="preserve">to reach a review-ready state if counsel is available and website/social/partner assets are accessible. That estimate aligns with the roadmap’s Phase 0 timing of Weeks 0–2 and its first-15-days priorities. fileciteturn0file0</w:t>
      </w:r>
    </w:p>
    <w:bookmarkEnd w:id="21"/>
    <w:bookmarkStart w:id="22" w:name="Xb979ee90b05928951126f1dd2ee50ecf7c35cf0"/>
    <w:p>
      <w:pPr>
        <w:pStyle w:val="Heading2"/>
      </w:pPr>
      <w:r>
        <w:t xml:space="preserve">Project context and the full 22-task roadmap</w:t>
      </w:r>
    </w:p>
    <w:p>
      <w:pPr>
        <w:pStyle w:val="FirstParagraph"/>
      </w:pPr>
      <w:r>
        <w:t xml:space="preserve">The overall project is a reimbursement-readiness and pre-FDA execution roadmap for SonoHL. Its core strategy is to treat FDA marketing authorization as the final gate rather than the starting point, by aligning claims, intended use, clinical evidence, coding strategy, payer materials, and launch-day workflows before authorization arrives. The roadmap organizes the work into seven phases from early governance and claims freeze through authorization-day launch readiness. fileciteturn0file0</w:t>
      </w:r>
    </w:p>
    <w:p>
      <w:pPr>
        <w:pStyle w:val="BodyText"/>
      </w:pPr>
      <w:r>
        <w:t xml:space="preserve">The 22 tasks below are a concise paraphrase of the roadmap crosswalk and task specifications. The “Task 1” requested here corresponds to</w:t>
      </w:r>
      <w:r>
        <w:t xml:space="preserve"> </w:t>
      </w:r>
      <w:r>
        <w:rPr>
          <w:b/>
          <w:bCs/>
        </w:rPr>
        <w:t xml:space="preserve">A0</w:t>
      </w:r>
      <w:r>
        <w:t xml:space="preserve">. fileciteturn0file0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One-line task summary</w:t>
            </w:r>
          </w:p>
        </w:tc>
        <w:tc>
          <w:tcPr/>
          <w:p>
            <w:pPr>
              <w:pStyle w:val="Compact"/>
            </w:pPr>
            <w:r>
              <w:t xml:space="preserve">Pre-authorization target</w:t>
            </w:r>
          </w:p>
        </w:tc>
      </w:tr>
      <w:tr>
        <w:tc>
          <w:tcPr/>
          <w:p>
            <w:pPr>
              <w:pStyle w:val="Compact"/>
            </w:pPr>
            <w:r>
              <w:t xml:space="preserve">A0</w:t>
            </w:r>
          </w:p>
        </w:tc>
        <w:tc>
          <w:tcPr/>
          <w:p>
            <w:pPr>
              <w:pStyle w:val="Compact"/>
            </w:pPr>
            <w:r>
              <w:t xml:space="preserve">Audit all website pages and collateral as labeling; inventory every external asset and decompose it into claims.</w:t>
            </w:r>
          </w:p>
        </w:tc>
        <w:tc>
          <w:tcPr/>
          <w:p>
            <w:pPr>
              <w:pStyle w:val="Compact"/>
            </w:pPr>
            <w:r>
              <w:t xml:space="preserve">Close before FDA decision</w:t>
            </w:r>
          </w:p>
        </w:tc>
      </w:tr>
      <w:tr>
        <w:tc>
          <w:tcPr/>
          <w:p>
            <w:pPr>
              <w:pStyle w:val="Compact"/>
            </w:pPr>
            <w:r>
              <w:t xml:space="preserve">A1</w:t>
            </w:r>
          </w:p>
        </w:tc>
        <w:tc>
          <w:tcPr/>
          <w:p>
            <w:pPr>
              <w:pStyle w:val="Compact"/>
            </w:pPr>
            <w:r>
              <w:t xml:space="preserve">Remove forbidden or unsupported public terms and replace them with controlled language.</w:t>
            </w:r>
          </w:p>
        </w:tc>
        <w:tc>
          <w:tcPr/>
          <w:p>
            <w:pPr>
              <w:pStyle w:val="Compact"/>
            </w:pPr>
            <w:r>
              <w:t xml:space="preserve">Close before FDA decision</w:t>
            </w:r>
          </w:p>
        </w:tc>
      </w:tr>
      <w:tr>
        <w:tc>
          <w:tcPr/>
          <w:p>
            <w:pPr>
              <w:pStyle w:val="Compact"/>
            </w:pPr>
            <w:r>
              <w:t xml:space="preserve">A2</w:t>
            </w:r>
          </w:p>
        </w:tc>
        <w:tc>
          <w:tcPr/>
          <w:p>
            <w:pPr>
              <w:pStyle w:val="Compact"/>
            </w:pPr>
            <w:r>
              <w:t xml:space="preserve">Add and control the investigational-device disclaimer across all active channels and study materials.</w:t>
            </w:r>
          </w:p>
        </w:tc>
        <w:tc>
          <w:tcPr/>
          <w:p>
            <w:pPr>
              <w:pStyle w:val="Compact"/>
            </w:pPr>
            <w:r>
              <w:t xml:space="preserve">Close before FDA decision</w:t>
            </w:r>
          </w:p>
        </w:tc>
      </w:tr>
      <w:tr>
        <w:tc>
          <w:tcPr/>
          <w:p>
            <w:pPr>
              <w:pStyle w:val="Compact"/>
            </w:pPr>
            <w:r>
              <w:t xml:space="preserve">A3</w:t>
            </w:r>
          </w:p>
        </w:tc>
        <w:tc>
          <w:tcPr/>
          <w:p>
            <w:pPr>
              <w:pStyle w:val="Compact"/>
            </w:pPr>
            <w:r>
              <w:t xml:space="preserve">Draft a precise candidate intended-use and indications-for-use statement.</w:t>
            </w:r>
          </w:p>
        </w:tc>
        <w:tc>
          <w:tcPr/>
          <w:p>
            <w:pPr>
              <w:pStyle w:val="Compact"/>
            </w:pPr>
            <w:r>
              <w:t xml:space="preserve">Close before FDA decision</w:t>
            </w:r>
          </w:p>
        </w:tc>
      </w:tr>
      <w:tr>
        <w:tc>
          <w:tcPr/>
          <w:p>
            <w:pPr>
              <w:pStyle w:val="Compact"/>
            </w:pPr>
            <w:r>
              <w:t xml:space="preserve">A4</w:t>
            </w:r>
          </w:p>
        </w:tc>
        <w:tc>
          <w:tcPr/>
          <w:p>
            <w:pPr>
              <w:pStyle w:val="Compact"/>
            </w:pPr>
            <w:r>
              <w:t xml:space="preserve">Obtain formal FDA regulatory counsel review of use claims, pathway logic, and communications.</w:t>
            </w:r>
          </w:p>
        </w:tc>
        <w:tc>
          <w:tcPr/>
          <w:p>
            <w:pPr>
              <w:pStyle w:val="Compact"/>
            </w:pPr>
            <w:r>
              <w:t xml:space="preserve">Close before FDA decision</w:t>
            </w:r>
          </w:p>
        </w:tc>
      </w:tr>
      <w:tr>
        <w:tc>
          <w:tcPr/>
          <w:p>
            <w:pPr>
              <w:pStyle w:val="Compact"/>
            </w:pPr>
            <w:r>
              <w:t xml:space="preserve">A5</w:t>
            </w:r>
          </w:p>
        </w:tc>
        <w:tc>
          <w:tcPr/>
          <w:p>
            <w:pPr>
              <w:pStyle w:val="Compact"/>
            </w:pPr>
            <w:r>
              <w:t xml:space="preserve">Route efficacy-adjacent communications through controlled channels for payer, scientific, and investor use.</w:t>
            </w:r>
          </w:p>
        </w:tc>
        <w:tc>
          <w:tcPr/>
          <w:p>
            <w:pPr>
              <w:pStyle w:val="Compact"/>
            </w:pPr>
            <w:r>
              <w:t xml:space="preserve">Close before FDA decision</w:t>
            </w:r>
          </w:p>
        </w:tc>
      </w:tr>
      <w:tr>
        <w:tc>
          <w:tcPr/>
          <w:p>
            <w:pPr>
              <w:pStyle w:val="Compact"/>
            </w:pPr>
            <w:r>
              <w:t xml:space="preserve">B0</w:t>
            </w:r>
          </w:p>
        </w:tc>
        <w:tc>
          <w:tcPr/>
          <w:p>
            <w:pPr>
              <w:pStyle w:val="Compact"/>
            </w:pPr>
            <w:r>
              <w:t xml:space="preserve">Choose and document the FDA marketing-authorization route.</w:t>
            </w:r>
          </w:p>
        </w:tc>
        <w:tc>
          <w:tcPr/>
          <w:p>
            <w:pPr>
              <w:pStyle w:val="Compact"/>
            </w:pPr>
            <w:r>
              <w:t xml:space="preserve">Close before FDA decision</w:t>
            </w:r>
          </w:p>
        </w:tc>
      </w:tr>
      <w:tr>
        <w:tc>
          <w:tcPr/>
          <w:p>
            <w:pPr>
              <w:pStyle w:val="Compact"/>
            </w:pPr>
            <w:r>
              <w:t xml:space="preserve">B1</w:t>
            </w:r>
          </w:p>
        </w:tc>
        <w:tc>
          <w:tcPr/>
          <w:p>
            <w:pPr>
              <w:pStyle w:val="Compact"/>
            </w:pPr>
            <w:r>
              <w:t xml:space="preserve">Evaluate whether Breakthrough Device designation is justified and worth pursuing.</w:t>
            </w:r>
          </w:p>
        </w:tc>
        <w:tc>
          <w:tcPr/>
          <w:p>
            <w:pPr>
              <w:pStyle w:val="Compact"/>
            </w:pPr>
            <w:r>
              <w:t xml:space="preserve">Close before FDA decision</w:t>
            </w:r>
          </w:p>
        </w:tc>
      </w:tr>
      <w:tr>
        <w:tc>
          <w:tcPr/>
          <w:p>
            <w:pPr>
              <w:pStyle w:val="Compact"/>
            </w:pPr>
            <w:r>
              <w:t xml:space="preserve">B2</w:t>
            </w:r>
          </w:p>
        </w:tc>
        <w:tc>
          <w:tcPr/>
          <w:p>
            <w:pPr>
              <w:pStyle w:val="Compact"/>
            </w:pPr>
            <w:r>
              <w:t xml:space="preserve">Build reimbursement-gating requirements into product design, workflow, and labeling.</w:t>
            </w:r>
          </w:p>
        </w:tc>
        <w:tc>
          <w:tcPr/>
          <w:p>
            <w:pPr>
              <w:pStyle w:val="Compact"/>
            </w:pPr>
            <w:r>
              <w:t xml:space="preserve">Close before FDA decision</w:t>
            </w:r>
          </w:p>
        </w:tc>
      </w:tr>
      <w:tr>
        <w:tc>
          <w:tcPr/>
          <w:p>
            <w:pPr>
              <w:pStyle w:val="Compact"/>
            </w:pPr>
            <w:r>
              <w:t xml:space="preserve">B3</w:t>
            </w:r>
          </w:p>
        </w:tc>
        <w:tc>
          <w:tcPr/>
          <w:p>
            <w:pPr>
              <w:pStyle w:val="Compact"/>
            </w:pPr>
            <w:r>
              <w:t xml:space="preserve">Prepare the authorization-letter and IFU activation process for launch day.</w:t>
            </w:r>
          </w:p>
        </w:tc>
        <w:tc>
          <w:tcPr/>
          <w:p>
            <w:pPr>
              <w:pStyle w:val="Compact"/>
            </w:pPr>
            <w:r>
              <w:t xml:space="preserve">Prepare before FDA; close only at authorization</w:t>
            </w:r>
          </w:p>
        </w:tc>
      </w:tr>
      <w:tr>
        <w:tc>
          <w:tcPr/>
          <w:p>
            <w:pPr>
              <w:pStyle w:val="Compact"/>
            </w:pPr>
            <w:r>
              <w:t xml:space="preserve">C0</w:t>
            </w:r>
          </w:p>
        </w:tc>
        <w:tc>
          <w:tcPr/>
          <w:p>
            <w:pPr>
              <w:pStyle w:val="Compact"/>
            </w:pPr>
            <w:r>
              <w:t xml:space="preserve">Design an integrated clinical and HEOR evidence program that serves FDA and payer needs.</w:t>
            </w:r>
          </w:p>
        </w:tc>
        <w:tc>
          <w:tcPr/>
          <w:p>
            <w:pPr>
              <w:pStyle w:val="Compact"/>
            </w:pPr>
            <w:r>
              <w:t xml:space="preserve">Close before FDA decision</w:t>
            </w:r>
          </w:p>
        </w:tc>
      </w:tr>
      <w:tr>
        <w:tc>
          <w:tcPr/>
          <w:p>
            <w:pPr>
              <w:pStyle w:val="Compact"/>
            </w:pPr>
            <w:r>
              <w:t xml:space="preserve">C1</w:t>
            </w:r>
          </w:p>
        </w:tc>
        <w:tc>
          <w:tcPr/>
          <w:p>
            <w:pPr>
              <w:pStyle w:val="Compact"/>
            </w:pPr>
            <w:r>
              <w:t xml:space="preserve">Build an AMCP-format payer dossier in modular draft form before authorization.</w:t>
            </w:r>
          </w:p>
        </w:tc>
        <w:tc>
          <w:tcPr/>
          <w:p>
            <w:pPr>
              <w:pStyle w:val="Compact"/>
            </w:pPr>
            <w:r>
              <w:t xml:space="preserve">Close before FDA decision</w:t>
            </w:r>
          </w:p>
        </w:tc>
      </w:tr>
      <w:tr>
        <w:tc>
          <w:tcPr/>
          <w:p>
            <w:pPr>
              <w:pStyle w:val="Compact"/>
            </w:pPr>
            <w:r>
              <w:t xml:space="preserve">C2</w:t>
            </w:r>
          </w:p>
        </w:tc>
        <w:tc>
          <w:tcPr/>
          <w:p>
            <w:pPr>
              <w:pStyle w:val="Compact"/>
            </w:pPr>
            <w:r>
              <w:t xml:space="preserve">Conduct lawful pre-approval payer information exchange and evidence research.</w:t>
            </w:r>
          </w:p>
        </w:tc>
        <w:tc>
          <w:tcPr/>
          <w:p>
            <w:pPr>
              <w:pStyle w:val="Compact"/>
            </w:pPr>
            <w:r>
              <w:t xml:space="preserve">Close before FDA decision</w:t>
            </w:r>
          </w:p>
        </w:tc>
      </w:tr>
      <w:tr>
        <w:tc>
          <w:tcPr/>
          <w:p>
            <w:pPr>
              <w:pStyle w:val="Compact"/>
            </w:pPr>
            <w:r>
              <w:t xml:space="preserve">D0</w:t>
            </w:r>
          </w:p>
        </w:tc>
        <w:tc>
          <w:tcPr/>
          <w:p>
            <w:pPr>
              <w:pStyle w:val="Compact"/>
            </w:pPr>
            <w:r>
              <w:t xml:space="preserve">Complete the RPM code applicability and workflow map.</w:t>
            </w:r>
          </w:p>
        </w:tc>
        <w:tc>
          <w:tcPr/>
          <w:p>
            <w:pPr>
              <w:pStyle w:val="Compact"/>
            </w:pPr>
            <w:r>
              <w:t xml:space="preserve">Submission-ready before FDA; activate afterward</w:t>
            </w:r>
          </w:p>
        </w:tc>
      </w:tr>
      <w:tr>
        <w:tc>
          <w:tcPr/>
          <w:p>
            <w:pPr>
              <w:pStyle w:val="Compact"/>
            </w:pPr>
            <w:r>
              <w:t xml:space="preserve">D1</w:t>
            </w:r>
          </w:p>
        </w:tc>
        <w:tc>
          <w:tcPr/>
          <w:p>
            <w:pPr>
              <w:pStyle w:val="Compact"/>
            </w:pPr>
            <w:r>
              <w:t xml:space="preserve">Evaluate RTM as an adjacent or fallback reimbursement pathway.</w:t>
            </w:r>
          </w:p>
        </w:tc>
        <w:tc>
          <w:tcPr/>
          <w:p>
            <w:pPr>
              <w:pStyle w:val="Compact"/>
            </w:pPr>
            <w:r>
              <w:t xml:space="preserve">Submission-ready before FDA; activate afterward</w:t>
            </w:r>
          </w:p>
        </w:tc>
      </w:tr>
      <w:tr>
        <w:tc>
          <w:tcPr/>
          <w:p>
            <w:pPr>
              <w:pStyle w:val="Compact"/>
            </w:pPr>
            <w:r>
              <w:t xml:space="preserve">D2</w:t>
            </w:r>
          </w:p>
        </w:tc>
        <w:tc>
          <w:tcPr/>
          <w:p>
            <w:pPr>
              <w:pStyle w:val="Compact"/>
            </w:pPr>
            <w:r>
              <w:t xml:space="preserve">Develop and, if appropriate, prepare a Category III CPT application package.</w:t>
            </w:r>
          </w:p>
        </w:tc>
        <w:tc>
          <w:tcPr/>
          <w:p>
            <w:pPr>
              <w:pStyle w:val="Compact"/>
            </w:pPr>
            <w:r>
              <w:t xml:space="preserve">Close before FDA decision</w:t>
            </w:r>
          </w:p>
        </w:tc>
      </w:tr>
      <w:tr>
        <w:tc>
          <w:tcPr/>
          <w:p>
            <w:pPr>
              <w:pStyle w:val="Compact"/>
            </w:pPr>
            <w:r>
              <w:t xml:space="preserve">D3</w:t>
            </w:r>
          </w:p>
        </w:tc>
        <w:tc>
          <w:tcPr/>
          <w:p>
            <w:pPr>
              <w:pStyle w:val="Compact"/>
            </w:pPr>
            <w:r>
              <w:t xml:space="preserve">Secure specialty-society and clinical-expert support for the emerging service model.</w:t>
            </w:r>
          </w:p>
        </w:tc>
        <w:tc>
          <w:tcPr/>
          <w:p>
            <w:pPr>
              <w:pStyle w:val="Compact"/>
            </w:pPr>
            <w:r>
              <w:t xml:space="preserve">Close before FDA decision</w:t>
            </w:r>
          </w:p>
        </w:tc>
      </w:tr>
      <w:tr>
        <w:tc>
          <w:tcPr/>
          <w:p>
            <w:pPr>
              <w:pStyle w:val="Compact"/>
            </w:pPr>
            <w:r>
              <w:t xml:space="preserve">D4</w:t>
            </w:r>
          </w:p>
        </w:tc>
        <w:tc>
          <w:tcPr/>
          <w:p>
            <w:pPr>
              <w:pStyle w:val="Compact"/>
            </w:pPr>
            <w:r>
              <w:t xml:space="preserve">Build the long-term evidence and adoption system needed for eventual Category I graduation.</w:t>
            </w:r>
          </w:p>
        </w:tc>
        <w:tc>
          <w:tcPr/>
          <w:p>
            <w:pPr>
              <w:pStyle w:val="Compact"/>
            </w:pPr>
            <w:r>
              <w:t xml:space="preserve">Close before FDA decision</w:t>
            </w:r>
          </w:p>
        </w:tc>
      </w:tr>
      <w:tr>
        <w:tc>
          <w:tcPr/>
          <w:p>
            <w:pPr>
              <w:pStyle w:val="Compact"/>
            </w:pPr>
            <w:r>
              <w:t xml:space="preserve">E0</w:t>
            </w:r>
          </w:p>
        </w:tc>
        <w:tc>
          <w:tcPr/>
          <w:p>
            <w:pPr>
              <w:pStyle w:val="Compact"/>
            </w:pPr>
            <w:r>
              <w:t xml:space="preserve">Prepare commercial-payer and Medicare LCD coverage packages.</w:t>
            </w:r>
          </w:p>
        </w:tc>
        <w:tc>
          <w:tcPr/>
          <w:p>
            <w:pPr>
              <w:pStyle w:val="Compact"/>
            </w:pPr>
            <w:r>
              <w:t xml:space="preserve">Submission-ready before FDA; activate afterward</w:t>
            </w:r>
          </w:p>
        </w:tc>
      </w:tr>
      <w:tr>
        <w:tc>
          <w:tcPr/>
          <w:p>
            <w:pPr>
              <w:pStyle w:val="Compact"/>
            </w:pPr>
            <w:r>
              <w:t xml:space="preserve">E1</w:t>
            </w:r>
          </w:p>
        </w:tc>
        <w:tc>
          <w:tcPr/>
          <w:p>
            <w:pPr>
              <w:pStyle w:val="Compact"/>
            </w:pPr>
            <w:r>
              <w:t xml:space="preserve">Prepare the conditional NCD/RAPID strategy if the product later qualifies.</w:t>
            </w:r>
          </w:p>
        </w:tc>
        <w:tc>
          <w:tcPr/>
          <w:p>
            <w:pPr>
              <w:pStyle w:val="Compact"/>
            </w:pPr>
            <w:r>
              <w:t xml:space="preserve">Submission-ready before FDA; activate afterward</w:t>
            </w:r>
          </w:p>
        </w:tc>
      </w:tr>
      <w:tr>
        <w:tc>
          <w:tcPr/>
          <w:p>
            <w:pPr>
              <w:pStyle w:val="Compact"/>
            </w:pPr>
            <w:r>
              <w:t xml:space="preserve">E2</w:t>
            </w:r>
          </w:p>
        </w:tc>
        <w:tc>
          <w:tcPr/>
          <w:p>
            <w:pPr>
              <w:pStyle w:val="Compact"/>
            </w:pPr>
            <w:r>
              <w:t xml:space="preserve">Prepare the hospital outpatient payment and APC/pass-through package.</w:t>
            </w:r>
          </w:p>
        </w:tc>
        <w:tc>
          <w:tcPr/>
          <w:p>
            <w:pPr>
              <w:pStyle w:val="Compact"/>
            </w:pPr>
            <w:r>
              <w:t xml:space="preserve">Submission-ready before FDA; activate afterward</w:t>
            </w:r>
          </w:p>
        </w:tc>
      </w:tr>
      <w:tr>
        <w:tc>
          <w:tcPr/>
          <w:p>
            <w:pPr>
              <w:pStyle w:val="Compact"/>
            </w:pPr>
            <w:r>
              <w:t xml:space="preserve">E3</w:t>
            </w:r>
          </w:p>
        </w:tc>
        <w:tc>
          <w:tcPr/>
          <w:p>
            <w:pPr>
              <w:pStyle w:val="Compact"/>
            </w:pPr>
            <w:r>
              <w:t xml:space="preserve">Stand up an ongoing reimbursement-policy surveillance and comment program.</w:t>
            </w:r>
          </w:p>
        </w:tc>
        <w:tc>
          <w:tcPr/>
          <w:p>
            <w:pPr>
              <w:pStyle w:val="Compact"/>
            </w:pPr>
            <w:r>
              <w:t xml:space="preserve">Close before FDA decision</w:t>
            </w:r>
          </w:p>
        </w:tc>
      </w:tr>
    </w:tbl>
    <w:p>
      <w:pPr>
        <w:pStyle w:val="BodyText"/>
      </w:pPr>
      <w:r>
        <w:t xml:space="preserve">The whitepaper adds critical context for why A0 is first. It is a website-derived working draft, not a regulatory or scientific submission, and it flags multiple claims as needing confirmation before external use, including uncited epidemiology, real-time analysis, abnormal-heart-sound detection, 16-channel hardware specifics, CT1 enrollment status, and remote-monitoring readiness. fileciteturn0file1</w:t>
      </w:r>
    </w:p>
    <w:bookmarkEnd w:id="22"/>
    <w:bookmarkStart w:id="23" w:name="assumptions-and-current-decision-status"/>
    <w:p>
      <w:pPr>
        <w:pStyle w:val="Heading2"/>
      </w:pPr>
      <w:r>
        <w:t xml:space="preserve">Assumptions and current decision status</w:t>
      </w:r>
    </w:p>
    <w:p>
      <w:pPr>
        <w:pStyle w:val="FirstParagraph"/>
      </w:pPr>
      <w:r>
        <w:t xml:space="preserve">The roadmap itself requires that missing facts be treated as missing, not invented. Consistent with that rule, the assumptions below are operational placeholders for Task 1 only. They should be replaced by confirmed inputs as soon as the team begins the audit. fileciteturn0file0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Working assumption for Task 1</w:t>
            </w:r>
          </w:p>
        </w:tc>
        <w:tc>
          <w:tcPr/>
          <w:p>
            <w:pPr>
              <w:pStyle w:val="Compact"/>
            </w:pPr>
            <w:r>
              <w:t xml:space="preserve">Why this is reasonable</w:t>
            </w:r>
          </w:p>
        </w:tc>
        <w:tc>
          <w:tcPr/>
          <w:p>
            <w:pPr>
              <w:pStyle w:val="Compact"/>
            </w:pPr>
            <w:r>
              <w:t xml:space="preserve">What remains unspecified</w:t>
            </w:r>
          </w:p>
        </w:tc>
      </w:tr>
      <w:tr>
        <w:tc>
          <w:tcPr/>
          <w:p>
            <w:pPr>
              <w:pStyle w:val="Compact"/>
            </w:pPr>
            <w:r>
              <w:t xml:space="preserve">Task identity</w:t>
            </w:r>
          </w:p>
        </w:tc>
        <w:tc>
          <w:tcPr/>
          <w:p>
            <w:pPr>
              <w:pStyle w:val="Compact"/>
            </w:pPr>
            <w:r>
              <w:t xml:space="preserve">“Task 1” means</w:t>
            </w:r>
            <w:r>
              <w:t xml:space="preserve"> </w:t>
            </w:r>
            <w:r>
              <w:rPr>
                <w:b/>
                <w:bCs/>
              </w:rPr>
              <w:t xml:space="preserve">A0</w:t>
            </w:r>
            <w:r>
              <w:t xml:space="preserve"> </w:t>
            </w:r>
            <w:r>
              <w:t xml:space="preserve">in the roadmap.</w:t>
            </w:r>
          </w:p>
        </w:tc>
        <w:tc>
          <w:tcPr/>
          <w:p>
            <w:pPr>
              <w:pStyle w:val="Compact"/>
            </w:pPr>
            <w:r>
              <w:t xml:space="preserve">A0 is the first checklist item in the 22-task crosswalk.</w:t>
            </w:r>
          </w:p>
        </w:tc>
        <w:tc>
          <w:tcPr/>
          <w:p>
            <w:pPr>
              <w:pStyle w:val="Compact"/>
            </w:pPr>
            <w:r>
              <w:t xml:space="preserve">None, unless the user intended a different numbering system.</w:t>
            </w:r>
          </w:p>
        </w:tc>
      </w:tr>
      <w:tr>
        <w:tc>
          <w:tcPr/>
          <w:p>
            <w:pPr>
              <w:pStyle w:val="Compact"/>
            </w:pPr>
            <w:r>
              <w:t xml:space="preserve">Current asset universe</w:t>
            </w:r>
          </w:p>
        </w:tc>
        <w:tc>
          <w:tcPr/>
          <w:p>
            <w:pPr>
              <w:pStyle w:val="Compact"/>
            </w:pPr>
            <w:r>
              <w:t xml:space="preserve">In-scope assets include website pages, whitepaper, brochures, decks, trial materials, conference content, demo scripts, videos, screenshots, partner pages, social posts, email templates, packaging, and study labels.</w:t>
            </w:r>
          </w:p>
        </w:tc>
        <w:tc>
          <w:tcPr/>
          <w:p>
            <w:pPr>
              <w:pStyle w:val="Compact"/>
            </w:pPr>
            <w:r>
              <w:t xml:space="preserve">The roadmap explicitly lists these as part of A0.</w:t>
            </w:r>
          </w:p>
        </w:tc>
        <w:tc>
          <w:tcPr/>
          <w:p>
            <w:pPr>
              <w:pStyle w:val="Compact"/>
            </w:pPr>
            <w:r>
              <w:t xml:space="preserve">Which of these assets actually exist today, where they live, and who controls them.</w:t>
            </w:r>
          </w:p>
        </w:tc>
      </w:tr>
      <w:tr>
        <w:tc>
          <w:tcPr/>
          <w:p>
            <w:pPr>
              <w:pStyle w:val="Compact"/>
            </w:pPr>
            <w:r>
              <w:t xml:space="preserve">Team model</w:t>
            </w:r>
          </w:p>
        </w:tc>
        <w:tc>
          <w:tcPr/>
          <w:p>
            <w:pPr>
              <w:pStyle w:val="Compact"/>
            </w:pPr>
            <w:r>
              <w:t xml:space="preserve">Execution will use the small team specified by the user: project lead, researcher, writer, designer.</w:t>
            </w:r>
          </w:p>
        </w:tc>
        <w:tc>
          <w:tcPr/>
          <w:p>
            <w:pPr>
              <w:pStyle w:val="Compact"/>
            </w:pPr>
            <w:r>
              <w:t xml:space="preserve">User instruction.</w:t>
            </w:r>
          </w:p>
        </w:tc>
        <w:tc>
          <w:tcPr/>
          <w:p>
            <w:pPr>
              <w:pStyle w:val="Compact"/>
            </w:pPr>
            <w:r>
              <w:t xml:space="preserve">Legal counsel, quality, clinical, and regulatory approvers are not part of the small-team staffing assumption but are still required reviewers.</w:t>
            </w:r>
          </w:p>
        </w:tc>
      </w:tr>
      <w:tr>
        <w:tc>
          <w:tcPr/>
          <w:p>
            <w:pPr>
              <w:pStyle w:val="Compact"/>
            </w:pPr>
            <w:r>
              <w:t xml:space="preserve">Regulatory posture</w:t>
            </w:r>
          </w:p>
        </w:tc>
        <w:tc>
          <w:tcPr/>
          <w:p>
            <w:pPr>
              <w:pStyle w:val="Compact"/>
            </w:pPr>
            <w:r>
              <w:t xml:space="preserve">SonoHL should be treated as investigational and pre-authorization in all external-claims review.</w:t>
            </w:r>
          </w:p>
        </w:tc>
        <w:tc>
          <w:tcPr/>
          <w:p>
            <w:pPr>
              <w:pStyle w:val="Compact"/>
            </w:pPr>
            <w:r>
              <w:t xml:space="preserve">The roadmap and whitepaper are both framed as pre-FDA planning documents, and the whitepaper warns that regulatory language needs confirmation.</w:t>
            </w:r>
          </w:p>
        </w:tc>
        <w:tc>
          <w:tcPr/>
          <w:p>
            <w:pPr>
              <w:pStyle w:val="Compact"/>
            </w:pPr>
            <w:r>
              <w:t xml:space="preserve">Exact regulatory pathway, trial status, and authorized labeling do not yet exist.</w:t>
            </w:r>
          </w:p>
        </w:tc>
      </w:tr>
      <w:tr>
        <w:tc>
          <w:tcPr/>
          <w:p>
            <w:pPr>
              <w:pStyle w:val="Compact"/>
            </w:pPr>
            <w:r>
              <w:t xml:space="preserve">Claims risk posture</w:t>
            </w:r>
          </w:p>
        </w:tc>
        <w:tc>
          <w:tcPr/>
          <w:p>
            <w:pPr>
              <w:pStyle w:val="Compact"/>
            </w:pPr>
            <w:r>
              <w:t xml:space="preserve">Ambiguous or performance-adjacent claims should be quarantined rather than defended during A0.</w:t>
            </w:r>
          </w:p>
        </w:tc>
        <w:tc>
          <w:tcPr/>
          <w:p>
            <w:pPr>
              <w:pStyle w:val="Compact"/>
            </w:pPr>
            <w:r>
              <w:t xml:space="preserve">The roadmap explicitly prioritizes high-risk claim removal, rewrite, or quarantine.</w:t>
            </w:r>
          </w:p>
        </w:tc>
        <w:tc>
          <w:tcPr/>
          <w:p>
            <w:pPr>
              <w:pStyle w:val="Compact"/>
            </w:pPr>
            <w:r>
              <w:t xml:space="preserve">Which claims counsel will ultimately permit, narrow, or reject.</w:t>
            </w:r>
          </w:p>
        </w:tc>
      </w:tr>
      <w:tr>
        <w:tc>
          <w:tcPr/>
          <w:p>
            <w:pPr>
              <w:pStyle w:val="Compact"/>
            </w:pPr>
            <w:r>
              <w:t xml:space="preserve">Product facts</w:t>
            </w:r>
          </w:p>
        </w:tc>
        <w:tc>
          <w:tcPr/>
          <w:p>
            <w:pPr>
              <w:pStyle w:val="Compact"/>
            </w:pPr>
            <w:r>
              <w:t xml:space="preserve">Conflicting product/configuration claims should be logged, not resolved inside A0.</w:t>
            </w:r>
          </w:p>
        </w:tc>
        <w:tc>
          <w:tcPr/>
          <w:p>
            <w:pPr>
              <w:pStyle w:val="Compact"/>
            </w:pPr>
            <w:r>
              <w:t xml:space="preserve">The roadmap and whitepaper both identify unresolved inconsistencies such as channel count and remote-monitoring readiness.</w:t>
            </w:r>
          </w:p>
        </w:tc>
        <w:tc>
          <w:tcPr/>
          <w:p>
            <w:pPr>
              <w:pStyle w:val="Compact"/>
            </w:pPr>
            <w:r>
              <w:t xml:space="preserve">Final hardware version, software version, and intended-use baseline.</w:t>
            </w:r>
          </w:p>
        </w:tc>
      </w:tr>
      <w:tr>
        <w:tc>
          <w:tcPr/>
          <w:p>
            <w:pPr>
              <w:pStyle w:val="Compact"/>
            </w:pPr>
            <w:r>
              <w:t xml:space="preserve">Evidence basis</w:t>
            </w:r>
          </w:p>
        </w:tc>
        <w:tc>
          <w:tcPr/>
          <w:p>
            <w:pPr>
              <w:pStyle w:val="Compact"/>
            </w:pPr>
            <w:r>
              <w:t xml:space="preserve">Claims without a traceable evidence reference should be marked unsupported for external use.</w:t>
            </w:r>
          </w:p>
        </w:tc>
        <w:tc>
          <w:tcPr/>
          <w:p>
            <w:pPr>
              <w:pStyle w:val="Compact"/>
            </w:pPr>
            <w:r>
              <w:t xml:space="preserve">That is a central A0 requirement in the roadmap, and the whitepaper says many claims still need confirmation.</w:t>
            </w:r>
          </w:p>
        </w:tc>
        <w:tc>
          <w:tcPr/>
          <w:p>
            <w:pPr>
              <w:pStyle w:val="Compact"/>
            </w:pPr>
            <w:r>
              <w:t xml:space="preserve">The existence and completeness of a controlled evidence library.</w:t>
            </w:r>
          </w:p>
        </w:tc>
      </w:tr>
    </w:tbl>
    <w:p>
      <w:pPr>
        <w:pStyle w:val="BodyText"/>
      </w:pPr>
      <w:r>
        <w:t xml:space="preserve">Based on those assumptions, Task 1 remains a</w:t>
      </w:r>
      <w:r>
        <w:t xml:space="preserve"> </w:t>
      </w:r>
      <w:r>
        <w:rPr>
          <w:b/>
          <w:bCs/>
        </w:rPr>
        <w:t xml:space="preserve">Conditional Go</w:t>
      </w:r>
      <w:r>
        <w:t xml:space="preserve"> </w:t>
      </w:r>
      <w:r>
        <w:t xml:space="preserve">rather than a pure Go. The reason is simple: A0 can begin immediately from the website-derived whitepaper, roadmap, known external materials, and live asset discovery, but it cannot be closed without the required inputs the A0 specification names—especially current copies/URLs, source files, approval history, intended-use hypothesis, evidence library, and named Regulatory/Legal approvers. fileciteturn0file0</w:t>
      </w:r>
    </w:p>
    <w:bookmarkEnd w:id="23"/>
    <w:bookmarkStart w:id="28" w:name="task-1-analytical-plan"/>
    <w:p>
      <w:pPr>
        <w:pStyle w:val="Heading2"/>
      </w:pPr>
      <w:r>
        <w:t xml:space="preserve">Task 1 analytical plan</w:t>
      </w:r>
    </w:p>
    <w:p>
      <w:pPr>
        <w:pStyle w:val="FirstParagraph"/>
      </w:pPr>
      <w:r>
        <w:t xml:space="preserve">A0 is not just a content cleanup exercise; it is a</w:t>
      </w:r>
      <w:r>
        <w:t xml:space="preserve"> </w:t>
      </w:r>
      <w:r>
        <w:rPr>
          <w:b/>
          <w:bCs/>
        </w:rPr>
        <w:t xml:space="preserve">controlled claims-governance build</w:t>
      </w:r>
      <w:r>
        <w:t xml:space="preserve">. The roadmap defines the objective as creating a complete inventory of every public, partner-facing, investor-facing, clinical, recruitment, and social-media statement about SonoHL, then classifying each statement, linking it to evidence status, and deciding whether it is approved, rewritten, removed, or quarantined. The required deliverables are a master asset inventory, claims register, redline log, and a future external-communications review SOP. The roadmap’s definition of done is also explicit: all known external and partner-facing assets inventoried and owned, every claim resolved or quarantined, and an active approval workflow in place. fileciteturn0file0</w:t>
      </w:r>
    </w:p>
    <w:p>
      <w:pPr>
        <w:pStyle w:val="BodyText"/>
      </w:pPr>
      <w:r>
        <w:t xml:space="preserve">The immediate business reason is that the current whitepaper and remediation notes contain multiple claim classes that should not circulate uncontrolled: “diagnostics” language in the title, disease-detection and abnormal-sound claims, automatic signal-selection claims, real-time analysis claims, uncited market statistics, conflicting hardware specifications, “CT1 currently enrolling,” and “ready for remote monitoring.” The roadmap says these items should be routed through the A0–A5 workstream before any external use. fileciteturn0file0 fileciteturn0file1</w:t>
      </w:r>
    </w:p>
    <w:bookmarkStart w:id="24" w:name="task-1-deliverables-and-success-criteria"/>
    <w:p>
      <w:pPr>
        <w:pStyle w:val="Heading3"/>
      </w:pPr>
      <w:r>
        <w:t xml:space="preserve">Task 1 deliverables and success criteria</w:t>
      </w:r>
    </w:p>
    <w:p>
      <w:pPr>
        <w:pStyle w:val="FirstParagraph"/>
      </w:pPr>
      <w:r>
        <w:t xml:space="preserve">The deliverables below follow the roadmap specification, with the practical interpretation needed to start work this week. fileciteturn0file0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What it must contain</w:t>
            </w:r>
          </w:p>
        </w:tc>
        <w:tc>
          <w:tcPr/>
          <w:p>
            <w:pPr>
              <w:pStyle w:val="Compact"/>
            </w:pPr>
            <w:r>
              <w:t xml:space="preserve">Minimum success criterion</w:t>
            </w:r>
          </w:p>
        </w:tc>
      </w:tr>
      <w:tr>
        <w:tc>
          <w:tcPr/>
          <w:p>
            <w:pPr>
              <w:pStyle w:val="Compact"/>
            </w:pPr>
            <w:r>
              <w:t xml:space="preserve">Master asset inventory</w:t>
            </w:r>
          </w:p>
        </w:tc>
        <w:tc>
          <w:tcPr/>
          <w:p>
            <w:pPr>
              <w:pStyle w:val="Compact"/>
            </w:pPr>
            <w:r>
              <w:t xml:space="preserve">Asset ID, title, channel, file/URL, audience, owner, version/date, status, archived copy, next review, retirement date.</w:t>
            </w:r>
          </w:p>
        </w:tc>
        <w:tc>
          <w:tcPr/>
          <w:p>
            <w:pPr>
              <w:pStyle w:val="Compact"/>
            </w:pPr>
            <w:r>
              <w:t xml:space="preserve">Every known external and partner-facing asset appears once, has an owner, and has a retrievable baseline copy or verified link.</w:t>
            </w:r>
          </w:p>
        </w:tc>
      </w:tr>
      <w:tr>
        <w:tc>
          <w:tcPr/>
          <w:p>
            <w:pPr>
              <w:pStyle w:val="Compact"/>
            </w:pPr>
            <w:r>
              <w:t xml:space="preserve">Claims register</w:t>
            </w:r>
          </w:p>
        </w:tc>
        <w:tc>
          <w:tcPr/>
          <w:p>
            <w:pPr>
              <w:pStyle w:val="Compact"/>
            </w:pPr>
            <w:r>
              <w:t xml:space="preserve">Claim ID, exact claim, context, source asset, claim type, intended-use relevance, evidence reference, evidence status, risk rating, permitted audience, disposition, replacement text, approver.</w:t>
            </w:r>
          </w:p>
        </w:tc>
        <w:tc>
          <w:tcPr/>
          <w:p>
            <w:pPr>
              <w:pStyle w:val="Compact"/>
            </w:pPr>
            <w:r>
              <w:t xml:space="preserve">Every claim is traceable to an asset and has a disposition: approved, rewritten, removed, or quarantined.</w:t>
            </w:r>
          </w:p>
        </w:tc>
      </w:tr>
      <w:tr>
        <w:tc>
          <w:tcPr/>
          <w:p>
            <w:pPr>
              <w:pStyle w:val="Compact"/>
            </w:pPr>
            <w:r>
              <w:t xml:space="preserve">Claims redline log</w:t>
            </w:r>
          </w:p>
        </w:tc>
        <w:tc>
          <w:tcPr/>
          <w:p>
            <w:pPr>
              <w:pStyle w:val="Compact"/>
            </w:pPr>
            <w:r>
              <w:t xml:space="preserve">Before/after wording, rationale, approver, implementation status.</w:t>
            </w:r>
          </w:p>
        </w:tc>
        <w:tc>
          <w:tcPr/>
          <w:p>
            <w:pPr>
              <w:pStyle w:val="Compact"/>
            </w:pPr>
            <w:r>
              <w:t xml:space="preserve">All material rewrites/removals are documented and attributable.</w:t>
            </w:r>
          </w:p>
        </w:tc>
      </w:tr>
      <w:tr>
        <w:tc>
          <w:tcPr/>
          <w:p>
            <w:pPr>
              <w:pStyle w:val="Compact"/>
            </w:pPr>
            <w:r>
              <w:t xml:space="preserve">External communications review SOP</w:t>
            </w:r>
          </w:p>
        </w:tc>
        <w:tc>
          <w:tcPr/>
          <w:p>
            <w:pPr>
              <w:pStyle w:val="Compact"/>
            </w:pPr>
            <w:r>
              <w:t xml:space="preserve">Scope, intake, claim creation, evidence review, approval routing, publication controls, monitoring, repost handling, takedown, records, deviations.</w:t>
            </w:r>
          </w:p>
        </w:tc>
        <w:tc>
          <w:tcPr/>
          <w:p>
            <w:pPr>
              <w:pStyle w:val="Compact"/>
            </w:pPr>
            <w:r>
              <w:t xml:space="preserve">A repeatable approval workflow exists so new claims cannot bypass review.</w:t>
            </w:r>
          </w:p>
        </w:tc>
      </w:tr>
    </w:tbl>
    <w:bookmarkEnd w:id="24"/>
    <w:bookmarkStart w:id="25" w:name="X2f0575a87fa13f2d6af3e4771bd509b8d9d7000"/>
    <w:p>
      <w:pPr>
        <w:pStyle w:val="Heading3"/>
      </w:pPr>
      <w:r>
        <w:t xml:space="preserve">Estimated timeline, required resources, stakeholders, risks, and dependencies</w:t>
      </w:r>
    </w:p>
    <w:p>
      <w:pPr>
        <w:pStyle w:val="FirstParagraph"/>
      </w:pPr>
      <w:r>
        <w:t xml:space="preserve">The roadmap places governance and claims freeze in</w:t>
      </w:r>
      <w:r>
        <w:t xml:space="preserve"> </w:t>
      </w:r>
      <w:r>
        <w:rPr>
          <w:b/>
          <w:bCs/>
        </w:rPr>
        <w:t xml:space="preserve">Weeks 0–2</w:t>
      </w:r>
      <w:r>
        <w:t xml:space="preserve"> </w:t>
      </w:r>
      <w:r>
        <w:t xml:space="preserve">and lists early outputs in the first 15 days: freeze unreviewed claims, inventory assets, open a claims/evidence register, and resolve ownership of the website and whitepaper. On that basis, the estimate below is realistic for a small team. fileciteturn0file0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Assessment</w:t>
            </w:r>
          </w:p>
        </w:tc>
      </w:tr>
      <w:tr>
        <w:tc>
          <w:tcPr/>
          <w:p>
            <w:pPr>
              <w:pStyle w:val="Compact"/>
            </w:pPr>
            <w:r>
              <w:t xml:space="preserve">Estimated timeline</w:t>
            </w:r>
          </w:p>
        </w:tc>
        <w:tc>
          <w:tcPr/>
          <w:p>
            <w:pPr>
              <w:pStyle w:val="Compact"/>
            </w:pPr>
            <w:r>
              <w:rPr>
                <w:b/>
                <w:bCs/>
              </w:rPr>
              <w:t xml:space="preserve">Fast draft:</w:t>
            </w:r>
            <w:r>
              <w:t xml:space="preserve"> </w:t>
            </w:r>
            <w:r>
              <w:t xml:space="preserve">5 business days.</w:t>
            </w:r>
            <w:r>
              <w:t xml:space="preserve"> </w:t>
            </w:r>
            <w:r>
              <w:rPr>
                <w:b/>
                <w:bCs/>
              </w:rPr>
              <w:t xml:space="preserve">Review-ready A0 package:</w:t>
            </w:r>
            <w:r>
              <w:t xml:space="preserve"> </w:t>
            </w:r>
            <w:r>
              <w:t xml:space="preserve">7–10 business days.</w:t>
            </w:r>
            <w:r>
              <w:t xml:space="preserve"> </w:t>
            </w:r>
            <w:r>
              <w:rPr>
                <w:b/>
                <w:bCs/>
              </w:rPr>
              <w:t xml:space="preserve">Full internal close with counsel review and implementation:</w:t>
            </w:r>
            <w:r>
              <w:t xml:space="preserve"> </w:t>
            </w:r>
            <w:r>
              <w:t xml:space="preserve">about 2 weeks.</w:t>
            </w:r>
          </w:p>
        </w:tc>
      </w:tr>
      <w:tr>
        <w:tc>
          <w:tcPr/>
          <w:p>
            <w:pPr>
              <w:pStyle w:val="Compact"/>
            </w:pPr>
            <w:r>
              <w:t xml:space="preserve">Estimated effort</w:t>
            </w:r>
          </w:p>
        </w:tc>
        <w:tc>
          <w:tcPr/>
          <w:p>
            <w:pPr>
              <w:pStyle w:val="Compact"/>
            </w:pPr>
            <w:r>
              <w:rPr>
                <w:b/>
                <w:bCs/>
              </w:rPr>
              <w:t xml:space="preserve">Core team:</w:t>
            </w:r>
            <w:r>
              <w:t xml:space="preserve"> </w:t>
            </w:r>
            <w:r>
              <w:t xml:space="preserve">about 45–60 hours total.</w:t>
            </w:r>
            <w:r>
              <w:t xml:space="preserve"> </w:t>
            </w:r>
            <w:r>
              <w:rPr>
                <w:b/>
                <w:bCs/>
              </w:rPr>
              <w:t xml:space="preserve">Counsel / Regulatory / Quality review:</w:t>
            </w:r>
            <w:r>
              <w:t xml:space="preserve"> </w:t>
            </w:r>
            <w:r>
              <w:t xml:space="preserve">additional 6–12 hours, depending on claim volume.</w:t>
            </w:r>
          </w:p>
        </w:tc>
      </w:tr>
      <w:tr>
        <w:tc>
          <w:tcPr/>
          <w:p>
            <w:pPr>
              <w:pStyle w:val="Compact"/>
            </w:pPr>
            <w:r>
              <w:t xml:space="preserve">Required resources</w:t>
            </w:r>
          </w:p>
        </w:tc>
        <w:tc>
          <w:tcPr/>
          <w:p>
            <w:pPr>
              <w:pStyle w:val="Compact"/>
            </w:pPr>
            <w:r>
              <w:t xml:space="preserve">Website and CMS access; shared drive; prior decks and PDFs; screen-capture/PDF archiving capability; spreadsheet template; evidence library folder; named approvers; list of partner-hosted or reposted materials.</w:t>
            </w:r>
          </w:p>
        </w:tc>
      </w:tr>
      <w:tr>
        <w:tc>
          <w:tcPr/>
          <w:p>
            <w:pPr>
              <w:pStyle w:val="Compact"/>
            </w:pPr>
            <w:r>
              <w:t xml:space="preserve">Primary stakeholders</w:t>
            </w:r>
          </w:p>
        </w:tc>
        <w:tc>
          <w:tcPr/>
          <w:p>
            <w:pPr>
              <w:pStyle w:val="Compact"/>
            </w:pPr>
            <w:r>
              <w:t xml:space="preserve">Project lead; Regulatory lead; legal counsel; Marketing/Communications owner; Quality owner; whitepaper owner; website owner; any partner/channel owner hosting SonoHL materials.</w:t>
            </w:r>
          </w:p>
        </w:tc>
      </w:tr>
      <w:tr>
        <w:tc>
          <w:tcPr/>
          <w:p>
            <w:pPr>
              <w:pStyle w:val="Compact"/>
            </w:pPr>
            <w:r>
              <w:t xml:space="preserve">Direct dependencies to start</w:t>
            </w:r>
          </w:p>
        </w:tc>
        <w:tc>
          <w:tcPr/>
          <w:p>
            <w:pPr>
              <w:pStyle w:val="Compact"/>
            </w:pPr>
            <w:r>
              <w:t xml:space="preserve">Current copies/URLs of active assets; source files where possible; current owner list; approval history if available.</w:t>
            </w:r>
          </w:p>
        </w:tc>
      </w:tr>
      <w:tr>
        <w:tc>
          <w:tcPr/>
          <w:p>
            <w:pPr>
              <w:pStyle w:val="Compact"/>
            </w:pPr>
            <w:r>
              <w:t xml:space="preserve">Direct downstream dependencies</w:t>
            </w:r>
          </w:p>
        </w:tc>
        <w:tc>
          <w:tcPr/>
          <w:p>
            <w:pPr>
              <w:pStyle w:val="Compact"/>
            </w:pPr>
            <w:r>
              <w:t xml:space="preserve">A1, A2, and A5 depend directly on A0 outputs. A3 and A4 depend indirectly because intended-use and counsel review need a resolved claims baseline. The broader roadmap uses A0 as the front-end control point for regulatory consistency.</w:t>
            </w:r>
          </w:p>
        </w:tc>
      </w:tr>
    </w:tbl>
    <w:bookmarkEnd w:id="25"/>
    <w:bookmarkStart w:id="26" w:name="key-risks-and-mitigations"/>
    <w:p>
      <w:pPr>
        <w:pStyle w:val="Heading3"/>
      </w:pPr>
      <w:r>
        <w:t xml:space="preserve">Key risks and mitigations</w:t>
      </w:r>
    </w:p>
    <w:p>
      <w:pPr>
        <w:pStyle w:val="FirstParagraph"/>
      </w:pPr>
      <w:r>
        <w:t xml:space="preserve">The largest A0 risks are not technical; they are governance and completeness risks. The roadmap repeatedly warns that disclaimers do not cure unsupported claims and that the “total presentation” must remain consistent with investigational status and the candidate intended use. fileciteturn0file0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matters now</w:t>
            </w:r>
          </w:p>
        </w:tc>
        <w:tc>
          <w:tcPr/>
          <w:p>
            <w:pPr>
              <w:pStyle w:val="Compact"/>
            </w:pPr>
            <w:r>
              <w:t xml:space="preserve">Mitigation</w:t>
            </w:r>
          </w:p>
        </w:tc>
      </w:tr>
      <w:tr>
        <w:tc>
          <w:tcPr/>
          <w:p>
            <w:pPr>
              <w:pStyle w:val="Compact"/>
            </w:pPr>
            <w:r>
              <w:t xml:space="preserve">Incomplete asset capture</w:t>
            </w:r>
          </w:p>
        </w:tc>
        <w:tc>
          <w:tcPr/>
          <w:p>
            <w:pPr>
              <w:pStyle w:val="Compact"/>
            </w:pPr>
            <w:r>
              <w:t xml:space="preserve">Missing assets leave unsupported claims live in the market.</w:t>
            </w:r>
          </w:p>
        </w:tc>
        <w:tc>
          <w:tcPr/>
          <w:p>
            <w:pPr>
              <w:pStyle w:val="Compact"/>
            </w:pPr>
            <w:r>
              <w:t xml:space="preserve">Start with a broad channel map; require each function owner to attest to completeness; include partner-hosted content and reposts.</w:t>
            </w:r>
          </w:p>
        </w:tc>
      </w:tr>
      <w:tr>
        <w:tc>
          <w:tcPr/>
          <w:p>
            <w:pPr>
              <w:pStyle w:val="Compact"/>
            </w:pPr>
            <w:r>
              <w:t xml:space="preserve">Conflicting product facts</w:t>
            </w:r>
          </w:p>
        </w:tc>
        <w:tc>
          <w:tcPr/>
          <w:p>
            <w:pPr>
              <w:pStyle w:val="Compact"/>
            </w:pPr>
            <w:r>
              <w:t xml:space="preserve">The whitepaper itself flags hardware/version inconsistencies.</w:t>
            </w:r>
          </w:p>
        </w:tc>
        <w:tc>
          <w:tcPr/>
          <w:p>
            <w:pPr>
              <w:pStyle w:val="Compact"/>
            </w:pPr>
            <w:r>
              <w:t xml:space="preserve">Log every conflict in the claims register; mark as unresolved; prohibit external reuse until the configuration is frozen.</w:t>
            </w:r>
          </w:p>
        </w:tc>
      </w:tr>
      <w:tr>
        <w:tc>
          <w:tcPr/>
          <w:p>
            <w:pPr>
              <w:pStyle w:val="Compact"/>
            </w:pPr>
            <w:r>
              <w:t xml:space="preserve">Trial-status ambiguity</w:t>
            </w:r>
          </w:p>
        </w:tc>
        <w:tc>
          <w:tcPr/>
          <w:p>
            <w:pPr>
              <w:pStyle w:val="Compact"/>
            </w:pPr>
            <w:r>
              <w:t xml:space="preserve">“CT1 currently enrolling” is specifically flagged as needing confirmation.</w:t>
            </w:r>
          </w:p>
        </w:tc>
        <w:tc>
          <w:tcPr/>
          <w:p>
            <w:pPr>
              <w:pStyle w:val="Compact"/>
            </w:pPr>
            <w:r>
              <w:t xml:space="preserve">Treat all trial-status wording as unsupported until registration/ethics/site data are verified.</w:t>
            </w:r>
          </w:p>
        </w:tc>
      </w:tr>
      <w:tr>
        <w:tc>
          <w:tcPr/>
          <w:p>
            <w:pPr>
              <w:pStyle w:val="Compact"/>
            </w:pPr>
            <w:r>
              <w:t xml:space="preserve">Overly aggressive rewriting</w:t>
            </w:r>
          </w:p>
        </w:tc>
        <w:tc>
          <w:tcPr/>
          <w:p>
            <w:pPr>
              <w:pStyle w:val="Compact"/>
            </w:pPr>
            <w:r>
              <w:t xml:space="preserve">A weak rewrite can still imply performance or intended use beyond evidence.</w:t>
            </w:r>
          </w:p>
        </w:tc>
        <w:tc>
          <w:tcPr/>
          <w:p>
            <w:pPr>
              <w:pStyle w:val="Compact"/>
            </w:pPr>
            <w:r>
              <w:t xml:space="preserve">Use neutral factual language or quarantine; reserve final permissibility decisions for Regulatory/Legal review.</w:t>
            </w:r>
          </w:p>
        </w:tc>
      </w:tr>
      <w:tr>
        <w:tc>
          <w:tcPr/>
          <w:p>
            <w:pPr>
              <w:pStyle w:val="Compact"/>
            </w:pPr>
            <w:r>
              <w:t xml:space="preserve">No evidence linkage</w:t>
            </w:r>
          </w:p>
        </w:tc>
        <w:tc>
          <w:tcPr/>
          <w:p>
            <w:pPr>
              <w:pStyle w:val="Compact"/>
            </w:pPr>
            <w:r>
              <w:t xml:space="preserve">A0 fails if retained claims do not map to evidence.</w:t>
            </w:r>
          </w:p>
        </w:tc>
        <w:tc>
          <w:tcPr/>
          <w:p>
            <w:pPr>
              <w:pStyle w:val="Compact"/>
            </w:pPr>
            <w:r>
              <w:t xml:space="preserve">Add a mandatory evidence-reference field and a “no evidence = no external use” rule.</w:t>
            </w:r>
          </w:p>
        </w:tc>
      </w:tr>
      <w:tr>
        <w:tc>
          <w:tcPr/>
          <w:p>
            <w:pPr>
              <w:pStyle w:val="Compact"/>
            </w:pPr>
            <w:r>
              <w:t xml:space="preserve">No post-audit control</w:t>
            </w:r>
          </w:p>
        </w:tc>
        <w:tc>
          <w:tcPr/>
          <w:p>
            <w:pPr>
              <w:pStyle w:val="Compact"/>
            </w:pPr>
            <w:r>
              <w:t xml:space="preserve">Claims drift will reappear after cleanup.</w:t>
            </w:r>
          </w:p>
        </w:tc>
        <w:tc>
          <w:tcPr/>
          <w:p>
            <w:pPr>
              <w:pStyle w:val="Compact"/>
            </w:pPr>
            <w:r>
              <w:t xml:space="preserve">Finish A0 only when the review SOP, review cadence, and approval owners are active.</w:t>
            </w:r>
          </w:p>
        </w:tc>
      </w:tr>
    </w:tbl>
    <w:bookmarkEnd w:id="26"/>
    <w:bookmarkStart w:id="27" w:name="alternative-approaches-to-task-1"/>
    <w:p>
      <w:pPr>
        <w:pStyle w:val="Heading3"/>
      </w:pPr>
      <w:r>
        <w:t xml:space="preserve">Alternative approaches to Task 1</w:t>
      </w:r>
    </w:p>
    <w:p>
      <w:pPr>
        <w:pStyle w:val="FirstParagraph"/>
      </w:pPr>
      <w:r>
        <w:t xml:space="preserve">The roadmap’s LLM execution protocol allows drafting, extraction, comparison, and quality checking, but it prohibits the LLM from making final legal/regulatory decisions or releasing materials without named human approvals. That makes a purely manual or purely automated method less effective than a controlled hybrid. fileciteturn0file0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Approach</w:t>
            </w:r>
          </w:p>
        </w:tc>
        <w:tc>
          <w:tcPr/>
          <w:p>
            <w:pPr>
              <w:pStyle w:val="Compact"/>
            </w:pPr>
            <w:r>
              <w:t xml:space="preserve">Description</w:t>
            </w:r>
          </w:p>
        </w:tc>
        <w:tc>
          <w:tcPr/>
          <w:p>
            <w:pPr>
              <w:pStyle w:val="Compact"/>
            </w:pPr>
            <w:r>
              <w:t xml:space="preserve">Pros</w:t>
            </w:r>
          </w:p>
        </w:tc>
        <w:tc>
          <w:tcPr/>
          <w:p>
            <w:pPr>
              <w:pStyle w:val="Compact"/>
            </w:pPr>
            <w:r>
              <w:t xml:space="preserve">Cons</w:t>
            </w:r>
          </w:p>
        </w:tc>
        <w:tc>
          <w:tcPr/>
          <w:p>
            <w:pPr>
              <w:pStyle w:val="Compact"/>
            </w:pPr>
            <w:r>
              <w:t xml:space="preserve">Recommendation</w:t>
            </w:r>
          </w:p>
        </w:tc>
      </w:tr>
      <w:tr>
        <w:tc>
          <w:tcPr/>
          <w:p>
            <w:pPr>
              <w:pStyle w:val="Compact"/>
            </w:pPr>
            <w:r>
              <w:t xml:space="preserve">Manual counsel-led audit</w:t>
            </w:r>
          </w:p>
        </w:tc>
        <w:tc>
          <w:tcPr/>
          <w:p>
            <w:pPr>
              <w:pStyle w:val="Compact"/>
            </w:pPr>
            <w:r>
              <w:t xml:space="preserve">Regulatory/Legal manually review every asset and claim first.</w:t>
            </w:r>
          </w:p>
        </w:tc>
        <w:tc>
          <w:tcPr/>
          <w:p>
            <w:pPr>
              <w:pStyle w:val="Compact"/>
            </w:pPr>
            <w:r>
              <w:t xml:space="preserve">Highest legal confidence; good for final sign-off.</w:t>
            </w:r>
          </w:p>
        </w:tc>
        <w:tc>
          <w:tcPr/>
          <w:p>
            <w:pPr>
              <w:pStyle w:val="Compact"/>
            </w:pPr>
            <w:r>
              <w:t xml:space="preserve">Slow, expensive, and inefficient for first-pass claim decomposition.</w:t>
            </w:r>
          </w:p>
        </w:tc>
        <w:tc>
          <w:tcPr/>
          <w:p>
            <w:pPr>
              <w:pStyle w:val="Compact"/>
            </w:pPr>
            <w:r>
              <w:t xml:space="preserve">Useful only for final approval, not as the primary execution method.</w:t>
            </w:r>
          </w:p>
        </w:tc>
      </w:tr>
      <w:tr>
        <w:tc>
          <w:tcPr/>
          <w:p>
            <w:pPr>
              <w:pStyle w:val="Compact"/>
            </w:pPr>
            <w:r>
              <w:t xml:space="preserve">LLM-first extraction</w:t>
            </w:r>
          </w:p>
        </w:tc>
        <w:tc>
          <w:tcPr/>
          <w:p>
            <w:pPr>
              <w:pStyle w:val="Compact"/>
            </w:pPr>
            <w:r>
              <w:t xml:space="preserve">Use an LLM to enumerate assets and claims, then clean up later.</w:t>
            </w:r>
          </w:p>
        </w:tc>
        <w:tc>
          <w:tcPr/>
          <w:p>
            <w:pPr>
              <w:pStyle w:val="Compact"/>
            </w:pPr>
            <w:r>
              <w:t xml:space="preserve">Fastest first pass; good at claim decomposition and classification.</w:t>
            </w:r>
          </w:p>
        </w:tc>
        <w:tc>
          <w:tcPr/>
          <w:p>
            <w:pPr>
              <w:pStyle w:val="Compact"/>
            </w:pPr>
            <w:r>
              <w:t xml:space="preserve">High risk of missed context, over-grouped claims, or premature conclusions without an evidence backbone.</w:t>
            </w:r>
          </w:p>
        </w:tc>
        <w:tc>
          <w:tcPr/>
          <w:p>
            <w:pPr>
              <w:pStyle w:val="Compact"/>
            </w:pPr>
            <w:r>
              <w:t xml:space="preserve">Helpful as a drafting aid, but unsafe as the sole method.</w:t>
            </w:r>
          </w:p>
        </w:tc>
      </w:tr>
      <w:tr>
        <w:tc>
          <w:tcPr/>
          <w:p>
            <w:pPr>
              <w:pStyle w:val="Compact"/>
            </w:pPr>
            <w:r>
              <w:t xml:space="preserve">Hybrid controlled-register workflow</w:t>
            </w:r>
          </w:p>
        </w:tc>
        <w:tc>
          <w:tcPr/>
          <w:p>
            <w:pPr>
              <w:pStyle w:val="Compact"/>
            </w:pPr>
            <w:r>
              <w:t xml:space="preserve">Human-led inventory + researcher/writer claim decomposition + structured LLM support + formal Regulatory/Legal review.</w:t>
            </w:r>
          </w:p>
        </w:tc>
        <w:tc>
          <w:tcPr/>
          <w:p>
            <w:pPr>
              <w:pStyle w:val="Compact"/>
            </w:pPr>
            <w:r>
              <w:t xml:space="preserve">Fast enough for a small team, preserves traceability, and matches the roadmap’s human-approval boundaries.</w:t>
            </w:r>
          </w:p>
        </w:tc>
        <w:tc>
          <w:tcPr/>
          <w:p>
            <w:pPr>
              <w:pStyle w:val="Compact"/>
            </w:pPr>
            <w:r>
              <w:t xml:space="preserve">Requires disciplined templates and a project lead who enforces change control.</w:t>
            </w:r>
          </w:p>
        </w:tc>
        <w:tc>
          <w:tcPr/>
          <w:p>
            <w:pPr>
              <w:pStyle w:val="Compact"/>
            </w:pPr>
            <w:r>
              <w:rPr>
                <w:b/>
                <w:bCs/>
              </w:rPr>
              <w:t xml:space="preserve">Recommended.</w:t>
            </w:r>
            <w:r>
              <w:t xml:space="preserve"> </w:t>
            </w:r>
            <w:r>
              <w:t xml:space="preserve">Best balance of speed, auditability, and compliance discipline.</w:t>
            </w:r>
          </w:p>
        </w:tc>
      </w:tr>
    </w:tbl>
    <w:bookmarkEnd w:id="27"/>
    <w:bookmarkEnd w:id="28"/>
    <w:bookmarkStart w:id="29" w:name="immediate-execution-plan"/>
    <w:p>
      <w:pPr>
        <w:pStyle w:val="Heading2"/>
      </w:pPr>
      <w:r>
        <w:t xml:space="preserve">Immediate execution plan</w:t>
      </w:r>
    </w:p>
    <w:p>
      <w:pPr>
        <w:pStyle w:val="FirstParagraph"/>
      </w:pPr>
      <w:r>
        <w:t xml:space="preserve">The plan below is designed to complete</w:t>
      </w:r>
      <w:r>
        <w:t xml:space="preserve"> </w:t>
      </w:r>
      <w:r>
        <w:rPr>
          <w:b/>
          <w:bCs/>
        </w:rPr>
        <w:t xml:space="preserve">A0 v0.1 draft package immediately</w:t>
      </w:r>
      <w:r>
        <w:t xml:space="preserve">, using the four roles the user specified. It assumes that Regulatory/Legal are reviewers, not day-to-day drafters. The hours are practical estimates inferred from the roadmap’s A0 work package and first-90-days timing. fileciteturn0file0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Action</w:t>
            </w:r>
          </w:p>
        </w:tc>
        <w:tc>
          <w:tcPr/>
          <w:p>
            <w:pPr>
              <w:pStyle w:val="Compact"/>
            </w:pPr>
            <w:r>
              <w:t xml:space="preserve">Specific output</w:t>
            </w:r>
          </w:p>
        </w:tc>
        <w:tc>
          <w:tcPr/>
          <w:p>
            <w:pPr>
              <w:pStyle w:val="Compact"/>
            </w:pPr>
            <w:r>
              <w:t xml:space="preserve">Responsible role</w:t>
            </w:r>
          </w:p>
        </w:tc>
        <w:tc>
          <w:tcPr/>
          <w:p>
            <w:pPr>
              <w:pStyle w:val="Compact"/>
            </w:pPr>
            <w:r>
              <w:t xml:space="preserve">Support role</w:t>
            </w:r>
          </w:p>
        </w:tc>
        <w:tc>
          <w:tcPr/>
          <w:p>
            <w:pPr>
              <w:pStyle w:val="Compact"/>
            </w:pPr>
            <w:r>
              <w:t xml:space="preserve">Estimated hours</w:t>
            </w:r>
          </w:p>
        </w:tc>
      </w:tr>
      <w:tr>
        <w:tc>
          <w:tcPr/>
          <w:p>
            <w:pPr>
              <w:pStyle w:val="Compact"/>
            </w:pPr>
            <w:r>
              <w:t xml:space="preserve">Confirm task scope and freeze active external claims pending review</w:t>
            </w:r>
          </w:p>
        </w:tc>
        <w:tc>
          <w:tcPr/>
          <w:p>
            <w:pPr>
              <w:pStyle w:val="Compact"/>
            </w:pPr>
            <w:r>
              <w:t xml:space="preserve">Written kickoff note, in-scope channel list, temporary publication hold notice</w:t>
            </w:r>
          </w:p>
        </w:tc>
        <w:tc>
          <w:tcPr/>
          <w:p>
            <w:pPr>
              <w:pStyle w:val="Compact"/>
            </w:pPr>
            <w:r>
              <w:t xml:space="preserve">Project lead</w:t>
            </w:r>
          </w:p>
        </w:tc>
        <w:tc>
          <w:tcPr/>
          <w:p>
            <w:pPr>
              <w:pStyle w:val="Compact"/>
            </w:pPr>
            <w:r>
              <w:t xml:space="preserve">Writer</w:t>
            </w:r>
          </w:p>
        </w:tc>
        <w:tc>
          <w:tcPr/>
          <w:p>
            <w:pPr>
              <w:pStyle w:val="Compact"/>
            </w:pPr>
            <w:r>
              <w:t xml:space="preserve">2</w:t>
            </w:r>
          </w:p>
        </w:tc>
      </w:tr>
      <w:tr>
        <w:tc>
          <w:tcPr/>
          <w:p>
            <w:pPr>
              <w:pStyle w:val="Compact"/>
            </w:pPr>
            <w:r>
              <w:t xml:space="preserve">Build the asset universe</w:t>
            </w:r>
          </w:p>
        </w:tc>
        <w:tc>
          <w:tcPr/>
          <w:p>
            <w:pPr>
              <w:pStyle w:val="Compact"/>
            </w:pPr>
            <w:r>
              <w:t xml:space="preserve">Initial inventory of website pages, whitepaper, decks, brochures, social accounts, partner pages, trial/recruitment materials, demos, videos, screenshots, email templates</w:t>
            </w:r>
          </w:p>
        </w:tc>
        <w:tc>
          <w:tcPr/>
          <w:p>
            <w:pPr>
              <w:pStyle w:val="Compact"/>
            </w:pPr>
            <w:r>
              <w:t xml:space="preserve">Researcher</w:t>
            </w:r>
          </w:p>
        </w:tc>
        <w:tc>
          <w:tcPr/>
          <w:p>
            <w:pPr>
              <w:pStyle w:val="Compact"/>
            </w:pPr>
            <w:r>
              <w:t xml:space="preserve">Project lead, designer</w:t>
            </w:r>
          </w:p>
        </w:tc>
        <w:tc>
          <w:tcPr/>
          <w:p>
            <w:pPr>
              <w:pStyle w:val="Compact"/>
            </w:pPr>
            <w:r>
              <w:t xml:space="preserve">4</w:t>
            </w:r>
          </w:p>
        </w:tc>
      </w:tr>
      <w:tr>
        <w:tc>
          <w:tcPr/>
          <w:p>
            <w:pPr>
              <w:pStyle w:val="Compact"/>
            </w:pPr>
            <w:r>
              <w:t xml:space="preserve">Capture baseline evidence copies</w:t>
            </w:r>
          </w:p>
        </w:tc>
        <w:tc>
          <w:tcPr/>
          <w:p>
            <w:pPr>
              <w:pStyle w:val="Compact"/>
            </w:pPr>
            <w:r>
              <w:t xml:space="preserve">PDFs/screenshots/exports of each live asset; file naming convention; archive folder</w:t>
            </w:r>
          </w:p>
        </w:tc>
        <w:tc>
          <w:tcPr/>
          <w:p>
            <w:pPr>
              <w:pStyle w:val="Compact"/>
            </w:pPr>
            <w:r>
              <w:t xml:space="preserve">Designer</w:t>
            </w:r>
          </w:p>
        </w:tc>
        <w:tc>
          <w:tcPr/>
          <w:p>
            <w:pPr>
              <w:pStyle w:val="Compact"/>
            </w:pPr>
            <w:r>
              <w:t xml:space="preserve">Researcher</w:t>
            </w:r>
          </w:p>
        </w:tc>
        <w:tc>
          <w:tcPr/>
          <w:p>
            <w:pPr>
              <w:pStyle w:val="Compact"/>
            </w:pPr>
            <w:r>
              <w:t xml:space="preserve">8</w:t>
            </w:r>
          </w:p>
        </w:tc>
      </w:tr>
      <w:tr>
        <w:tc>
          <w:tcPr/>
          <w:p>
            <w:pPr>
              <w:pStyle w:val="Compact"/>
            </w:pPr>
            <w:r>
              <w:t xml:space="preserve">Assign asset metadata and owners</w:t>
            </w:r>
          </w:p>
        </w:tc>
        <w:tc>
          <w:tcPr/>
          <w:p>
            <w:pPr>
              <w:pStyle w:val="Compact"/>
            </w:pPr>
            <w:r>
              <w:t xml:space="preserve">Asset IDs, dates, owners, status, channel, audience, location</w:t>
            </w:r>
          </w:p>
        </w:tc>
        <w:tc>
          <w:tcPr/>
          <w:p>
            <w:pPr>
              <w:pStyle w:val="Compact"/>
            </w:pPr>
            <w:r>
              <w:t xml:space="preserve">Project lead</w:t>
            </w:r>
          </w:p>
        </w:tc>
        <w:tc>
          <w:tcPr/>
          <w:p>
            <w:pPr>
              <w:pStyle w:val="Compact"/>
            </w:pPr>
            <w:r>
              <w:t xml:space="preserve">Writer</w:t>
            </w:r>
          </w:p>
        </w:tc>
        <w:tc>
          <w:tcPr/>
          <w:p>
            <w:pPr>
              <w:pStyle w:val="Compact"/>
            </w:pPr>
            <w:r>
              <w:t xml:space="preserve">3</w:t>
            </w:r>
          </w:p>
        </w:tc>
      </w:tr>
      <w:tr>
        <w:tc>
          <w:tcPr/>
          <w:p>
            <w:pPr>
              <w:pStyle w:val="Compact"/>
            </w:pPr>
            <w:r>
              <w:t xml:space="preserve">Decompose each asset into discrete claims</w:t>
            </w:r>
          </w:p>
        </w:tc>
        <w:tc>
          <w:tcPr/>
          <w:p>
            <w:pPr>
              <w:pStyle w:val="Compact"/>
            </w:pPr>
            <w:r>
              <w:t xml:space="preserve">Claim-by-claim extraction with surrounding context and claim-type classification</w:t>
            </w:r>
          </w:p>
        </w:tc>
        <w:tc>
          <w:tcPr/>
          <w:p>
            <w:pPr>
              <w:pStyle w:val="Compact"/>
            </w:pPr>
            <w:r>
              <w:t xml:space="preserve">Researcher</w:t>
            </w:r>
          </w:p>
        </w:tc>
        <w:tc>
          <w:tcPr/>
          <w:p>
            <w:pPr>
              <w:pStyle w:val="Compact"/>
            </w:pPr>
            <w:r>
              <w:t xml:space="preserve">Writer</w:t>
            </w:r>
          </w:p>
        </w:tc>
        <w:tc>
          <w:tcPr/>
          <w:p>
            <w:pPr>
              <w:pStyle w:val="Compact"/>
            </w:pPr>
            <w:r>
              <w:t xml:space="preserve">10</w:t>
            </w:r>
          </w:p>
        </w:tc>
      </w:tr>
      <w:tr>
        <w:tc>
          <w:tcPr/>
          <w:p>
            <w:pPr>
              <w:pStyle w:val="Compact"/>
            </w:pPr>
            <w:r>
              <w:t xml:space="preserve">Perform first-pass risk triage</w:t>
            </w:r>
          </w:p>
        </w:tc>
        <w:tc>
          <w:tcPr/>
          <w:p>
            <w:pPr>
              <w:pStyle w:val="Compact"/>
            </w:pPr>
            <w:r>
              <w:t xml:space="preserve">Risk rating, intended-use relevance, evidence-status flag, permitted audience, preliminary disposition</w:t>
            </w:r>
          </w:p>
        </w:tc>
        <w:tc>
          <w:tcPr/>
          <w:p>
            <w:pPr>
              <w:pStyle w:val="Compact"/>
            </w:pPr>
            <w:r>
              <w:t xml:space="preserve">Researcher</w:t>
            </w:r>
          </w:p>
        </w:tc>
        <w:tc>
          <w:tcPr/>
          <w:p>
            <w:pPr>
              <w:pStyle w:val="Compact"/>
            </w:pPr>
            <w:r>
              <w:t xml:space="preserve">Project lead</w:t>
            </w:r>
          </w:p>
        </w:tc>
        <w:tc>
          <w:tcPr/>
          <w:p>
            <w:pPr>
              <w:pStyle w:val="Compact"/>
            </w:pPr>
            <w:r>
              <w:t xml:space="preserve">8</w:t>
            </w:r>
          </w:p>
        </w:tc>
      </w:tr>
      <w:tr>
        <w:tc>
          <w:tcPr/>
          <w:p>
            <w:pPr>
              <w:pStyle w:val="Compact"/>
            </w:pPr>
            <w:r>
              <w:t xml:space="preserve">Draft rewrite/quarantine proposals</w:t>
            </w:r>
          </w:p>
        </w:tc>
        <w:tc>
          <w:tcPr/>
          <w:p>
            <w:pPr>
              <w:pStyle w:val="Compact"/>
            </w:pPr>
            <w:r>
              <w:t xml:space="preserve">Replacement text or quarantine note for high-risk claims</w:t>
            </w:r>
          </w:p>
        </w:tc>
        <w:tc>
          <w:tcPr/>
          <w:p>
            <w:pPr>
              <w:pStyle w:val="Compact"/>
            </w:pPr>
            <w:r>
              <w:t xml:space="preserve">Writer</w:t>
            </w:r>
          </w:p>
        </w:tc>
        <w:tc>
          <w:tcPr/>
          <w:p>
            <w:pPr>
              <w:pStyle w:val="Compact"/>
            </w:pPr>
            <w:r>
              <w:t xml:space="preserve">Researcher</w:t>
            </w:r>
          </w:p>
        </w:tc>
        <w:tc>
          <w:tcPr/>
          <w:p>
            <w:pPr>
              <w:pStyle w:val="Compact"/>
            </w:pPr>
            <w:r>
              <w:t xml:space="preserve">6</w:t>
            </w:r>
          </w:p>
        </w:tc>
      </w:tr>
      <w:tr>
        <w:tc>
          <w:tcPr/>
          <w:p>
            <w:pPr>
              <w:pStyle w:val="Compact"/>
            </w:pPr>
            <w:r>
              <w:t xml:space="preserve">Build the redline log</w:t>
            </w:r>
          </w:p>
        </w:tc>
        <w:tc>
          <w:tcPr/>
          <w:p>
            <w:pPr>
              <w:pStyle w:val="Compact"/>
            </w:pPr>
            <w:r>
              <w:t xml:space="preserve">Before/after wording and rationale per changed claim</w:t>
            </w:r>
          </w:p>
        </w:tc>
        <w:tc>
          <w:tcPr/>
          <w:p>
            <w:pPr>
              <w:pStyle w:val="Compact"/>
            </w:pPr>
            <w:r>
              <w:t xml:space="preserve">Writer</w:t>
            </w:r>
          </w:p>
        </w:tc>
        <w:tc>
          <w:tcPr/>
          <w:p>
            <w:pPr>
              <w:pStyle w:val="Compact"/>
            </w:pPr>
            <w:r>
              <w:t xml:space="preserve">Designer</w:t>
            </w:r>
          </w:p>
        </w:tc>
        <w:tc>
          <w:tcPr/>
          <w:p>
            <w:pPr>
              <w:pStyle w:val="Compact"/>
            </w:pPr>
            <w:r>
              <w:t xml:space="preserve">4</w:t>
            </w:r>
          </w:p>
        </w:tc>
      </w:tr>
      <w:tr>
        <w:tc>
          <w:tcPr/>
          <w:p>
            <w:pPr>
              <w:pStyle w:val="Compact"/>
            </w:pPr>
            <w:r>
              <w:t xml:space="preserve">Draft the external-communications review SOP</w:t>
            </w:r>
          </w:p>
        </w:tc>
        <w:tc>
          <w:tcPr/>
          <w:p>
            <w:pPr>
              <w:pStyle w:val="Compact"/>
            </w:pPr>
            <w:r>
              <w:t xml:space="preserve">Intake, evidence check, approval routing, publication control, repost/takedown process</w:t>
            </w:r>
          </w:p>
        </w:tc>
        <w:tc>
          <w:tcPr/>
          <w:p>
            <w:pPr>
              <w:pStyle w:val="Compact"/>
            </w:pPr>
            <w:r>
              <w:t xml:space="preserve">Writer</w:t>
            </w:r>
          </w:p>
        </w:tc>
        <w:tc>
          <w:tcPr/>
          <w:p>
            <w:pPr>
              <w:pStyle w:val="Compact"/>
            </w:pPr>
            <w:r>
              <w:t xml:space="preserve">Project lead</w:t>
            </w:r>
          </w:p>
        </w:tc>
        <w:tc>
          <w:tcPr/>
          <w:p>
            <w:pPr>
              <w:pStyle w:val="Compact"/>
            </w:pPr>
            <w:r>
              <w:t xml:space="preserve">6</w:t>
            </w:r>
          </w:p>
        </w:tc>
      </w:tr>
      <w:tr>
        <w:tc>
          <w:tcPr/>
          <w:p>
            <w:pPr>
              <w:pStyle w:val="Compact"/>
            </w:pPr>
            <w:r>
              <w:t xml:space="preserve">Quality-check the package and route for review</w:t>
            </w:r>
          </w:p>
        </w:tc>
        <w:tc>
          <w:tcPr/>
          <w:p>
            <w:pPr>
              <w:pStyle w:val="Compact"/>
            </w:pPr>
            <w:r>
              <w:t xml:space="preserve">Check for duplicate IDs, missing owners, missing evidence refs, uncaptured assets, unresolved claims</w:t>
            </w:r>
          </w:p>
        </w:tc>
        <w:tc>
          <w:tcPr/>
          <w:p>
            <w:pPr>
              <w:pStyle w:val="Compact"/>
            </w:pPr>
            <w:r>
              <w:t xml:space="preserve">Project lead</w:t>
            </w:r>
          </w:p>
        </w:tc>
        <w:tc>
          <w:tcPr/>
          <w:p>
            <w:pPr>
              <w:pStyle w:val="Compact"/>
            </w:pPr>
            <w:r>
              <w:t xml:space="preserve">All</w:t>
            </w:r>
          </w:p>
        </w:tc>
        <w:tc>
          <w:tcPr/>
          <w:p>
            <w:pPr>
              <w:pStyle w:val="Compact"/>
            </w:pPr>
            <w:r>
              <w:t xml:space="preserve">4</w:t>
            </w:r>
          </w:p>
        </w:tc>
      </w:tr>
    </w:tbl>
    <w:p>
      <w:pPr>
        <w:pStyle w:val="BodyText"/>
      </w:pPr>
      <w:r>
        <w:rPr>
          <w:b/>
          <w:bCs/>
        </w:rPr>
        <w:t xml:space="preserve">Estimated total core-team effort:</w:t>
      </w:r>
      <w:r>
        <w:t xml:space="preserve"> </w:t>
      </w:r>
      <w:r>
        <w:rPr>
          <w:b/>
          <w:bCs/>
        </w:rPr>
        <w:t xml:space="preserve">55 hours</w:t>
      </w:r>
      <w:r>
        <w:t xml:space="preserve">.</w:t>
      </w:r>
    </w:p>
    <w:p>
      <w:pPr>
        <w:pStyle w:val="BodyText"/>
      </w:pPr>
      <w:r>
        <w:t xml:space="preserve">A practical role split for the small team is shown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Primary ownership in A0</w:t>
            </w:r>
          </w:p>
        </w:tc>
        <w:tc>
          <w:tcPr/>
          <w:p>
            <w:pPr>
              <w:pStyle w:val="Compact"/>
            </w:pPr>
            <w:r>
              <w:t xml:space="preserve">Estimated hours</w:t>
            </w:r>
          </w:p>
        </w:tc>
      </w:tr>
      <w:tr>
        <w:tc>
          <w:tcPr/>
          <w:p>
            <w:pPr>
              <w:pStyle w:val="Compact"/>
            </w:pPr>
            <w:r>
              <w:t xml:space="preserve">Project lead</w:t>
            </w:r>
          </w:p>
        </w:tc>
        <w:tc>
          <w:tcPr/>
          <w:p>
            <w:pPr>
              <w:pStyle w:val="Compact"/>
            </w:pPr>
            <w:r>
              <w:t xml:space="preserve">Scope control, owner assignment, QA, review routing, final package assembly</w:t>
            </w:r>
          </w:p>
        </w:tc>
        <w:tc>
          <w:tcPr/>
          <w:p>
            <w:pPr>
              <w:pStyle w:val="Compact"/>
            </w:pPr>
            <w:r>
              <w:t xml:space="preserve">13</w:t>
            </w:r>
          </w:p>
        </w:tc>
      </w:tr>
      <w:tr>
        <w:tc>
          <w:tcPr/>
          <w:p>
            <w:pPr>
              <w:pStyle w:val="Compact"/>
            </w:pPr>
            <w:r>
              <w:t xml:space="preserve">Researcher</w:t>
            </w:r>
          </w:p>
        </w:tc>
        <w:tc>
          <w:tcPr/>
          <w:p>
            <w:pPr>
              <w:pStyle w:val="Compact"/>
            </w:pPr>
            <w:r>
              <w:t xml:space="preserve">Asset discovery, claim extraction, risk/evidence triage</w:t>
            </w:r>
          </w:p>
        </w:tc>
        <w:tc>
          <w:tcPr/>
          <w:p>
            <w:pPr>
              <w:pStyle w:val="Compact"/>
            </w:pPr>
            <w:r>
              <w:t xml:space="preserve">22</w:t>
            </w:r>
          </w:p>
        </w:tc>
      </w:tr>
      <w:tr>
        <w:tc>
          <w:tcPr/>
          <w:p>
            <w:pPr>
              <w:pStyle w:val="Compact"/>
            </w:pPr>
            <w:r>
              <w:t xml:space="preserve">Writer</w:t>
            </w:r>
          </w:p>
        </w:tc>
        <w:tc>
          <w:tcPr/>
          <w:p>
            <w:pPr>
              <w:pStyle w:val="Compact"/>
            </w:pPr>
            <w:r>
              <w:t xml:space="preserve">Replacement text, redline log, SOP drafting, package polish</w:t>
            </w:r>
          </w:p>
        </w:tc>
        <w:tc>
          <w:tcPr/>
          <w:p>
            <w:pPr>
              <w:pStyle w:val="Compact"/>
            </w:pPr>
            <w:r>
              <w:t xml:space="preserve">16</w:t>
            </w:r>
          </w:p>
        </w:tc>
      </w:tr>
      <w:tr>
        <w:tc>
          <w:tcPr/>
          <w:p>
            <w:pPr>
              <w:pStyle w:val="Compact"/>
            </w:pPr>
            <w:r>
              <w:t xml:space="preserve">Designer</w:t>
            </w:r>
          </w:p>
        </w:tc>
        <w:tc>
          <w:tcPr/>
          <w:p>
            <w:pPr>
              <w:pStyle w:val="Compact"/>
            </w:pPr>
            <w:r>
              <w:t xml:space="preserve">Baseline capture, screenshot/PDF archive, asset-format normalization</w:t>
            </w:r>
          </w:p>
        </w:tc>
        <w:tc>
          <w:tcPr/>
          <w:p>
            <w:pPr>
              <w:pStyle w:val="Compact"/>
            </w:pPr>
            <w:r>
              <w:t xml:space="preserve">12</w:t>
            </w:r>
          </w:p>
        </w:tc>
      </w:tr>
    </w:tbl>
    <w:p>
      <w:pPr>
        <w:pStyle w:val="BodyText"/>
      </w:pPr>
      <w:r>
        <w:t xml:space="preserve">Because several actions run in parallel, elapsed time can remain within one week even though total effort exceeds one person-week.</w:t>
      </w:r>
    </w:p>
    <w:bookmarkEnd w:id="29"/>
    <w:bookmarkStart w:id="36" w:name="visual-aids-and-source-basis"/>
    <w:p>
      <w:pPr>
        <w:pStyle w:val="Heading2"/>
      </w:pPr>
      <w:r>
        <w:t xml:space="preserve">Visual aids and source basis</w:t>
      </w:r>
    </w:p>
    <w:p>
      <w:pPr>
        <w:pStyle w:val="FirstParagraph"/>
      </w:pPr>
      <w:r>
        <w:t xml:space="preserve">The two visuals below are designed to help the team start immediately: first, a short Gantt for the initial sprint; second, a dependency flow so Task 1 stays bounded and does not drift into Tasks 2–22. The sequencing is based on the roadmap’s Phase 0 timeframe, A0 task specification, and cross-task dependencies. fileciteturn0file0</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17037"/>
                  <wp:effectExtent b="0" l="0" r="0" t="0"/>
                  <wp:docPr descr="Rendered Mermaid diagram 1" title="" id="31" name="Picture"/>
                  <a:graphic>
                    <a:graphicData uri="http://schemas.openxmlformats.org/drawingml/2006/picture">
                      <pic:pic>
                        <pic:nvPicPr>
                          <pic:cNvPr descr="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" id="32" name="Picture"/>
                          <pic:cNvPicPr>
                            <a:picLocks noChangeArrowheads="1" noChangeAspect="1"/>
                          </pic:cNvPicPr>
                        </pic:nvPicPr>
                        <pic:blipFill>
                          <a:blip r:embed="rId30"/>
                          <a:stretch>
                            <a:fillRect/>
                          </a:stretch>
                        </pic:blipFill>
                        <pic:spPr bwMode="auto">
                          <a:xfrm>
                            <a:off x="0" y="0"/>
                            <a:ext cx="5334000" cy="1317037"/>
                          </a:xfrm>
                          <a:prstGeom prst="rect">
                            <a:avLst/>
                          </a:prstGeom>
                          <a:noFill/>
                          <a:ln w="9525">
                            <a:noFill/>
                            <a:headEnd/>
                            <a:tailEnd/>
                          </a:ln>
                        </pic:spPr>
                      </pic:pic>
                    </a:graphicData>
                  </a:graphic>
                </wp:inline>
              </w:drawing>
            </w:r>
            <w:r>
              <w:br/>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1679222"/>
                  <wp:effectExtent b="0" l="0" r="0" t="0"/>
                  <wp:docPr descr="Rendered Mermaid diagram 2" title="" id="34" name="Picture"/>
                  <a:graphic>
                    <a:graphicData uri="http://schemas.openxmlformats.org/drawingml/2006/picture">
                      <pic:pic>
                        <pic:nvPicPr>
                          <pic:cNvPr descr="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" id="35" name="Picture"/>
                          <pic:cNvPicPr>
                            <a:picLocks noChangeArrowheads="1" noChangeAspect="1"/>
                          </pic:cNvPicPr>
                        </pic:nvPicPr>
                        <pic:blipFill>
                          <a:blip r:embed="rId33"/>
                          <a:stretch>
                            <a:fillRect/>
                          </a:stretch>
                        </pic:blipFill>
                        <pic:spPr bwMode="auto">
                          <a:xfrm>
                            <a:off x="0" y="0"/>
                            <a:ext cx="5334000" cy="1679222"/>
                          </a:xfrm>
                          <a:prstGeom prst="rect">
                            <a:avLst/>
                          </a:prstGeom>
                          <a:noFill/>
                          <a:ln w="9525">
                            <a:noFill/>
                            <a:headEnd/>
                            <a:tailEnd/>
                          </a:ln>
                        </pic:spPr>
                      </pic:pic>
                    </a:graphicData>
                  </a:graphic>
                </wp:inline>
              </w:drawing>
            </w:r>
            <w:r>
              <w:br/>
            </w:r>
          </w:p>
        </w:tc>
      </w:tr>
    </w:tbl>
    <w:p>
      <w:pPr>
        <w:pStyle w:val="BodyText"/>
      </w:pPr>
      <w:r>
        <w:t xml:space="preserve">The source basis for this report is intentionally narrow because the roadmap itself instructs the team not to invent missing facts. The controlling documents were the roadmap and the working whitepaper. I attempted supplementary public-web research for corroborative material, but I did not identify a project-specific official source strong enough to change the Task 1 plan, so I treated the corresponding details as unspecified rather than inferred. That is consistent with the roadmap’s non-invention rule. fileciteturn0file0</w:t>
      </w:r>
    </w:p>
    <w:p>
      <w:pPr>
        <w:pStyle w:val="BodyText"/>
      </w:pPr>
      <w:r>
        <w:rPr>
          <w:b/>
          <w:bCs/>
        </w:rPr>
        <w:t xml:space="preserve">Sources used</w:t>
      </w:r>
    </w:p>
    <w:p>
      <w:pPr>
        <w:pStyle w:val="Compact"/>
        <w:numPr>
          <w:ilvl w:val="0"/>
          <w:numId w:val="1001"/>
        </w:numPr>
      </w:pPr>
      <w:r>
        <w:rPr>
          <w:b/>
          <w:bCs/>
        </w:rPr>
        <w:t xml:space="preserve">SonoHL Pre-FDA Approval Reimbursement Readiness Roadmap, LLM-Executable Edition</w:t>
      </w:r>
      <w:r>
        <w:t xml:space="preserve"> </w:t>
      </w:r>
      <w:r>
        <w:t xml:space="preserve">— controlling source for project scope, all 22 tasks, A0 deliverables, acceptance criteria, dependencies, and phase timing. fileciteturn0file0</w:t>
      </w:r>
    </w:p>
    <w:p>
      <w:pPr>
        <w:pStyle w:val="Compact"/>
        <w:numPr>
          <w:ilvl w:val="0"/>
          <w:numId w:val="1001"/>
        </w:numPr>
      </w:pPr>
      <w:r>
        <w:rPr>
          <w:b/>
          <w:bCs/>
        </w:rPr>
        <w:t xml:space="preserve">SonoHL Working Product Whitepaper Draft</w:t>
      </w:r>
      <w:r>
        <w:t xml:space="preserve"> </w:t>
      </w:r>
      <w:r>
        <w:t xml:space="preserve">— controlling source for product narrative, current public-claim posture, and unresolved claim/specification issues that justify A0 as the first task. fileciteturn0file1</w:t>
      </w:r>
    </w:p>
    <w:p>
      <w:pPr>
        <w:pStyle w:val="FirstParagraph"/>
      </w:pPr>
      <w:r>
        <w:rPr>
          <w:b/>
          <w:bCs/>
        </w:rPr>
        <w:t xml:space="preserve">Bottom line:</w:t>
      </w:r>
      <w:r>
        <w:t xml:space="preserve"> </w:t>
      </w:r>
      <w:r>
        <w:t xml:space="preserve">Start Task 1 now as a</w:t>
      </w:r>
      <w:r>
        <w:t xml:space="preserve"> </w:t>
      </w:r>
      <w:r>
        <w:rPr>
          <w:b/>
          <w:bCs/>
        </w:rPr>
        <w:t xml:space="preserve">hybrid, controlled-register audit</w:t>
      </w:r>
      <w:r>
        <w:t xml:space="preserve">. Do not spend time refining copy before the asset inventory, claim decomposition, and evidence-status map exist. The first objective is not elegant messaging; it is a defensible, complete baseline of what SonoHL is currently saying in public and partner-facing channels, and which parts of that language must be approved, narrowed, removed, or quarantined before anything else moves forward. fileciteturn0file0 fileciteturn0file1</w:t>
      </w:r>
    </w:p>
    <w:bookmarkEnd w:id="36"/>
    <w:bookmarkEnd w:id="37"/>
    <w:bookmarkEnd w:id="38"/>
    <w:p>
      <w:r>
        <w:pict>
          <v:rect style="width:0;height:1.5pt" o:hralign="center" o:hrstd="t" o:hr="t"/>
        </w:pict>
      </w:r>
    </w:p>
    <w:bookmarkStart w:id="39" w:name="citations"/>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2026-06-22T18:53:53Z</dcterms:created>
  <dcterms:modified xsi:type="dcterms:W3CDTF">2026-06-22T18:53:53Z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