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jc w:val="left"/>
      </w:pPr>
      <w:r>
        <w:rPr>
          <w:b/>
          <w:color w:val="2C7A7B"/>
          <w:sz w:val="24"/>
        </w:rPr>
        <w:t>WORKING PRODUCT WHITEPAPER</w:t>
      </w:r>
    </w:p>
    <w:p>
      <w:pPr>
        <w:spacing w:before="120" w:after="60"/>
      </w:pPr>
      <w:r>
        <w:rPr>
          <w:b/>
          <w:color w:val="0F4C5C"/>
          <w:sz w:val="68"/>
        </w:rPr>
        <w:t>SonoHL</w:t>
      </w:r>
    </w:p>
    <w:p>
      <w:pPr>
        <w:spacing w:after="360"/>
      </w:pPr>
      <w:r>
        <w:rPr>
          <w:color w:val="16323A"/>
          <w:sz w:val="34"/>
        </w:rPr>
        <w:t>An investigational wearable acoustic-sensing platform in clinical development</w:t>
      </w:r>
    </w:p>
    <w:tbl>
      <w:tblPr>
        <w:tblW w:type="auto" w:w="0"/>
        <w:jc w:val="left"/>
        <w:tblLayout w:type="fixed"/>
        <w:tblLook w:firstColumn="1" w:firstRow="1" w:lastColumn="0" w:lastRow="0" w:noHBand="0" w:noVBand="1" w:val="04A0"/>
        <w:tblBorders>
          <w:top w:val="single" w:sz="4" w:space="0" w:color="B7C9CE"/>
          <w:left w:val="single" w:sz="4" w:space="0" w:color="B7C9CE"/>
          <w:bottom w:val="single" w:sz="4" w:space="0" w:color="B7C9CE"/>
          <w:right w:val="single" w:sz="4" w:space="0" w:color="B7C9CE"/>
          <w:insideH w:val="single" w:sz="4" w:space="0" w:color="B7C9CE"/>
          <w:insideV w:val="single" w:sz="4" w:space="0" w:color="B7C9CE"/>
        </w:tblBorders>
      </w:tblPr>
      <w:tblGrid>
        <w:gridCol w:w="2592"/>
        <w:gridCol w:w="7128"/>
      </w:tblGrid>
      <w:tr>
        <w:trPr>
          <w:cantSplit/>
        </w:trPr>
        <w:tc>
          <w:tcPr>
            <w:tcW w:type="dxa" w:w="5040"/>
            <w:shd w:fill="E6F3F4"/>
            <w:tcMar>
              <w:top w:w="100" w:type="dxa"/>
              <w:start w:w="120" w:type="dxa"/>
              <w:bottom w:w="100" w:type="dxa"/>
              <w:end w:w="120" w:type="dxa"/>
            </w:tcMar>
            <w:vAlign w:val="center"/>
          </w:tcPr>
          <w:p>
            <w:pPr>
              <w:spacing w:after="0"/>
            </w:pPr>
            <w:r>
              <w:rPr>
                <w:b/>
                <w:color w:val="0F4C5C"/>
                <w:sz w:val="18"/>
              </w:rPr>
              <w:t>Document status</w:t>
            </w:r>
          </w:p>
        </w:tc>
        <w:tc>
          <w:tcPr>
            <w:tcW w:type="dxa" w:w="5040"/>
            <w:shd w:fill="F3F8F8"/>
            <w:tcMar>
              <w:top w:w="100" w:type="dxa"/>
              <w:start w:w="120" w:type="dxa"/>
              <w:bottom w:w="100" w:type="dxa"/>
              <w:end w:w="120" w:type="dxa"/>
            </w:tcMar>
            <w:vAlign w:val="center"/>
          </w:tcPr>
          <w:p>
            <w:pPr>
              <w:spacing w:after="0"/>
            </w:pPr>
            <w:r>
              <w:rPr>
                <w:color w:val="16323A"/>
                <w:sz w:val="18"/>
              </w:rPr>
              <w:t>A0-audited working draft</w:t>
            </w:r>
          </w:p>
        </w:tc>
      </w:tr>
      <w:tr>
        <w:trPr>
          <w:cantSplit/>
        </w:trPr>
        <w:tc>
          <w:tcPr>
            <w:tcW w:type="dxa" w:w="5040"/>
            <w:shd w:fill="E6F3F4"/>
            <w:tcMar>
              <w:top w:w="100" w:type="dxa"/>
              <w:start w:w="120" w:type="dxa"/>
              <w:bottom w:w="100" w:type="dxa"/>
              <w:end w:w="120" w:type="dxa"/>
            </w:tcMar>
            <w:vAlign w:val="center"/>
          </w:tcPr>
          <w:p>
            <w:pPr>
              <w:spacing w:after="0"/>
            </w:pPr>
            <w:r>
              <w:rPr>
                <w:b/>
                <w:color w:val="0F4C5C"/>
                <w:sz w:val="18"/>
              </w:rPr>
              <w:t>Version</w:t>
            </w:r>
          </w:p>
        </w:tc>
        <w:tc>
          <w:tcPr>
            <w:tcW w:type="dxa" w:w="5040"/>
            <w:shd w:fill="FFFFFF"/>
            <w:tcMar>
              <w:top w:w="100" w:type="dxa"/>
              <w:start w:w="120" w:type="dxa"/>
              <w:bottom w:w="100" w:type="dxa"/>
              <w:end w:w="120" w:type="dxa"/>
            </w:tcMar>
            <w:vAlign w:val="center"/>
          </w:tcPr>
          <w:p>
            <w:pPr>
              <w:spacing w:after="0"/>
            </w:pPr>
            <w:r>
              <w:rPr>
                <w:color w:val="16323A"/>
                <w:sz w:val="18"/>
              </w:rPr>
              <w:t>0.1 DRAFT</w:t>
            </w:r>
          </w:p>
        </w:tc>
      </w:tr>
      <w:tr>
        <w:trPr>
          <w:cantSplit/>
        </w:trPr>
        <w:tc>
          <w:tcPr>
            <w:tcW w:type="dxa" w:w="5040"/>
            <w:shd w:fill="E6F3F4"/>
            <w:tcMar>
              <w:top w:w="100" w:type="dxa"/>
              <w:start w:w="120" w:type="dxa"/>
              <w:bottom w:w="100" w:type="dxa"/>
              <w:end w:w="120" w:type="dxa"/>
            </w:tcMar>
            <w:vAlign w:val="center"/>
          </w:tcPr>
          <w:p>
            <w:pPr>
              <w:spacing w:after="0"/>
            </w:pPr>
            <w:r>
              <w:rPr>
                <w:b/>
                <w:color w:val="0F4C5C"/>
                <w:sz w:val="18"/>
              </w:rPr>
              <w:t>Prepared date</w:t>
            </w:r>
          </w:p>
        </w:tc>
        <w:tc>
          <w:tcPr>
            <w:tcW w:type="dxa" w:w="5040"/>
            <w:shd w:fill="F3F8F8"/>
            <w:tcMar>
              <w:top w:w="100" w:type="dxa"/>
              <w:start w:w="120" w:type="dxa"/>
              <w:bottom w:w="100" w:type="dxa"/>
              <w:end w:w="120" w:type="dxa"/>
            </w:tcMar>
            <w:vAlign w:val="center"/>
          </w:tcPr>
          <w:p>
            <w:pPr>
              <w:spacing w:after="0"/>
            </w:pPr>
            <w:r>
              <w:rPr>
                <w:color w:val="16323A"/>
                <w:sz w:val="18"/>
              </w:rPr>
              <w:t>June 22, 2026</w:t>
            </w:r>
          </w:p>
        </w:tc>
      </w:tr>
      <w:tr>
        <w:trPr>
          <w:cantSplit/>
        </w:trPr>
        <w:tc>
          <w:tcPr>
            <w:tcW w:type="dxa" w:w="5040"/>
            <w:shd w:fill="E6F3F4"/>
            <w:tcMar>
              <w:top w:w="100" w:type="dxa"/>
              <w:start w:w="120" w:type="dxa"/>
              <w:bottom w:w="100" w:type="dxa"/>
              <w:end w:w="120" w:type="dxa"/>
            </w:tcMar>
            <w:vAlign w:val="center"/>
          </w:tcPr>
          <w:p>
            <w:pPr>
              <w:spacing w:after="0"/>
            </w:pPr>
            <w:r>
              <w:rPr>
                <w:b/>
                <w:color w:val="0F4C5C"/>
                <w:sz w:val="18"/>
              </w:rPr>
              <w:t>Base document</w:t>
            </w:r>
          </w:p>
        </w:tc>
        <w:tc>
          <w:tcPr>
            <w:tcW w:type="dxa" w:w="5040"/>
            <w:shd w:fill="FFFFFF"/>
            <w:tcMar>
              <w:top w:w="100" w:type="dxa"/>
              <w:start w:w="120" w:type="dxa"/>
              <w:bottom w:w="100" w:type="dxa"/>
              <w:end w:w="120" w:type="dxa"/>
            </w:tcMar>
            <w:vAlign w:val="center"/>
          </w:tcPr>
          <w:p>
            <w:pPr>
              <w:spacing w:after="0"/>
            </w:pPr>
            <w:r>
              <w:rPr>
                <w:color w:val="16323A"/>
                <w:sz w:val="18"/>
              </w:rPr>
              <w:t>SonoHL Working Product Whitepaper, source-derived from website copy</w:t>
            </w:r>
          </w:p>
        </w:tc>
      </w:tr>
      <w:tr>
        <w:trPr>
          <w:cantSplit/>
        </w:trPr>
        <w:tc>
          <w:tcPr>
            <w:tcW w:type="dxa" w:w="5040"/>
            <w:shd w:fill="E6F3F4"/>
            <w:tcMar>
              <w:top w:w="100" w:type="dxa"/>
              <w:start w:w="120" w:type="dxa"/>
              <w:bottom w:w="100" w:type="dxa"/>
              <w:end w:w="120" w:type="dxa"/>
            </w:tcMar>
            <w:vAlign w:val="center"/>
          </w:tcPr>
          <w:p>
            <w:pPr>
              <w:spacing w:after="0"/>
            </w:pPr>
            <w:r>
              <w:rPr>
                <w:b/>
                <w:color w:val="0F4C5C"/>
                <w:sz w:val="18"/>
              </w:rPr>
              <w:t>Audit task</w:t>
            </w:r>
          </w:p>
        </w:tc>
        <w:tc>
          <w:tcPr>
            <w:tcW w:type="dxa" w:w="5040"/>
            <w:shd w:fill="F3F8F8"/>
            <w:tcMar>
              <w:top w:w="100" w:type="dxa"/>
              <w:start w:w="120" w:type="dxa"/>
              <w:bottom w:w="100" w:type="dxa"/>
              <w:end w:w="120" w:type="dxa"/>
            </w:tcMar>
            <w:vAlign w:val="center"/>
          </w:tcPr>
          <w:p>
            <w:pPr>
              <w:spacing w:after="0"/>
            </w:pPr>
            <w:r>
              <w:rPr>
                <w:color w:val="16323A"/>
                <w:sz w:val="18"/>
              </w:rPr>
              <w:t>A0 - Audit every website page and all collateral as labeling</w:t>
            </w:r>
          </w:p>
        </w:tc>
      </w:tr>
      <w:tr>
        <w:trPr>
          <w:cantSplit/>
        </w:trPr>
        <w:tc>
          <w:tcPr>
            <w:tcW w:type="dxa" w:w="5040"/>
            <w:shd w:fill="E6F3F4"/>
            <w:tcMar>
              <w:top w:w="100" w:type="dxa"/>
              <w:start w:w="120" w:type="dxa"/>
              <w:bottom w:w="100" w:type="dxa"/>
              <w:end w:w="120" w:type="dxa"/>
            </w:tcMar>
            <w:vAlign w:val="center"/>
          </w:tcPr>
          <w:p>
            <w:pPr>
              <w:spacing w:after="0"/>
            </w:pPr>
            <w:r>
              <w:rPr>
                <w:b/>
                <w:color w:val="0F4C5C"/>
                <w:sz w:val="18"/>
              </w:rPr>
              <w:t>Release restriction</w:t>
            </w:r>
          </w:p>
        </w:tc>
        <w:tc>
          <w:tcPr>
            <w:tcW w:type="dxa" w:w="5040"/>
            <w:shd w:fill="FFFFFF"/>
            <w:tcMar>
              <w:top w:w="100" w:type="dxa"/>
              <w:start w:w="120" w:type="dxa"/>
              <w:bottom w:w="100" w:type="dxa"/>
              <w:end w:w="120" w:type="dxa"/>
            </w:tcMar>
            <w:vAlign w:val="center"/>
          </w:tcPr>
          <w:p>
            <w:pPr>
              <w:spacing w:after="0"/>
            </w:pPr>
            <w:r>
              <w:rPr>
                <w:color w:val="16323A"/>
                <w:sz w:val="18"/>
              </w:rPr>
              <w:t>Internal review only; not approved for external use</w:t>
            </w:r>
          </w:p>
        </w:tc>
      </w:tr>
    </w:tbl>
    <w:tbl>
      <w:tblPr>
        <w:tblW w:type="auto" w:w="0"/>
        <w:jc w:val="center"/>
        <w:tblLayout w:type="fixed"/>
        <w:tblLook w:firstColumn="1" w:firstRow="1" w:lastColumn="0" w:lastRow="0" w:noHBand="0" w:noVBand="1" w:val="04A0"/>
        <w:tblBorders>
          <w:top w:val="single" w:sz="8" w:space="0" w:color="A61B1B"/>
          <w:left w:val="single" w:sz="8" w:space="0" w:color="A61B1B"/>
          <w:bottom w:val="single" w:sz="8" w:space="0" w:color="A61B1B"/>
          <w:right w:val="single" w:sz="8" w:space="0" w:color="A61B1B"/>
          <w:insideH w:val="single" w:sz="8" w:space="0" w:color="A61B1B"/>
          <w:insideV w:val="single" w:sz="8" w:space="0" w:color="A61B1B"/>
        </w:tblBorders>
      </w:tblPr>
      <w:tblGrid>
        <w:gridCol w:w="9720"/>
      </w:tblGrid>
      <w:tr>
        <w:trPr>
          <w:cantSplit/>
        </w:trPr>
        <w:tc>
          <w:tcPr>
            <w:tcW w:type="dxa" w:w="10080"/>
            <w:shd w:fill="FFF5F5"/>
            <w:tcMar>
              <w:top w:w="130" w:type="dxa"/>
              <w:start w:w="180" w:type="dxa"/>
              <w:bottom w:w="130" w:type="dxa"/>
              <w:end w:w="180" w:type="dxa"/>
            </w:tcMar>
          </w:tcPr>
          <w:p>
            <w:pPr>
              <w:spacing w:after="80"/>
            </w:pPr>
            <w:r>
              <w:rPr>
                <w:b/>
                <w:color w:val="A61B1B"/>
                <w:sz w:val="20"/>
              </w:rPr>
              <w:t>CONTROLLED DRAFT NOTICE</w:t>
            </w:r>
          </w:p>
          <w:p>
            <w:pPr>
              <w:spacing w:after="0"/>
            </w:pPr>
            <w:r>
              <w:rPr>
                <w:color w:val="16323A"/>
                <w:sz w:val="18"/>
              </w:rPr>
              <w:t>This document is an A0-audited working copy. Claims identified as unsupported, conflicting, stale, or dependent on unmade regulatory decisions have been removed, neutralized, or replaced with explicit input requirements. This is not a clinical, regulatory, scientific, promotional, or reimbursement submission.</w:t>
            </w:r>
          </w:p>
        </w:tc>
      </w:tr>
    </w:tbl>
    <w:p>
      <w:pPr>
        <w:spacing w:after="0"/>
      </w:pPr>
    </w:p>
    <w:p>
      <w:pPr>
        <w:spacing w:before="320"/>
        <w:jc w:val="center"/>
      </w:pPr>
      <w:r>
        <w:rPr>
          <w:color w:val="5C6B73"/>
          <w:sz w:val="18"/>
        </w:rPr>
        <w:t>SonoHL Inc.  |  Vitruvius Innovation portfolio</w:t>
      </w:r>
    </w:p>
    <w:p>
      <w:r>
        <w:br w:type="page"/>
      </w:r>
    </w:p>
    <w:p>
      <w:pPr>
        <w:pStyle w:val="Heading1"/>
        <w:pBdr>
          <w:bottom w:val="single" w:sz="8" w:space="3" w:color="2C7A7B"/>
        </w:pBdr>
      </w:pPr>
      <w:r>
        <w:t>Document Control and A0 Audit Status</w:t>
      </w:r>
    </w:p>
    <w:p>
      <w:pPr>
        <w:spacing w:after="140" w:line="259" w:lineRule="auto"/>
      </w:pPr>
      <w:r>
        <w:rPr>
          <w:i w:val="0"/>
        </w:rPr>
        <w:t>This whitepaper was rebuilt from the supplied source-derived draft after completion of the written A0 audit package. The A0 review treated the whitepaper as a potentially external-facing product communication and assessed each material product, performance, clinical, regulatory, trial-status, and value statement for evidence status and intended-use alignment.</w:t>
      </w:r>
    </w:p>
    <w:tbl>
      <w:tblPr>
        <w:tblW w:type="auto" w:w="0"/>
        <w:jc w:val="left"/>
        <w:tblLayout w:type="fixed"/>
        <w:tblLook w:firstColumn="1" w:firstRow="1" w:lastColumn="0" w:lastRow="0" w:noHBand="0" w:noVBand="1" w:val="04A0"/>
        <w:tblBorders>
          <w:top w:val="single" w:sz="4" w:space="0" w:color="B7C9CE"/>
          <w:left w:val="single" w:sz="4" w:space="0" w:color="B7C9CE"/>
          <w:bottom w:val="single" w:sz="4" w:space="0" w:color="B7C9CE"/>
          <w:right w:val="single" w:sz="4" w:space="0" w:color="B7C9CE"/>
          <w:insideH w:val="single" w:sz="4" w:space="0" w:color="B7C9CE"/>
          <w:insideV w:val="single" w:sz="4" w:space="0" w:color="B7C9CE"/>
        </w:tblBorders>
      </w:tblPr>
      <w:tblGrid>
        <w:gridCol w:w="3672"/>
        <w:gridCol w:w="6048"/>
      </w:tblGrid>
      <w:tr>
        <w:trPr>
          <w:cantSplit/>
        </w:trPr>
        <w:tc>
          <w:tcPr>
            <w:tcW w:type="dxa" w:w="5040"/>
            <w:shd w:fill="E6F3F4"/>
            <w:tcMar>
              <w:top w:w="90" w:type="dxa"/>
              <w:start w:w="120" w:type="dxa"/>
              <w:bottom w:w="90" w:type="dxa"/>
              <w:end w:w="120" w:type="dxa"/>
            </w:tcMar>
          </w:tcPr>
          <w:p>
            <w:pPr>
              <w:spacing w:after="0"/>
            </w:pPr>
            <w:r>
              <w:rPr>
                <w:b/>
                <w:sz w:val="18"/>
              </w:rPr>
              <w:t>A0 determination</w:t>
            </w:r>
          </w:p>
        </w:tc>
        <w:tc>
          <w:tcPr>
            <w:tcW w:type="dxa" w:w="5040"/>
            <w:shd w:fill="FFFFFF"/>
            <w:tcMar>
              <w:top w:w="90" w:type="dxa"/>
              <w:start w:w="120" w:type="dxa"/>
              <w:bottom w:w="90" w:type="dxa"/>
              <w:end w:w="120" w:type="dxa"/>
            </w:tcMar>
          </w:tcPr>
          <w:p>
            <w:pPr>
              <w:spacing w:after="0"/>
            </w:pPr>
            <w:r>
              <w:rPr>
                <w:sz w:val="18"/>
              </w:rPr>
              <w:t>CONDITIONAL GO - the supplied whitepaper could be audited, but A0 cannot be closed until the complete website/collateral universe is captured.</w:t>
            </w:r>
          </w:p>
        </w:tc>
      </w:tr>
      <w:tr>
        <w:trPr>
          <w:cantSplit/>
        </w:trPr>
        <w:tc>
          <w:tcPr>
            <w:tcW w:type="dxa" w:w="5040"/>
            <w:shd w:fill="E6F3F4"/>
            <w:tcMar>
              <w:top w:w="90" w:type="dxa"/>
              <w:start w:w="120" w:type="dxa"/>
              <w:bottom w:w="90" w:type="dxa"/>
              <w:end w:w="120" w:type="dxa"/>
            </w:tcMar>
          </w:tcPr>
          <w:p>
            <w:pPr>
              <w:spacing w:after="0"/>
            </w:pPr>
            <w:r>
              <w:rPr>
                <w:b/>
                <w:sz w:val="18"/>
              </w:rPr>
              <w:t>Base assets reviewed</w:t>
            </w:r>
          </w:p>
        </w:tc>
        <w:tc>
          <w:tcPr>
            <w:tcW w:type="dxa" w:w="5040"/>
            <w:shd w:fill="F3F8F8"/>
            <w:tcMar>
              <w:top w:w="90" w:type="dxa"/>
              <w:start w:w="120" w:type="dxa"/>
              <w:bottom w:w="90" w:type="dxa"/>
              <w:end w:w="120" w:type="dxa"/>
            </w:tcMar>
          </w:tcPr>
          <w:p>
            <w:pPr>
              <w:spacing w:after="0"/>
            </w:pPr>
            <w:r>
              <w:rPr>
                <w:sz w:val="18"/>
              </w:rPr>
              <w:t>SonoHL Pre-FDA Roadmap and SonoHL Working Product Whitepaper.</w:t>
            </w:r>
          </w:p>
        </w:tc>
      </w:tr>
      <w:tr>
        <w:trPr>
          <w:cantSplit/>
        </w:trPr>
        <w:tc>
          <w:tcPr>
            <w:tcW w:type="dxa" w:w="5040"/>
            <w:shd w:fill="E6F3F4"/>
            <w:tcMar>
              <w:top w:w="90" w:type="dxa"/>
              <w:start w:w="120" w:type="dxa"/>
              <w:bottom w:w="90" w:type="dxa"/>
              <w:end w:w="120" w:type="dxa"/>
            </w:tcMar>
          </w:tcPr>
          <w:p>
            <w:pPr>
              <w:spacing w:after="0"/>
            </w:pPr>
            <w:r>
              <w:rPr>
                <w:b/>
                <w:sz w:val="18"/>
              </w:rPr>
              <w:t>Claim review performed</w:t>
            </w:r>
          </w:p>
        </w:tc>
        <w:tc>
          <w:tcPr>
            <w:tcW w:type="dxa" w:w="5040"/>
            <w:shd w:fill="FFFFFF"/>
            <w:tcMar>
              <w:top w:w="90" w:type="dxa"/>
              <w:start w:w="120" w:type="dxa"/>
              <w:bottom w:w="90" w:type="dxa"/>
              <w:end w:w="120" w:type="dxa"/>
            </w:tcMar>
          </w:tcPr>
          <w:p>
            <w:pPr>
              <w:spacing w:after="0"/>
            </w:pPr>
            <w:r>
              <w:rPr>
                <w:sz w:val="18"/>
              </w:rPr>
              <w:t>147 occurrence-level claims extracted and classified in the A0 Claims Register.</w:t>
            </w:r>
          </w:p>
        </w:tc>
      </w:tr>
      <w:tr>
        <w:trPr>
          <w:cantSplit/>
        </w:trPr>
        <w:tc>
          <w:tcPr>
            <w:tcW w:type="dxa" w:w="5040"/>
            <w:shd w:fill="E6F3F4"/>
            <w:tcMar>
              <w:top w:w="90" w:type="dxa"/>
              <w:start w:w="120" w:type="dxa"/>
              <w:bottom w:w="90" w:type="dxa"/>
              <w:end w:w="120" w:type="dxa"/>
            </w:tcMar>
          </w:tcPr>
          <w:p>
            <w:pPr>
              <w:spacing w:after="0"/>
            </w:pPr>
            <w:r>
              <w:rPr>
                <w:b/>
                <w:sz w:val="18"/>
              </w:rPr>
              <w:t>Draft remediation record</w:t>
            </w:r>
          </w:p>
        </w:tc>
        <w:tc>
          <w:tcPr>
            <w:tcW w:type="dxa" w:w="5040"/>
            <w:shd w:fill="F3F8F8"/>
            <w:tcMar>
              <w:top w:w="90" w:type="dxa"/>
              <w:start w:w="120" w:type="dxa"/>
              <w:bottom w:w="90" w:type="dxa"/>
              <w:end w:w="120" w:type="dxa"/>
            </w:tcMar>
          </w:tcPr>
          <w:p>
            <w:pPr>
              <w:spacing w:after="0"/>
            </w:pPr>
            <w:r>
              <w:rPr>
                <w:sz w:val="18"/>
              </w:rPr>
              <w:t>46 proposed redlines or quarantines recorded for higher-risk, conflicting, or unsupported statements.</w:t>
            </w:r>
          </w:p>
        </w:tc>
      </w:tr>
      <w:tr>
        <w:trPr>
          <w:cantSplit/>
        </w:trPr>
        <w:tc>
          <w:tcPr>
            <w:tcW w:type="dxa" w:w="5040"/>
            <w:shd w:fill="E6F3F4"/>
            <w:tcMar>
              <w:top w:w="90" w:type="dxa"/>
              <w:start w:w="120" w:type="dxa"/>
              <w:bottom w:w="90" w:type="dxa"/>
              <w:end w:w="120" w:type="dxa"/>
            </w:tcMar>
          </w:tcPr>
          <w:p>
            <w:pPr>
              <w:spacing w:after="0"/>
            </w:pPr>
            <w:r>
              <w:rPr>
                <w:b/>
                <w:sz w:val="18"/>
              </w:rPr>
              <w:t>Primary remaining blockers</w:t>
            </w:r>
          </w:p>
        </w:tc>
        <w:tc>
          <w:tcPr>
            <w:tcW w:type="dxa" w:w="5040"/>
            <w:shd w:fill="FFFFFF"/>
            <w:tcMar>
              <w:top w:w="90" w:type="dxa"/>
              <w:start w:w="120" w:type="dxa"/>
              <w:bottom w:w="90" w:type="dxa"/>
              <w:end w:w="120" w:type="dxa"/>
            </w:tcMar>
          </w:tcPr>
          <w:p>
            <w:pPr>
              <w:spacing w:after="0"/>
            </w:pPr>
            <w:r>
              <w:rPr>
                <w:sz w:val="18"/>
              </w:rPr>
              <w:t>Live website/CMS export, all other collateral, approved intended-use hypothesis, controlled specifications, evidence library, current trial record, and named approvers.</w:t>
            </w:r>
          </w:p>
        </w:tc>
      </w:tr>
      <w:tr>
        <w:trPr>
          <w:cantSplit/>
        </w:trPr>
        <w:tc>
          <w:tcPr>
            <w:tcW w:type="dxa" w:w="5040"/>
            <w:shd w:fill="E6F3F4"/>
            <w:tcMar>
              <w:top w:w="90" w:type="dxa"/>
              <w:start w:w="120" w:type="dxa"/>
              <w:bottom w:w="90" w:type="dxa"/>
              <w:end w:w="120" w:type="dxa"/>
            </w:tcMar>
          </w:tcPr>
          <w:p>
            <w:pPr>
              <w:spacing w:after="0"/>
            </w:pPr>
            <w:r>
              <w:rPr>
                <w:b/>
                <w:sz w:val="18"/>
              </w:rPr>
              <w:t>Required approvals</w:t>
            </w:r>
          </w:p>
        </w:tc>
        <w:tc>
          <w:tcPr>
            <w:tcW w:type="dxa" w:w="5040"/>
            <w:shd w:fill="F3F8F8"/>
            <w:tcMar>
              <w:top w:w="90" w:type="dxa"/>
              <w:start w:w="120" w:type="dxa"/>
              <w:bottom w:w="90" w:type="dxa"/>
              <w:end w:w="120" w:type="dxa"/>
            </w:tcMar>
          </w:tcPr>
          <w:p>
            <w:pPr>
              <w:spacing w:after="0"/>
            </w:pPr>
            <w:r>
              <w:rPr>
                <w:sz w:val="18"/>
              </w:rPr>
              <w:t>Regulatory Operations, Legal/Regulatory, Communications, Quality, and the responsible Clinical/Engineering owners.</w:t>
            </w:r>
          </w:p>
        </w:tc>
      </w:tr>
    </w:tbl>
    <w:p>
      <w:pPr>
        <w:spacing w:after="60"/>
      </w:pPr>
      <w:r>
        <w:rPr>
          <w:b/>
          <w:color w:val="A61B1B"/>
          <w:sz w:val="16"/>
        </w:rPr>
        <w:t>INVESTIGATIONAL STATUS WORDING - DRAFT FOR COUNSEL REVIEW</w:t>
      </w:r>
    </w:p>
    <w:p>
      <w:pPr>
        <w:spacing w:after="140" w:line="259" w:lineRule="auto"/>
      </w:pPr>
      <w:r>
        <w:rPr>
          <w:i w:val="0"/>
        </w:rPr>
        <w:t>SonoHL is an investigational multi-channel acoustic-sensing platform in clinical development. It is not cleared or approved by the U.S. Food and Drug Administration and is not available for commercial sale. [COUNSEL REVIEW REQUIRED: confirm exact wording and applicable investigational-device legend for each channel and study context.]</w:t>
      </w:r>
    </w:p>
    <w:p>
      <w:pPr>
        <w:pStyle w:val="Heading1"/>
        <w:pBdr>
          <w:bottom w:val="single" w:sz="8" w:space="3" w:color="2C7A7B"/>
        </w:pBdr>
      </w:pPr>
      <w:r>
        <w:t>Executive Summary</w:t>
      </w:r>
    </w:p>
    <w:p>
      <w:pPr>
        <w:spacing w:after="140" w:line="259" w:lineRule="auto"/>
      </w:pPr>
      <w:r>
        <w:rPr>
          <w:i w:val="0"/>
        </w:rPr>
        <w:t>SonoHL is developing a wearable platform intended to capture heart and lung sounds from multiple predetermined positions and organize those recordings for clinician review. The product concept combines a sensor vest, multi-point acoustic acquisition, software-based signal handling, and a clinician-facing review environment. The exact marketed configuration, intended use, clinical output, and regulatory pathway remain under development and require controlled approval.</w:t>
      </w:r>
    </w:p>
    <w:p>
      <w:pPr>
        <w:spacing w:after="140" w:line="259" w:lineRule="auto"/>
      </w:pPr>
      <w:r>
        <w:rPr>
          <w:i w:val="0"/>
        </w:rPr>
        <w:t>The development rationale is based on a practical care-delivery challenge: acoustic examination is widely used, but acquisition quality, interpretation experience, and access to specialist review may vary across settings. SonoHL is exploring whether standardized, shareable recordings can support clinician assessment in settings where specialist access is limited. This is a development hypothesis, not an established clinical benefit.</w:t>
      </w:r>
    </w:p>
    <w:p>
      <w:pPr>
        <w:spacing w:after="140" w:line="259" w:lineRule="auto"/>
      </w:pPr>
      <w:r>
        <w:rPr>
          <w:i w:val="0"/>
        </w:rPr>
        <w:t>The proposed workflow is to acquire acoustic recordings from fixed vest positions, perform defined signal-handling steps, and present recordings and associated information for human review. Claims concerning noise reduction, automatic signal selection, real-time processing, abnormal-sound detection, diagnostic performance, longitudinal monitoring, or remote-care readiness remain investigational objectives unless and until supported by approved specifications, verification evidence, clinical results, and applicable regulatory authorization.</w:t>
      </w:r>
    </w:p>
    <w:p>
      <w:pPr>
        <w:spacing w:after="140" w:line="259" w:lineRule="auto"/>
      </w:pPr>
      <w:r>
        <w:rPr>
          <w:i w:val="0"/>
        </w:rPr>
        <w:t>The current priority is evidence and control: freeze the hardware/software configuration, define a precise candidate intended use, establish the output and clinician role, document the clinical workflow, verify signal acquisition and processing, complete prospective clinical validation, and align all external communications with the same controlled evidence base.</w:t>
      </w:r>
    </w:p>
    <w:p>
      <w:pPr>
        <w:pStyle w:val="Heading1"/>
        <w:pBdr>
          <w:bottom w:val="single" w:sz="8" w:space="3" w:color="2C7A7B"/>
        </w:pBdr>
      </w:pPr>
      <w:r>
        <w:t>1. The Clinical Access Problem</w:t>
      </w:r>
    </w:p>
    <w:p>
      <w:pPr>
        <w:pStyle w:val="Heading2"/>
      </w:pPr>
      <w:r>
        <w:t>1.1 Auscultation depends on acquisition and interpretation</w:t>
      </w:r>
    </w:p>
    <w:p>
      <w:pPr>
        <w:spacing w:after="140" w:line="259" w:lineRule="auto"/>
      </w:pPr>
      <w:r>
        <w:rPr>
          <w:i w:val="0"/>
        </w:rPr>
        <w:t>Traditional auscultation is fast, inexpensive, and embedded in routine care. Its usefulness can be affected by examiner experience, recording conditions, placement consistency, ambient noise, and access to clinicians who can interpret subtle findings. These limitations support investigation of more standardized acoustic capture and remote review, but they do not establish that SonoHL improves diagnosis, outcomes, access, or cost.</w:t>
      </w:r>
    </w:p>
    <w:p>
      <w:pPr>
        <w:spacing w:after="140" w:line="259" w:lineRule="auto"/>
      </w:pPr>
      <w:r>
        <w:rPr>
          <w:i w:val="0"/>
        </w:rPr>
        <w:t>The working product narrative identifies four development considerations:</w:t>
      </w:r>
    </w:p>
    <w:p>
      <w:pPr>
        <w:pStyle w:val="ListBullet"/>
        <w:spacing w:after="60"/>
        <w:ind w:left="288" w:hanging="173"/>
      </w:pPr>
      <w:r>
        <w:rPr>
          <w:b/>
        </w:rPr>
        <w:t>Acquisition consistency:</w:t>
      </w:r>
      <w:r>
        <w:t xml:space="preserve"> repeated placement and multi-point capture may reduce some variability associated with a sequential manual examination, subject to technical and human-factors validation.</w:t>
      </w:r>
    </w:p>
    <w:p>
      <w:pPr>
        <w:pStyle w:val="ListBullet"/>
        <w:spacing w:after="60"/>
        <w:ind w:left="288" w:hanging="173"/>
      </w:pPr>
      <w:r>
        <w:rPr>
          <w:b/>
        </w:rPr>
        <w:t>Interpretation access:</w:t>
      </w:r>
      <w:r>
        <w:t xml:space="preserve"> some settings may have limited access to cardiology, pulmonology, or respirology expertise.</w:t>
      </w:r>
    </w:p>
    <w:p>
      <w:pPr>
        <w:pStyle w:val="ListBullet"/>
        <w:spacing w:after="60"/>
        <w:ind w:left="288" w:hanging="173"/>
      </w:pPr>
      <w:r>
        <w:rPr>
          <w:b/>
        </w:rPr>
        <w:t>Workflow burden:</w:t>
      </w:r>
      <w:r>
        <w:t xml:space="preserve"> additional testing, specialist consultation, travel, and follow-up may create operational burdens; any claimed reduction requires prospective evidence.</w:t>
      </w:r>
    </w:p>
    <w:p>
      <w:pPr>
        <w:pStyle w:val="ListBullet"/>
        <w:spacing w:after="60"/>
        <w:ind w:left="288" w:hanging="173"/>
      </w:pPr>
      <w:r>
        <w:rPr>
          <w:b/>
        </w:rPr>
        <w:t>Remote-care feasibility:</w:t>
      </w:r>
      <w:r>
        <w:t xml:space="preserve"> recordings may be shareable across distance, but remote use requires validated setup, data transmission, privacy, cybersecurity, review, and escalation workflows.</w:t>
      </w:r>
    </w:p>
    <w:p>
      <w:pPr>
        <w:pStyle w:val="Heading2"/>
      </w:pPr>
      <w:r>
        <w:t>1.2 Development impact hypothesis</w:t>
      </w:r>
    </w:p>
    <w:p>
      <w:pPr>
        <w:spacing w:after="140" w:line="259" w:lineRule="auto"/>
      </w:pPr>
      <w:r>
        <w:rPr>
          <w:i w:val="0"/>
        </w:rPr>
        <w:t>SonoHL is investigating whether consistent multi-point acoustic recordings can be stored, shared, compared, and reviewed by clinicians to support assessment and follow-up decisions. The specific clinical decision supported by the output has not yet been approved. [DECISION REQUIRED: define whether the first intended role is assessment support, triage support, referral support, longitudinal review, or another narrowly specified function; owner: Regulatory and Clinical leadership.]</w:t>
      </w:r>
    </w:p>
    <w:tbl>
      <w:tblPr>
        <w:tblW w:type="auto" w:w="0"/>
        <w:jc w:val="center"/>
        <w:tblLayout w:type="fixed"/>
        <w:tblLook w:firstColumn="1" w:firstRow="1" w:lastColumn="0" w:lastRow="0" w:noHBand="0" w:noVBand="1" w:val="04A0"/>
        <w:tblBorders>
          <w:top w:val="single" w:sz="8" w:space="0" w:color="B7791F"/>
          <w:left w:val="single" w:sz="8" w:space="0" w:color="B7791F"/>
          <w:bottom w:val="single" w:sz="8" w:space="0" w:color="B7791F"/>
          <w:right w:val="single" w:sz="8" w:space="0" w:color="B7791F"/>
          <w:insideH w:val="single" w:sz="8" w:space="0" w:color="B7791F"/>
          <w:insideV w:val="single" w:sz="8" w:space="0" w:color="B7791F"/>
        </w:tblBorders>
      </w:tblPr>
      <w:tblGrid>
        <w:gridCol w:w="9720"/>
      </w:tblGrid>
      <w:tr>
        <w:trPr>
          <w:cantSplit/>
        </w:trPr>
        <w:tc>
          <w:tcPr>
            <w:tcW w:type="dxa" w:w="10080"/>
            <w:shd w:fill="FFF8E6"/>
            <w:tcMar>
              <w:top w:w="130" w:type="dxa"/>
              <w:start w:w="180" w:type="dxa"/>
              <w:bottom w:w="130" w:type="dxa"/>
              <w:end w:w="180" w:type="dxa"/>
            </w:tcMar>
          </w:tcPr>
          <w:p>
            <w:pPr>
              <w:spacing w:after="80"/>
            </w:pPr>
            <w:r>
              <w:rPr>
                <w:b/>
                <w:color w:val="B7791F"/>
                <w:sz w:val="20"/>
              </w:rPr>
              <w:t>REMOVED FROM EXTERNAL CLAIMING</w:t>
            </w:r>
          </w:p>
          <w:p>
            <w:pPr>
              <w:spacing w:after="0"/>
            </w:pPr>
            <w:r>
              <w:rPr>
                <w:color w:val="16323A"/>
                <w:sz w:val="18"/>
              </w:rPr>
              <w:t>The source draft included uncited statistics concerning undiagnosed cardiopulmonary disease in Canada and missed murmurs. No exact primary-source match was verified during the A0 review. Those figures are not included as factual claims in this audited whitepaper.</w:t>
            </w:r>
          </w:p>
        </w:tc>
      </w:tr>
    </w:tbl>
    <w:p>
      <w:pPr>
        <w:spacing w:after="0"/>
      </w:pPr>
    </w:p>
    <w:p>
      <w:pPr>
        <w:pStyle w:val="Heading1"/>
        <w:pBdr>
          <w:bottom w:val="single" w:sz="8" w:space="3" w:color="2C7A7B"/>
        </w:pBdr>
      </w:pPr>
      <w:r>
        <w:t>2. Product Concept</w:t>
      </w:r>
    </w:p>
    <w:p>
      <w:pPr>
        <w:spacing w:after="140" w:line="259" w:lineRule="auto"/>
      </w:pPr>
      <w:r>
        <w:rPr>
          <w:i w:val="0"/>
        </w:rPr>
        <w:t>SonoHL is a wearable acoustic-sensing platform under development for heart and lung sound acquisition. The system concept includes a vest containing acoustic sensors at predetermined positions, supporting software, and a clinician-facing review environment.</w:t>
      </w:r>
    </w:p>
    <w:tbl>
      <w:tblPr>
        <w:tblW w:type="auto" w:w="0"/>
        <w:jc w:val="center"/>
        <w:tblLayout w:type="fixed"/>
        <w:tblLook w:firstColumn="1" w:firstRow="1" w:lastColumn="0" w:lastRow="0" w:noHBand="0" w:noVBand="1" w:val="04A0"/>
        <w:tblBorders>
          <w:top w:val="single" w:sz="8" w:space="0" w:color="B7791F"/>
          <w:left w:val="single" w:sz="8" w:space="0" w:color="B7791F"/>
          <w:bottom w:val="single" w:sz="8" w:space="0" w:color="B7791F"/>
          <w:right w:val="single" w:sz="8" w:space="0" w:color="B7791F"/>
          <w:insideH w:val="single" w:sz="8" w:space="0" w:color="B7791F"/>
          <w:insideV w:val="single" w:sz="8" w:space="0" w:color="B7791F"/>
        </w:tblBorders>
      </w:tblPr>
      <w:tblGrid>
        <w:gridCol w:w="9720"/>
      </w:tblGrid>
      <w:tr>
        <w:trPr>
          <w:cantSplit/>
        </w:trPr>
        <w:tc>
          <w:tcPr>
            <w:tcW w:type="dxa" w:w="10080"/>
            <w:shd w:fill="FFF8E6"/>
            <w:tcMar>
              <w:top w:w="130" w:type="dxa"/>
              <w:start w:w="180" w:type="dxa"/>
              <w:bottom w:w="130" w:type="dxa"/>
              <w:end w:w="180" w:type="dxa"/>
            </w:tcMar>
          </w:tcPr>
          <w:p>
            <w:pPr>
              <w:spacing w:after="80"/>
            </w:pPr>
            <w:r>
              <w:rPr>
                <w:b/>
                <w:color w:val="B7791F"/>
                <w:sz w:val="20"/>
              </w:rPr>
              <w:t>CONFIGURATION CONTROL REQUIRED</w:t>
            </w:r>
          </w:p>
          <w:p>
            <w:pPr>
              <w:spacing w:after="0"/>
            </w:pPr>
            <w:r>
              <w:rPr>
                <w:color w:val="16323A"/>
                <w:sz w:val="18"/>
              </w:rPr>
              <w:t>The source materials describe a 16-channel system with 10 front and six back positions, while the audit record identifies separate 8+ and 8-sensor variants. No single configuration is stated here as an approved fact. [INPUT REQUIRED: current controlled device/vest version, active channel count, sensor locations, synchronization specification, manufacturing status, and change history; owner: Engineering and Quality.]</w:t>
            </w:r>
          </w:p>
        </w:tc>
      </w:tr>
    </w:tbl>
    <w:p>
      <w:pPr>
        <w:spacing w:after="0"/>
      </w:pPr>
    </w:p>
    <w:p>
      <w:pPr>
        <w:spacing w:after="140" w:line="259" w:lineRule="auto"/>
      </w:pPr>
      <w:r>
        <w:rPr>
          <w:i w:val="0"/>
        </w:rPr>
        <w:t>Current development capabilities and objectives include:</w:t>
      </w:r>
    </w:p>
    <w:p>
      <w:pPr>
        <w:pStyle w:val="ListBullet"/>
        <w:spacing w:after="60"/>
        <w:ind w:left="288" w:hanging="173"/>
      </w:pPr>
      <w:r>
        <w:t>multi-point acquisition of heart and lung sounds from predetermined anatomical positions;</w:t>
      </w:r>
    </w:p>
    <w:p>
      <w:pPr>
        <w:pStyle w:val="ListBullet"/>
        <w:spacing w:after="60"/>
        <w:ind w:left="288" w:hanging="173"/>
      </w:pPr>
      <w:r>
        <w:t>storage and organization of acoustic recordings for human review;</w:t>
      </w:r>
    </w:p>
    <w:p>
      <w:pPr>
        <w:pStyle w:val="ListBullet"/>
        <w:spacing w:after="60"/>
        <w:ind w:left="288" w:hanging="173"/>
      </w:pPr>
      <w:r>
        <w:t>development of signal-quality, filtering, or signal-selection functions, subject to defined specifications and verification;</w:t>
      </w:r>
    </w:p>
    <w:p>
      <w:pPr>
        <w:pStyle w:val="ListBullet"/>
        <w:spacing w:after="60"/>
        <w:ind w:left="288" w:hanging="173"/>
      </w:pPr>
      <w:r>
        <w:t>development of a clinician-facing interface for reviewing recordings and associated information;</w:t>
      </w:r>
    </w:p>
    <w:p>
      <w:pPr>
        <w:pStyle w:val="ListBullet"/>
        <w:spacing w:after="60"/>
        <w:ind w:left="288" w:hanging="173"/>
      </w:pPr>
      <w:r>
        <w:t>evaluation of repeat recordings and remote sharing as potential future workflows; and</w:t>
      </w:r>
    </w:p>
    <w:p>
      <w:pPr>
        <w:pStyle w:val="ListBullet"/>
        <w:spacing w:after="60"/>
        <w:ind w:left="288" w:hanging="173"/>
      </w:pPr>
      <w:r>
        <w:t>evaluation of algorithmic outputs only within a controlled intended-use and clinical-validation strategy.</w:t>
      </w:r>
    </w:p>
    <w:p>
      <w:pPr>
        <w:spacing w:after="140" w:line="259" w:lineRule="auto"/>
      </w:pPr>
      <w:r>
        <w:rPr>
          <w:i w:val="0"/>
        </w:rPr>
        <w:t>The platform is being developed as a clinician-support system. It is not represented in this document as replacing medical judgment, independently diagnosing disease, or establishing a treatment decision.</w:t>
      </w:r>
    </w:p>
    <w:p>
      <w:pPr>
        <w:pStyle w:val="Heading1"/>
        <w:pBdr>
          <w:bottom w:val="single" w:sz="8" w:space="3" w:color="2C7A7B"/>
        </w:pBdr>
      </w:pPr>
      <w:r>
        <w:t>3. System Architecture and Operating Concept</w:t>
      </w:r>
    </w:p>
    <w:p>
      <w:pPr>
        <w:pStyle w:val="Heading2"/>
      </w:pPr>
      <w:r>
        <w:t>3.1 Wearable acoustic acquisition</w:t>
      </w:r>
    </w:p>
    <w:p>
      <w:pPr>
        <w:spacing w:after="140" w:line="259" w:lineRule="auto"/>
      </w:pPr>
      <w:r>
        <w:rPr>
          <w:i w:val="0"/>
        </w:rPr>
        <w:t>The vest concept is intended to position acoustic sensors across multiple areas of the chest and back. Fixed positions may support more repeatable acquisition than an unconstrained sequence of manual listening points, but repeatability, fitting tolerance, placement error, body-size effects, motion effects, and environmental robustness require formal verification and human-factors validation.</w:t>
      </w:r>
    </w:p>
    <w:p>
      <w:pPr>
        <w:pStyle w:val="Heading2"/>
      </w:pPr>
      <w:r>
        <w:t>3.2 Signal handling</w:t>
      </w:r>
    </w:p>
    <w:p>
      <w:pPr>
        <w:spacing w:after="140" w:line="259" w:lineRule="auto"/>
      </w:pPr>
      <w:r>
        <w:rPr>
          <w:i w:val="0"/>
        </w:rPr>
        <w:t>The development workflow can be described without asserting unverified performance:</w:t>
      </w:r>
    </w:p>
    <w:p>
      <w:pPr>
        <w:pStyle w:val="ListBullet"/>
        <w:spacing w:after="60"/>
        <w:ind w:left="288" w:hanging="173"/>
      </w:pPr>
      <w:r>
        <w:rPr>
          <w:b/>
        </w:rPr>
        <w:t>Capture:</w:t>
      </w:r>
      <w:r>
        <w:t xml:space="preserve"> acquire time-stamped acoustic signals from the active sensor configuration under a defined recording protocol.</w:t>
      </w:r>
    </w:p>
    <w:p>
      <w:pPr>
        <w:pStyle w:val="ListBullet"/>
        <w:spacing w:after="60"/>
        <w:ind w:left="288" w:hanging="173"/>
      </w:pPr>
      <w:r>
        <w:rPr>
          <w:b/>
        </w:rPr>
        <w:t>Quality control and processing:</w:t>
      </w:r>
      <w:r>
        <w:t xml:space="preserve"> apply specified checks and processing steps to identify usable and unusable recordings. [INPUT REQUIRED: approved processing pipeline, quality metrics, filters, thresholds, latency, failure handling, and verification reports.]</w:t>
      </w:r>
    </w:p>
    <w:p>
      <w:pPr>
        <w:pStyle w:val="ListBullet"/>
        <w:spacing w:after="60"/>
        <w:ind w:left="288" w:hanging="173"/>
      </w:pPr>
      <w:r>
        <w:rPr>
          <w:b/>
        </w:rPr>
        <w:t>Review:</w:t>
      </w:r>
      <w:r>
        <w:t xml:space="preserve"> present recordings and associated information for review by an intended clinician or other qualified user. [DECISION REQUIRED: intended user, training, report content, and required interpretation.]</w:t>
      </w:r>
    </w:p>
    <w:p>
      <w:pPr>
        <w:spacing w:after="140" w:line="259" w:lineRule="auto"/>
      </w:pPr>
      <w:r>
        <w:rPr>
          <w:i w:val="0"/>
        </w:rPr>
        <w:t>The audited document does not claim that the platform reduces noise, automatically selects the clearest signal, operates in real time, or detects abnormal heart sounds. Those statements remain development objectives until supported by measurable specifications, test conditions, acceptance criteria, and approved evidence.</w:t>
      </w:r>
    </w:p>
    <w:p>
      <w:pPr>
        <w:pStyle w:val="Heading2"/>
      </w:pPr>
      <w:r>
        <w:t>3.3 Clinician-facing output</w:t>
      </w:r>
    </w:p>
    <w:p>
      <w:pPr>
        <w:spacing w:after="140" w:line="259" w:lineRule="auto"/>
      </w:pPr>
      <w:r>
        <w:rPr>
          <w:i w:val="0"/>
        </w:rPr>
        <w:t>The proposed output may include raw or processed recordings, signal-quality information, visualizations, quantitative measures, flags, trend information, or a structured report. [DECISION REQUIRED: define the output actually intended for the first product version, what the output means, what it does not mean, and the required human interpretation.]</w:t>
      </w:r>
    </w:p>
    <w:p>
      <w:pPr>
        <w:spacing w:after="140" w:line="259" w:lineRule="auto"/>
      </w:pPr>
      <w:r>
        <w:rPr>
          <w:i w:val="0"/>
        </w:rPr>
        <w:t>Dashboard functions, alert logic, report structure, interoperability, audit logging, access controls, data retention, and cybersecurity requirements remain to be documented in controlled product records.</w:t>
      </w:r>
    </w:p>
    <w:p>
      <w:pPr>
        <w:pStyle w:val="Heading1"/>
        <w:pBdr>
          <w:bottom w:val="single" w:sz="8" w:space="3" w:color="2C7A7B"/>
        </w:pBdr>
      </w:pPr>
      <w:r>
        <w:t>4. Proposed Development Use Cases</w:t>
      </w:r>
    </w:p>
    <w:tbl>
      <w:tblPr>
        <w:tblW w:type="auto" w:w="0"/>
        <w:jc w:val="center"/>
        <w:tblLayout w:type="fixed"/>
        <w:tblLook w:firstColumn="1" w:firstRow="1" w:lastColumn="0" w:lastRow="0" w:noHBand="0" w:noVBand="1" w:val="04A0"/>
        <w:tblBorders>
          <w:top w:val="single" w:sz="8" w:space="0" w:color="A61B1B"/>
          <w:left w:val="single" w:sz="8" w:space="0" w:color="A61B1B"/>
          <w:bottom w:val="single" w:sz="8" w:space="0" w:color="A61B1B"/>
          <w:right w:val="single" w:sz="8" w:space="0" w:color="A61B1B"/>
          <w:insideH w:val="single" w:sz="8" w:space="0" w:color="A61B1B"/>
          <w:insideV w:val="single" w:sz="8" w:space="0" w:color="A61B1B"/>
        </w:tblBorders>
      </w:tblPr>
      <w:tblGrid>
        <w:gridCol w:w="9720"/>
      </w:tblGrid>
      <w:tr>
        <w:trPr>
          <w:cantSplit/>
        </w:trPr>
        <w:tc>
          <w:tcPr>
            <w:tcW w:type="dxa" w:w="10080"/>
            <w:shd w:fill="FFF5F5"/>
            <w:tcMar>
              <w:top w:w="130" w:type="dxa"/>
              <w:start w:w="180" w:type="dxa"/>
              <w:bottom w:w="130" w:type="dxa"/>
              <w:end w:w="180" w:type="dxa"/>
            </w:tcMar>
          </w:tcPr>
          <w:p>
            <w:pPr>
              <w:spacing w:after="80"/>
            </w:pPr>
            <w:r>
              <w:rPr>
                <w:b/>
                <w:color w:val="A61B1B"/>
                <w:sz w:val="20"/>
              </w:rPr>
              <w:t>NOT AN APPROVED INTENDED-USE STATEMENT</w:t>
            </w:r>
          </w:p>
          <w:p>
            <w:pPr>
              <w:spacing w:after="0"/>
            </w:pPr>
            <w:r>
              <w:rPr>
                <w:color w:val="16323A"/>
                <w:sz w:val="18"/>
              </w:rPr>
              <w:t>The following use cases are development hypotheses derived from the source materials. They are not FDA-cleared indications, commercial claims, or confirmed reimbursement pathways.</w:t>
            </w:r>
          </w:p>
        </w:tc>
      </w:tr>
    </w:tbl>
    <w:p>
      <w:pPr>
        <w:spacing w:after="0"/>
      </w:pPr>
    </w:p>
    <w:p>
      <w:pPr>
        <w:pStyle w:val="Heading2"/>
      </w:pPr>
      <w:r>
        <w:t>4.1 Point-of-care acoustic assessment support</w:t>
      </w:r>
    </w:p>
    <w:p>
      <w:pPr>
        <w:spacing w:after="140" w:line="259" w:lineRule="auto"/>
      </w:pPr>
      <w:r>
        <w:rPr>
          <w:i w:val="0"/>
        </w:rPr>
        <w:t>In a proposed in-person workflow, an intended user would apply the vest, obtain recordings under a defined protocol, confirm recording quality, and make the resulting acoustic information available for clinician review. The first clinical purpose and target patient population have not been selected. [DECISION REQUIRED: target condition, population, clinical purpose, setting, and limitations.]</w:t>
      </w:r>
    </w:p>
    <w:p>
      <w:pPr>
        <w:pStyle w:val="Heading2"/>
      </w:pPr>
      <w:r>
        <w:t>4.2 Repeat recording and remote review</w:t>
      </w:r>
    </w:p>
    <w:p>
      <w:pPr>
        <w:spacing w:after="140" w:line="259" w:lineRule="auto"/>
      </w:pPr>
      <w:r>
        <w:rPr>
          <w:i w:val="0"/>
        </w:rPr>
        <w:t>The platform may be evaluated for repeat recording in a patient home, clinic, rural health setting, nursing station, or other supervised environment. Remote use is not represented as ready or validated. It depends on operator training, fit confirmation, automatic and reliable data capture and transmission, privacy and cybersecurity controls, clinician availability, review timing, escalation criteria, and handling of failed or incomplete recordings.</w:t>
      </w:r>
    </w:p>
    <w:p>
      <w:pPr>
        <w:pStyle w:val="Heading2"/>
      </w:pPr>
      <w:r>
        <w:t>4.3 Deferred or unapproved claims</w:t>
      </w:r>
    </w:p>
    <w:p>
      <w:pPr>
        <w:pStyle w:val="ListBullet"/>
        <w:spacing w:after="60"/>
        <w:ind w:left="288" w:hanging="173"/>
      </w:pPr>
      <w:r>
        <w:t>diagnosis or autonomous disease detection;</w:t>
      </w:r>
    </w:p>
    <w:p>
      <w:pPr>
        <w:pStyle w:val="ListBullet"/>
        <w:spacing w:after="60"/>
        <w:ind w:left="288" w:hanging="173"/>
      </w:pPr>
      <w:r>
        <w:t>screening of asymptomatic populations;</w:t>
      </w:r>
    </w:p>
    <w:p>
      <w:pPr>
        <w:pStyle w:val="ListBullet"/>
        <w:spacing w:after="60"/>
        <w:ind w:left="288" w:hanging="173"/>
      </w:pPr>
      <w:r>
        <w:t>validated murmur or abnormal-heart-sound detection;</w:t>
      </w:r>
    </w:p>
    <w:p>
      <w:pPr>
        <w:pStyle w:val="ListBullet"/>
        <w:spacing w:after="60"/>
        <w:ind w:left="288" w:hanging="173"/>
      </w:pPr>
      <w:r>
        <w:t>validated lung-sound classification;</w:t>
      </w:r>
    </w:p>
    <w:p>
      <w:pPr>
        <w:pStyle w:val="ListBullet"/>
        <w:spacing w:after="60"/>
        <w:ind w:left="288" w:hanging="173"/>
      </w:pPr>
      <w:r>
        <w:t>medical-grade accuracy or superiority to standard care;</w:t>
      </w:r>
    </w:p>
    <w:p>
      <w:pPr>
        <w:pStyle w:val="ListBullet"/>
        <w:spacing w:after="60"/>
        <w:ind w:left="288" w:hanging="173"/>
      </w:pPr>
      <w:r>
        <w:t>readiness for remote physiologic or therapeutic monitoring billing;</w:t>
      </w:r>
    </w:p>
    <w:p>
      <w:pPr>
        <w:pStyle w:val="ListBullet"/>
        <w:spacing w:after="60"/>
        <w:ind w:left="288" w:hanging="173"/>
      </w:pPr>
      <w:r>
        <w:t>cost savings, reduced travel, reduced testing, improved outcomes, or improved access; and</w:t>
      </w:r>
    </w:p>
    <w:p>
      <w:pPr>
        <w:pStyle w:val="ListBullet"/>
        <w:spacing w:after="60"/>
        <w:ind w:left="288" w:hanging="173"/>
      </w:pPr>
      <w:r>
        <w:t>commercial availability, reimbursement, coverage, or payment.</w:t>
      </w:r>
    </w:p>
    <w:p>
      <w:pPr>
        <w:pStyle w:val="Heading1"/>
        <w:pBdr>
          <w:bottom w:val="single" w:sz="8" w:space="3" w:color="2C7A7B"/>
        </w:pBdr>
      </w:pPr>
      <w:r>
        <w:t>5. Proposed Clinical Workflow</w:t>
      </w:r>
    </w:p>
    <w:p>
      <w:pPr>
        <w:spacing w:after="140" w:line="259" w:lineRule="auto"/>
      </w:pPr>
      <w:r>
        <w:rPr>
          <w:i w:val="0"/>
        </w:rPr>
        <w:t>A preliminary workflow derived from the source materials is described below. Each step requires controlled specifications and human-factors validation.</w:t>
      </w:r>
    </w:p>
    <w:tbl>
      <w:tblPr>
        <w:tblW w:type="auto" w:w="0"/>
        <w:jc w:val="center"/>
        <w:tblLayout w:type="fixed"/>
        <w:tblLook w:firstColumn="1" w:firstRow="1" w:lastColumn="0" w:lastRow="0" w:noHBand="0" w:noVBand="1" w:val="04A0"/>
        <w:tblBorders>
          <w:top w:val="single" w:sz="4" w:space="0" w:color="B7C9CE"/>
          <w:left w:val="single" w:sz="4" w:space="0" w:color="B7C9CE"/>
          <w:bottom w:val="single" w:sz="4" w:space="0" w:color="B7C9CE"/>
          <w:right w:val="single" w:sz="4" w:space="0" w:color="B7C9CE"/>
          <w:insideH w:val="single" w:sz="4" w:space="0" w:color="B7C9CE"/>
          <w:insideV w:val="single" w:sz="4" w:space="0" w:color="B7C9CE"/>
        </w:tblBorders>
      </w:tblPr>
      <w:tblGrid>
        <w:gridCol w:w="648"/>
        <w:gridCol w:w="1944"/>
        <w:gridCol w:w="4536"/>
        <w:gridCol w:w="2664"/>
      </w:tblGrid>
      <w:tr>
        <w:trPr>
          <w:tblHeader w:val="true"/>
          <w:cantSplit/>
        </w:trPr>
        <w:tc>
          <w:tcPr>
            <w:tcW w:type="dxa" w:w="2520"/>
            <w:shd w:fill="2C7A7B"/>
            <w:tcMar>
              <w:top w:w="80" w:type="dxa"/>
              <w:start w:w="90" w:type="dxa"/>
              <w:bottom w:w="80" w:type="dxa"/>
              <w:end w:w="90" w:type="dxa"/>
            </w:tcMar>
          </w:tcPr>
          <w:p>
            <w:pPr>
              <w:jc w:val="center"/>
            </w:pPr>
            <w:r>
              <w:rPr>
                <w:b/>
                <w:color w:val="FFFFFF"/>
                <w:sz w:val="17"/>
              </w:rPr>
              <w:t>Step</w:t>
            </w:r>
          </w:p>
        </w:tc>
        <w:tc>
          <w:tcPr>
            <w:tcW w:type="dxa" w:w="2520"/>
            <w:shd w:fill="2C7A7B"/>
            <w:tcMar>
              <w:top w:w="80" w:type="dxa"/>
              <w:start w:w="90" w:type="dxa"/>
              <w:bottom w:w="80" w:type="dxa"/>
              <w:end w:w="90" w:type="dxa"/>
            </w:tcMar>
          </w:tcPr>
          <w:p>
            <w:pPr>
              <w:jc w:val="center"/>
            </w:pPr>
            <w:r>
              <w:rPr>
                <w:b/>
                <w:color w:val="FFFFFF"/>
                <w:sz w:val="17"/>
              </w:rPr>
              <w:t>Activity</w:t>
            </w:r>
          </w:p>
        </w:tc>
        <w:tc>
          <w:tcPr>
            <w:tcW w:type="dxa" w:w="2520"/>
            <w:shd w:fill="2C7A7B"/>
            <w:tcMar>
              <w:top w:w="80" w:type="dxa"/>
              <w:start w:w="90" w:type="dxa"/>
              <w:bottom w:w="80" w:type="dxa"/>
              <w:end w:w="90" w:type="dxa"/>
            </w:tcMar>
          </w:tcPr>
          <w:p>
            <w:pPr>
              <w:jc w:val="center"/>
            </w:pPr>
            <w:r>
              <w:rPr>
                <w:b/>
                <w:color w:val="FFFFFF"/>
                <w:sz w:val="17"/>
              </w:rPr>
              <w:t>Draft description</w:t>
            </w:r>
          </w:p>
        </w:tc>
        <w:tc>
          <w:tcPr>
            <w:tcW w:type="dxa" w:w="2520"/>
            <w:shd w:fill="2C7A7B"/>
            <w:tcMar>
              <w:top w:w="80" w:type="dxa"/>
              <w:start w:w="90" w:type="dxa"/>
              <w:bottom w:w="80" w:type="dxa"/>
              <w:end w:w="90" w:type="dxa"/>
            </w:tcMar>
          </w:tcPr>
          <w:p>
            <w:pPr>
              <w:jc w:val="center"/>
            </w:pPr>
            <w:r>
              <w:rPr>
                <w:b/>
                <w:color w:val="FFFFFF"/>
                <w:sz w:val="17"/>
              </w:rPr>
              <w:t>Required control</w:t>
            </w:r>
          </w:p>
        </w:tc>
      </w:tr>
      <w:tr>
        <w:trPr>
          <w:cantSplit/>
        </w:trPr>
        <w:tc>
          <w:tcPr>
            <w:tcW w:type="dxa" w:w="648"/>
            <w:shd w:fill="FFFFFF"/>
            <w:tcMar>
              <w:top w:w="75" w:type="dxa"/>
              <w:start w:w="80" w:type="dxa"/>
              <w:bottom w:w="75" w:type="dxa"/>
              <w:end w:w="80" w:type="dxa"/>
            </w:tcMar>
          </w:tcPr>
          <w:p>
            <w:pPr>
              <w:spacing w:after="0"/>
              <w:jc w:val="center"/>
            </w:pPr>
            <w:r>
              <w:rPr>
                <w:b/>
                <w:sz w:val="16"/>
              </w:rPr>
              <w:t>1</w:t>
            </w:r>
          </w:p>
        </w:tc>
        <w:tc>
          <w:tcPr>
            <w:tcW w:type="dxa" w:w="1944"/>
            <w:shd w:fill="FFFFFF"/>
            <w:tcMar>
              <w:top w:w="75" w:type="dxa"/>
              <w:start w:w="80" w:type="dxa"/>
              <w:bottom w:w="75" w:type="dxa"/>
              <w:end w:w="80" w:type="dxa"/>
            </w:tcMar>
          </w:tcPr>
          <w:p>
            <w:pPr>
              <w:spacing w:after="0"/>
            </w:pPr>
            <w:r>
              <w:rPr>
                <w:sz w:val="16"/>
              </w:rPr>
              <w:t>Prepare and fit</w:t>
            </w:r>
          </w:p>
        </w:tc>
        <w:tc>
          <w:tcPr>
            <w:tcW w:type="dxa" w:w="4536"/>
            <w:shd w:fill="FFFFFF"/>
            <w:tcMar>
              <w:top w:w="75" w:type="dxa"/>
              <w:start w:w="80" w:type="dxa"/>
              <w:bottom w:w="75" w:type="dxa"/>
              <w:end w:w="80" w:type="dxa"/>
            </w:tcMar>
          </w:tcPr>
          <w:p>
            <w:pPr>
              <w:spacing w:after="0"/>
            </w:pPr>
            <w:r>
              <w:rPr>
                <w:sz w:val="16"/>
              </w:rPr>
              <w:t>Identify the patient/device, select the correct vest or accessory, apply it, and confirm placement.</w:t>
            </w:r>
          </w:p>
        </w:tc>
        <w:tc>
          <w:tcPr>
            <w:tcW w:type="dxa" w:w="2664"/>
            <w:shd w:fill="FFFFFF"/>
            <w:tcMar>
              <w:top w:w="75" w:type="dxa"/>
              <w:start w:w="80" w:type="dxa"/>
              <w:bottom w:w="75" w:type="dxa"/>
              <w:end w:w="80" w:type="dxa"/>
            </w:tcMar>
          </w:tcPr>
          <w:p>
            <w:pPr>
              <w:spacing w:after="0"/>
            </w:pPr>
            <w:r>
              <w:rPr>
                <w:sz w:val="16"/>
              </w:rPr>
              <w:t>Training, sizing, contraindications, cleaning, placement verification, accessibility, and use-error controls.</w:t>
            </w:r>
          </w:p>
        </w:tc>
      </w:tr>
      <w:tr>
        <w:trPr>
          <w:cantSplit/>
        </w:trPr>
        <w:tc>
          <w:tcPr>
            <w:tcW w:type="dxa" w:w="648"/>
            <w:shd w:fill="F3F8F8"/>
            <w:tcMar>
              <w:top w:w="75" w:type="dxa"/>
              <w:start w:w="80" w:type="dxa"/>
              <w:bottom w:w="75" w:type="dxa"/>
              <w:end w:w="80" w:type="dxa"/>
            </w:tcMar>
          </w:tcPr>
          <w:p>
            <w:pPr>
              <w:spacing w:after="0"/>
              <w:jc w:val="center"/>
            </w:pPr>
            <w:r>
              <w:rPr>
                <w:b/>
                <w:sz w:val="16"/>
              </w:rPr>
              <w:t>2</w:t>
            </w:r>
          </w:p>
        </w:tc>
        <w:tc>
          <w:tcPr>
            <w:tcW w:type="dxa" w:w="1944"/>
            <w:shd w:fill="F3F8F8"/>
            <w:tcMar>
              <w:top w:w="75" w:type="dxa"/>
              <w:start w:w="80" w:type="dxa"/>
              <w:bottom w:w="75" w:type="dxa"/>
              <w:end w:w="80" w:type="dxa"/>
            </w:tcMar>
          </w:tcPr>
          <w:p>
            <w:pPr>
              <w:spacing w:after="0"/>
            </w:pPr>
            <w:r>
              <w:rPr>
                <w:sz w:val="16"/>
              </w:rPr>
              <w:t>Acquire recording</w:t>
            </w:r>
          </w:p>
        </w:tc>
        <w:tc>
          <w:tcPr>
            <w:tcW w:type="dxa" w:w="4536"/>
            <w:shd w:fill="F3F8F8"/>
            <w:tcMar>
              <w:top w:w="75" w:type="dxa"/>
              <w:start w:w="80" w:type="dxa"/>
              <w:bottom w:w="75" w:type="dxa"/>
              <w:end w:w="80" w:type="dxa"/>
            </w:tcMar>
          </w:tcPr>
          <w:p>
            <w:pPr>
              <w:spacing w:after="0"/>
            </w:pPr>
            <w:r>
              <w:rPr>
                <w:sz w:val="16"/>
              </w:rPr>
              <w:t>Obtain recordings for the specified duration and conditions; monitor signal quality; repeat or stop when required.</w:t>
            </w:r>
          </w:p>
        </w:tc>
        <w:tc>
          <w:tcPr>
            <w:tcW w:type="dxa" w:w="2664"/>
            <w:shd w:fill="F3F8F8"/>
            <w:tcMar>
              <w:top w:w="75" w:type="dxa"/>
              <w:start w:w="80" w:type="dxa"/>
              <w:bottom w:w="75" w:type="dxa"/>
              <w:end w:w="80" w:type="dxa"/>
            </w:tcMar>
          </w:tcPr>
          <w:p>
            <w:pPr>
              <w:spacing w:after="0"/>
            </w:pPr>
            <w:r>
              <w:rPr>
                <w:sz w:val="16"/>
              </w:rPr>
              <w:t>Acquisition protocol, channel status, timestamps, quality thresholds, environmental limits, and failed-recording rules.</w:t>
            </w:r>
          </w:p>
        </w:tc>
      </w:tr>
      <w:tr>
        <w:trPr>
          <w:cantSplit/>
        </w:trPr>
        <w:tc>
          <w:tcPr>
            <w:tcW w:type="dxa" w:w="648"/>
            <w:shd w:fill="FFFFFF"/>
            <w:tcMar>
              <w:top w:w="75" w:type="dxa"/>
              <w:start w:w="80" w:type="dxa"/>
              <w:bottom w:w="75" w:type="dxa"/>
              <w:end w:w="80" w:type="dxa"/>
            </w:tcMar>
          </w:tcPr>
          <w:p>
            <w:pPr>
              <w:spacing w:after="0"/>
              <w:jc w:val="center"/>
            </w:pPr>
            <w:r>
              <w:rPr>
                <w:b/>
                <w:sz w:val="16"/>
              </w:rPr>
              <w:t>3</w:t>
            </w:r>
          </w:p>
        </w:tc>
        <w:tc>
          <w:tcPr>
            <w:tcW w:type="dxa" w:w="1944"/>
            <w:shd w:fill="FFFFFF"/>
            <w:tcMar>
              <w:top w:w="75" w:type="dxa"/>
              <w:start w:w="80" w:type="dxa"/>
              <w:bottom w:w="75" w:type="dxa"/>
              <w:end w:w="80" w:type="dxa"/>
            </w:tcMar>
          </w:tcPr>
          <w:p>
            <w:pPr>
              <w:spacing w:after="0"/>
            </w:pPr>
            <w:r>
              <w:rPr>
                <w:sz w:val="16"/>
              </w:rPr>
              <w:t>Transfer and organize</w:t>
            </w:r>
          </w:p>
        </w:tc>
        <w:tc>
          <w:tcPr>
            <w:tcW w:type="dxa" w:w="4536"/>
            <w:shd w:fill="FFFFFF"/>
            <w:tcMar>
              <w:top w:w="75" w:type="dxa"/>
              <w:start w:w="80" w:type="dxa"/>
              <w:bottom w:w="75" w:type="dxa"/>
              <w:end w:w="80" w:type="dxa"/>
            </w:tcMar>
          </w:tcPr>
          <w:p>
            <w:pPr>
              <w:spacing w:after="0"/>
            </w:pPr>
            <w:r>
              <w:rPr>
                <w:sz w:val="16"/>
              </w:rPr>
              <w:t>Associate recordings with the correct patient/device and transfer/store them under defined controls.</w:t>
            </w:r>
          </w:p>
        </w:tc>
        <w:tc>
          <w:tcPr>
            <w:tcW w:type="dxa" w:w="2664"/>
            <w:shd w:fill="FFFFFF"/>
            <w:tcMar>
              <w:top w:w="75" w:type="dxa"/>
              <w:start w:w="80" w:type="dxa"/>
              <w:bottom w:w="75" w:type="dxa"/>
              <w:end w:w="80" w:type="dxa"/>
            </w:tcMar>
          </w:tcPr>
          <w:p>
            <w:pPr>
              <w:spacing w:after="0"/>
            </w:pPr>
            <w:r>
              <w:rPr>
                <w:sz w:val="16"/>
              </w:rPr>
              <w:t>Connectivity, encryption, retries, completeness checks, audit trail, privacy, consent, and retention.</w:t>
            </w:r>
          </w:p>
        </w:tc>
      </w:tr>
      <w:tr>
        <w:trPr>
          <w:cantSplit/>
        </w:trPr>
        <w:tc>
          <w:tcPr>
            <w:tcW w:type="dxa" w:w="648"/>
            <w:shd w:fill="F3F8F8"/>
            <w:tcMar>
              <w:top w:w="75" w:type="dxa"/>
              <w:start w:w="80" w:type="dxa"/>
              <w:bottom w:w="75" w:type="dxa"/>
              <w:end w:w="80" w:type="dxa"/>
            </w:tcMar>
          </w:tcPr>
          <w:p>
            <w:pPr>
              <w:spacing w:after="0"/>
              <w:jc w:val="center"/>
            </w:pPr>
            <w:r>
              <w:rPr>
                <w:b/>
                <w:sz w:val="16"/>
              </w:rPr>
              <w:t>4</w:t>
            </w:r>
          </w:p>
        </w:tc>
        <w:tc>
          <w:tcPr>
            <w:tcW w:type="dxa" w:w="1944"/>
            <w:shd w:fill="F3F8F8"/>
            <w:tcMar>
              <w:top w:w="75" w:type="dxa"/>
              <w:start w:w="80" w:type="dxa"/>
              <w:bottom w:w="75" w:type="dxa"/>
              <w:end w:w="80" w:type="dxa"/>
            </w:tcMar>
          </w:tcPr>
          <w:p>
            <w:pPr>
              <w:spacing w:after="0"/>
            </w:pPr>
            <w:r>
              <w:rPr>
                <w:sz w:val="16"/>
              </w:rPr>
              <w:t>Clinician review</w:t>
            </w:r>
          </w:p>
        </w:tc>
        <w:tc>
          <w:tcPr>
            <w:tcW w:type="dxa" w:w="4536"/>
            <w:shd w:fill="F3F8F8"/>
            <w:tcMar>
              <w:top w:w="75" w:type="dxa"/>
              <w:start w:w="80" w:type="dxa"/>
              <w:bottom w:w="75" w:type="dxa"/>
              <w:end w:w="80" w:type="dxa"/>
            </w:tcMar>
          </w:tcPr>
          <w:p>
            <w:pPr>
              <w:spacing w:after="0"/>
            </w:pPr>
            <w:r>
              <w:rPr>
                <w:sz w:val="16"/>
              </w:rPr>
              <w:t>Make defined acoustic information available to the intended reviewer and generate the specified report or documentation.</w:t>
            </w:r>
          </w:p>
        </w:tc>
        <w:tc>
          <w:tcPr>
            <w:tcW w:type="dxa" w:w="2664"/>
            <w:shd w:fill="F3F8F8"/>
            <w:tcMar>
              <w:top w:w="75" w:type="dxa"/>
              <w:start w:w="80" w:type="dxa"/>
              <w:bottom w:w="75" w:type="dxa"/>
              <w:end w:w="80" w:type="dxa"/>
            </w:tcMar>
          </w:tcPr>
          <w:p>
            <w:pPr>
              <w:spacing w:after="0"/>
            </w:pPr>
            <w:r>
              <w:rPr>
                <w:sz w:val="16"/>
              </w:rPr>
              <w:t>User qualifications, interpretation requirements, report content, indeterminate output, communication, escalation, and response time.</w:t>
            </w:r>
          </w:p>
        </w:tc>
      </w:tr>
      <w:tr>
        <w:trPr>
          <w:cantSplit/>
        </w:trPr>
        <w:tc>
          <w:tcPr>
            <w:tcW w:type="dxa" w:w="648"/>
            <w:shd w:fill="FFFFFF"/>
            <w:tcMar>
              <w:top w:w="75" w:type="dxa"/>
              <w:start w:w="80" w:type="dxa"/>
              <w:bottom w:w="75" w:type="dxa"/>
              <w:end w:w="80" w:type="dxa"/>
            </w:tcMar>
          </w:tcPr>
          <w:p>
            <w:pPr>
              <w:spacing w:after="0"/>
              <w:jc w:val="center"/>
            </w:pPr>
            <w:r>
              <w:rPr>
                <w:b/>
                <w:sz w:val="16"/>
              </w:rPr>
              <w:t>5</w:t>
            </w:r>
          </w:p>
        </w:tc>
        <w:tc>
          <w:tcPr>
            <w:tcW w:type="dxa" w:w="1944"/>
            <w:shd w:fill="FFFFFF"/>
            <w:tcMar>
              <w:top w:w="75" w:type="dxa"/>
              <w:start w:w="80" w:type="dxa"/>
              <w:bottom w:w="75" w:type="dxa"/>
              <w:end w:w="80" w:type="dxa"/>
            </w:tcMar>
          </w:tcPr>
          <w:p>
            <w:pPr>
              <w:spacing w:after="0"/>
            </w:pPr>
            <w:r>
              <w:rPr>
                <w:sz w:val="16"/>
              </w:rPr>
              <w:t>Follow-up</w:t>
            </w:r>
          </w:p>
        </w:tc>
        <w:tc>
          <w:tcPr>
            <w:tcW w:type="dxa" w:w="4536"/>
            <w:shd w:fill="FFFFFF"/>
            <w:tcMar>
              <w:top w:w="75" w:type="dxa"/>
              <w:start w:w="80" w:type="dxa"/>
              <w:bottom w:w="75" w:type="dxa"/>
              <w:end w:w="80" w:type="dxa"/>
            </w:tcMar>
          </w:tcPr>
          <w:p>
            <w:pPr>
              <w:spacing w:after="0"/>
            </w:pPr>
            <w:r>
              <w:rPr>
                <w:sz w:val="16"/>
              </w:rPr>
              <w:t>Use the information only within the authorized clinical role and document any required next action.</w:t>
            </w:r>
          </w:p>
        </w:tc>
        <w:tc>
          <w:tcPr>
            <w:tcW w:type="dxa" w:w="2664"/>
            <w:shd w:fill="FFFFFF"/>
            <w:tcMar>
              <w:top w:w="75" w:type="dxa"/>
              <w:start w:w="80" w:type="dxa"/>
              <w:bottom w:w="75" w:type="dxa"/>
              <w:end w:w="80" w:type="dxa"/>
            </w:tcMar>
          </w:tcPr>
          <w:p>
            <w:pPr>
              <w:spacing w:after="0"/>
            </w:pPr>
            <w:r>
              <w:rPr>
                <w:sz w:val="16"/>
              </w:rPr>
              <w:t>Intended-use boundary, confirmatory testing, clinical responsibility, adverse-event handling, and auditability.</w:t>
            </w:r>
          </w:p>
        </w:tc>
      </w:tr>
    </w:tbl>
    <w:p>
      <w:pPr>
        <w:pStyle w:val="Heading1"/>
        <w:pBdr>
          <w:bottom w:val="single" w:sz="8" w:space="3" w:color="2C7A7B"/>
        </w:pBdr>
      </w:pPr>
      <w:r>
        <w:t>6. Clinical Development and Validation</w:t>
      </w:r>
    </w:p>
    <w:p>
      <w:pPr>
        <w:spacing w:after="140" w:line="259" w:lineRule="auto"/>
      </w:pPr>
      <w:r>
        <w:rPr>
          <w:i w:val="0"/>
        </w:rPr>
        <w:t>The source materials describe a transition from prototype work toward clinical validation. The current controlled status was not supplied. [INPUT REQUIRED: trial identifier, protocol version, sponsor, IRB/ethics status, sites, enrollment status, sample size, endpoints, device/software version, data cuts, and publication status; owner: Clinical Operations.]</w:t>
      </w:r>
    </w:p>
    <w:p>
      <w:pPr>
        <w:pStyle w:val="Heading2"/>
      </w:pPr>
      <w:r>
        <w:t>6.1 Evidence domains</w:t>
      </w:r>
    </w:p>
    <w:p>
      <w:pPr>
        <w:spacing w:after="140" w:line="259" w:lineRule="auto"/>
      </w:pPr>
      <w:r>
        <w:rPr>
          <w:i w:val="0"/>
        </w:rPr>
        <w:t>A defensible evidence program should distinguish the following domains:</w:t>
      </w:r>
    </w:p>
    <w:p>
      <w:pPr>
        <w:pStyle w:val="ListBullet"/>
        <w:spacing w:after="60"/>
        <w:ind w:left="288" w:hanging="173"/>
      </w:pPr>
      <w:r>
        <w:rPr>
          <w:b/>
        </w:rPr>
        <w:t>Technical and analytical validation:</w:t>
      </w:r>
      <w:r>
        <w:t xml:space="preserve"> channel synchronization, signal integrity, quality metrics, repeatability, processing latency, missing data, robustness, and failure detection.</w:t>
      </w:r>
    </w:p>
    <w:p>
      <w:pPr>
        <w:pStyle w:val="ListBullet"/>
        <w:spacing w:after="60"/>
        <w:ind w:left="288" w:hanging="173"/>
      </w:pPr>
      <w:r>
        <w:rPr>
          <w:b/>
        </w:rPr>
        <w:t>Clinical validity:</w:t>
      </w:r>
      <w:r>
        <w:t xml:space="preserve"> comparison with appropriate reference standards for each target condition, with prespecified endpoints, confidence intervals, indeterminate handling, and subgroup/site analyses.</w:t>
      </w:r>
    </w:p>
    <w:p>
      <w:pPr>
        <w:pStyle w:val="ListBullet"/>
        <w:spacing w:after="60"/>
        <w:ind w:left="288" w:hanging="173"/>
      </w:pPr>
      <w:r>
        <w:rPr>
          <w:b/>
        </w:rPr>
        <w:t>Clinical utility:</w:t>
      </w:r>
      <w:r>
        <w:t xml:space="preserve"> whether the system changes referral, testing, escalation, monitoring, or treatment decisions compared with the defined standard-care pathway.</w:t>
      </w:r>
    </w:p>
    <w:p>
      <w:pPr>
        <w:pStyle w:val="ListBullet"/>
        <w:spacing w:after="60"/>
        <w:ind w:left="288" w:hanging="173"/>
      </w:pPr>
      <w:r>
        <w:rPr>
          <w:b/>
        </w:rPr>
        <w:t>Human factors and safety:</w:t>
      </w:r>
      <w:r>
        <w:t xml:space="preserve"> fitting, placement, cleaning, training, accessibility, home/remote use, use errors, contraindications, and failure communication.</w:t>
      </w:r>
    </w:p>
    <w:p>
      <w:pPr>
        <w:pStyle w:val="ListBullet"/>
        <w:spacing w:after="60"/>
        <w:ind w:left="288" w:hanging="173"/>
      </w:pPr>
      <w:r>
        <w:rPr>
          <w:b/>
        </w:rPr>
        <w:t>Workflow and health economics:</w:t>
      </w:r>
      <w:r>
        <w:t xml:space="preserve"> recording success, clinician time, repeat testing, referral yield, travel, resource use, implementation cost, and other outcomes that are plausible for the selected use case.</w:t>
      </w:r>
    </w:p>
    <w:p>
      <w:pPr>
        <w:pStyle w:val="Heading2"/>
      </w:pPr>
      <w:r>
        <w:t>6.2 Proposed validation objectives</w:t>
      </w:r>
    </w:p>
    <w:p>
      <w:pPr>
        <w:spacing w:after="140" w:line="259" w:lineRule="auto"/>
      </w:pPr>
      <w:r>
        <w:rPr>
          <w:i w:val="0"/>
        </w:rPr>
        <w:t>The source draft proposed evaluation of signal quality, repeatability, clinician usefulness, abnormal-sound detection, heart/lung sound classification, and clarity of output. Those concepts must be converted into operational endpoints only after the candidate intended use, reference standard, product version, and statistical assumptions are approved. No performance threshold or result is stated in this document.</w:t>
      </w:r>
    </w:p>
    <w:p>
      <w:pPr>
        <w:pStyle w:val="Heading2"/>
      </w:pPr>
      <w:r>
        <w:t>6.3 Development status reporting</w:t>
      </w:r>
    </w:p>
    <w:tbl>
      <w:tblPr>
        <w:tblW w:type="auto" w:w="0"/>
        <w:jc w:val="center"/>
        <w:tblLayout w:type="fixed"/>
        <w:tblLook w:firstColumn="1" w:firstRow="1" w:lastColumn="0" w:lastRow="0" w:noHBand="0" w:noVBand="1" w:val="04A0"/>
        <w:tblBorders>
          <w:top w:val="single" w:sz="4" w:space="0" w:color="B7C9CE"/>
          <w:left w:val="single" w:sz="4" w:space="0" w:color="B7C9CE"/>
          <w:bottom w:val="single" w:sz="4" w:space="0" w:color="B7C9CE"/>
          <w:right w:val="single" w:sz="4" w:space="0" w:color="B7C9CE"/>
          <w:insideH w:val="single" w:sz="4" w:space="0" w:color="B7C9CE"/>
          <w:insideV w:val="single" w:sz="4" w:space="0" w:color="B7C9CE"/>
        </w:tblBorders>
      </w:tblPr>
      <w:tblGrid>
        <w:gridCol w:w="2304"/>
        <w:gridCol w:w="2448"/>
        <w:gridCol w:w="5616"/>
      </w:tblGrid>
      <w:tr>
        <w:trPr>
          <w:tblHeader w:val="true"/>
          <w:cantSplit/>
        </w:trPr>
        <w:tc>
          <w:tcPr>
            <w:tcW w:type="dxa" w:w="3360"/>
            <w:shd w:fill="2C7A7B"/>
            <w:tcMar>
              <w:top w:w="80" w:type="dxa"/>
              <w:start w:w="90" w:type="dxa"/>
              <w:bottom w:w="80" w:type="dxa"/>
              <w:end w:w="90" w:type="dxa"/>
            </w:tcMar>
          </w:tcPr>
          <w:p>
            <w:r>
              <w:rPr>
                <w:b/>
                <w:color w:val="FFFFFF"/>
                <w:sz w:val="17"/>
              </w:rPr>
              <w:t>Stage</w:t>
            </w:r>
          </w:p>
        </w:tc>
        <w:tc>
          <w:tcPr>
            <w:tcW w:type="dxa" w:w="3360"/>
            <w:shd w:fill="2C7A7B"/>
            <w:tcMar>
              <w:top w:w="80" w:type="dxa"/>
              <w:start w:w="90" w:type="dxa"/>
              <w:bottom w:w="80" w:type="dxa"/>
              <w:end w:w="90" w:type="dxa"/>
            </w:tcMar>
          </w:tcPr>
          <w:p>
            <w:r>
              <w:rPr>
                <w:b/>
                <w:color w:val="FFFFFF"/>
                <w:sz w:val="17"/>
              </w:rPr>
              <w:t>Current status</w:t>
            </w:r>
          </w:p>
        </w:tc>
        <w:tc>
          <w:tcPr>
            <w:tcW w:type="dxa" w:w="3360"/>
            <w:shd w:fill="2C7A7B"/>
            <w:tcMar>
              <w:top w:w="80" w:type="dxa"/>
              <w:start w:w="90" w:type="dxa"/>
              <w:bottom w:w="80" w:type="dxa"/>
              <w:end w:w="90" w:type="dxa"/>
            </w:tcMar>
          </w:tcPr>
          <w:p>
            <w:r>
              <w:rPr>
                <w:b/>
                <w:color w:val="FFFFFF"/>
                <w:sz w:val="17"/>
              </w:rPr>
              <w:t>Required evidence before external statement</w:t>
            </w:r>
          </w:p>
        </w:tc>
      </w:tr>
      <w:tr>
        <w:trPr>
          <w:cantSplit/>
        </w:trPr>
        <w:tc>
          <w:tcPr>
            <w:tcW w:type="dxa" w:w="2304"/>
            <w:shd w:fill="FFFFFF"/>
            <w:tcMar>
              <w:top w:w="75" w:type="dxa"/>
              <w:start w:w="85" w:type="dxa"/>
              <w:bottom w:w="75" w:type="dxa"/>
              <w:end w:w="85" w:type="dxa"/>
            </w:tcMar>
          </w:tcPr>
          <w:p>
            <w:pPr>
              <w:spacing w:after="0"/>
            </w:pPr>
            <w:r>
              <w:rPr>
                <w:sz w:val="16"/>
              </w:rPr>
              <w:t>Prototype testing</w:t>
            </w:r>
          </w:p>
        </w:tc>
        <w:tc>
          <w:tcPr>
            <w:tcW w:type="dxa" w:w="2448"/>
            <w:shd w:fill="FFFFFF"/>
            <w:tcMar>
              <w:top w:w="75" w:type="dxa"/>
              <w:start w:w="85" w:type="dxa"/>
              <w:bottom w:w="75" w:type="dxa"/>
              <w:end w:w="85" w:type="dxa"/>
            </w:tcMar>
          </w:tcPr>
          <w:p>
            <w:pPr>
              <w:spacing w:after="0"/>
            </w:pPr>
            <w:r>
              <w:rPr>
                <w:sz w:val="16"/>
              </w:rPr>
              <w:t>[INPUT REQUIRED]</w:t>
            </w:r>
          </w:p>
        </w:tc>
        <w:tc>
          <w:tcPr>
            <w:tcW w:type="dxa" w:w="5616"/>
            <w:shd w:fill="FFFFFF"/>
            <w:tcMar>
              <w:top w:w="75" w:type="dxa"/>
              <w:start w:w="85" w:type="dxa"/>
              <w:bottom w:w="75" w:type="dxa"/>
              <w:end w:w="85" w:type="dxa"/>
            </w:tcMar>
          </w:tcPr>
          <w:p>
            <w:pPr>
              <w:spacing w:after="0"/>
            </w:pPr>
            <w:r>
              <w:rPr>
                <w:sz w:val="16"/>
              </w:rPr>
              <w:t>Controlled design history, test reports, device/software version, acceptance criteria, and approval.</w:t>
            </w:r>
          </w:p>
        </w:tc>
      </w:tr>
      <w:tr>
        <w:trPr>
          <w:cantSplit/>
        </w:trPr>
        <w:tc>
          <w:tcPr>
            <w:tcW w:type="dxa" w:w="2304"/>
            <w:shd w:fill="F3F8F8"/>
            <w:tcMar>
              <w:top w:w="75" w:type="dxa"/>
              <w:start w:w="85" w:type="dxa"/>
              <w:bottom w:w="75" w:type="dxa"/>
              <w:end w:w="85" w:type="dxa"/>
            </w:tcMar>
          </w:tcPr>
          <w:p>
            <w:pPr>
              <w:spacing w:after="0"/>
            </w:pPr>
            <w:r>
              <w:rPr>
                <w:sz w:val="16"/>
              </w:rPr>
              <w:t>Clinical validation</w:t>
            </w:r>
          </w:p>
        </w:tc>
        <w:tc>
          <w:tcPr>
            <w:tcW w:type="dxa" w:w="2448"/>
            <w:shd w:fill="F3F8F8"/>
            <w:tcMar>
              <w:top w:w="75" w:type="dxa"/>
              <w:start w:w="85" w:type="dxa"/>
              <w:bottom w:w="75" w:type="dxa"/>
              <w:end w:w="85" w:type="dxa"/>
            </w:tcMar>
          </w:tcPr>
          <w:p>
            <w:pPr>
              <w:spacing w:after="0"/>
            </w:pPr>
            <w:r>
              <w:rPr>
                <w:sz w:val="16"/>
              </w:rPr>
              <w:t>[INPUT REQUIRED]</w:t>
            </w:r>
          </w:p>
        </w:tc>
        <w:tc>
          <w:tcPr>
            <w:tcW w:type="dxa" w:w="5616"/>
            <w:shd w:fill="F3F8F8"/>
            <w:tcMar>
              <w:top w:w="75" w:type="dxa"/>
              <w:start w:w="85" w:type="dxa"/>
              <w:bottom w:w="75" w:type="dxa"/>
              <w:end w:w="85" w:type="dxa"/>
            </w:tcMar>
          </w:tcPr>
          <w:p>
            <w:pPr>
              <w:spacing w:after="0"/>
            </w:pPr>
            <w:r>
              <w:rPr>
                <w:sz w:val="16"/>
              </w:rPr>
              <w:t>Protocol/registration, ethics status, sites, enrollment, endpoints, reference standards, analysis plan, and current dates.</w:t>
            </w:r>
          </w:p>
        </w:tc>
      </w:tr>
      <w:tr>
        <w:trPr>
          <w:cantSplit/>
        </w:trPr>
        <w:tc>
          <w:tcPr>
            <w:tcW w:type="dxa" w:w="2304"/>
            <w:shd w:fill="FFFFFF"/>
            <w:tcMar>
              <w:top w:w="75" w:type="dxa"/>
              <w:start w:w="85" w:type="dxa"/>
              <w:bottom w:w="75" w:type="dxa"/>
              <w:end w:w="85" w:type="dxa"/>
            </w:tcMar>
          </w:tcPr>
          <w:p>
            <w:pPr>
              <w:spacing w:after="0"/>
            </w:pPr>
            <w:r>
              <w:rPr>
                <w:sz w:val="16"/>
              </w:rPr>
              <w:t>Pilot deployment</w:t>
            </w:r>
          </w:p>
        </w:tc>
        <w:tc>
          <w:tcPr>
            <w:tcW w:type="dxa" w:w="2448"/>
            <w:shd w:fill="FFFFFF"/>
            <w:tcMar>
              <w:top w:w="75" w:type="dxa"/>
              <w:start w:w="85" w:type="dxa"/>
              <w:bottom w:w="75" w:type="dxa"/>
              <w:end w:w="85" w:type="dxa"/>
            </w:tcMar>
          </w:tcPr>
          <w:p>
            <w:pPr>
              <w:spacing w:after="0"/>
            </w:pPr>
            <w:r>
              <w:rPr>
                <w:sz w:val="16"/>
              </w:rPr>
              <w:t>[DECISION REQUIRED]</w:t>
            </w:r>
          </w:p>
        </w:tc>
        <w:tc>
          <w:tcPr>
            <w:tcW w:type="dxa" w:w="5616"/>
            <w:shd w:fill="FFFFFF"/>
            <w:tcMar>
              <w:top w:w="75" w:type="dxa"/>
              <w:start w:w="85" w:type="dxa"/>
              <w:bottom w:w="75" w:type="dxa"/>
              <w:end w:w="85" w:type="dxa"/>
            </w:tcMar>
          </w:tcPr>
          <w:p>
            <w:pPr>
              <w:spacing w:after="0"/>
            </w:pPr>
            <w:r>
              <w:rPr>
                <w:sz w:val="16"/>
              </w:rPr>
              <w:t>Approved pilot protocol, intended setting/users, data governance, contracts, safety monitoring, and success criteria.</w:t>
            </w:r>
          </w:p>
        </w:tc>
      </w:tr>
      <w:tr>
        <w:trPr>
          <w:cantSplit/>
        </w:trPr>
        <w:tc>
          <w:tcPr>
            <w:tcW w:type="dxa" w:w="2304"/>
            <w:shd w:fill="F3F8F8"/>
            <w:tcMar>
              <w:top w:w="75" w:type="dxa"/>
              <w:start w:w="85" w:type="dxa"/>
              <w:bottom w:w="75" w:type="dxa"/>
              <w:end w:w="85" w:type="dxa"/>
            </w:tcMar>
          </w:tcPr>
          <w:p>
            <w:pPr>
              <w:spacing w:after="0"/>
            </w:pPr>
            <w:r>
              <w:rPr>
                <w:sz w:val="16"/>
              </w:rPr>
              <w:t>Regulatory pathway</w:t>
            </w:r>
          </w:p>
        </w:tc>
        <w:tc>
          <w:tcPr>
            <w:tcW w:type="dxa" w:w="2448"/>
            <w:shd w:fill="F3F8F8"/>
            <w:tcMar>
              <w:top w:w="75" w:type="dxa"/>
              <w:start w:w="85" w:type="dxa"/>
              <w:bottom w:w="75" w:type="dxa"/>
              <w:end w:w="85" w:type="dxa"/>
            </w:tcMar>
          </w:tcPr>
          <w:p>
            <w:pPr>
              <w:spacing w:after="0"/>
            </w:pPr>
            <w:r>
              <w:rPr>
                <w:sz w:val="16"/>
              </w:rPr>
              <w:t>[DECISION REQUIRED]</w:t>
            </w:r>
          </w:p>
        </w:tc>
        <w:tc>
          <w:tcPr>
            <w:tcW w:type="dxa" w:w="5616"/>
            <w:shd w:fill="F3F8F8"/>
            <w:tcMar>
              <w:top w:w="75" w:type="dxa"/>
              <w:start w:w="85" w:type="dxa"/>
              <w:bottom w:w="75" w:type="dxa"/>
              <w:end w:w="85" w:type="dxa"/>
            </w:tcMar>
          </w:tcPr>
          <w:p>
            <w:pPr>
              <w:spacing w:after="0"/>
            </w:pPr>
            <w:r>
              <w:rPr>
                <w:sz w:val="16"/>
              </w:rPr>
              <w:t>Candidate intended use, classification/predicate analysis, risk controls, FDA interaction plan, and approved development schedule.</w:t>
            </w:r>
          </w:p>
        </w:tc>
      </w:tr>
    </w:tbl>
    <w:tbl>
      <w:tblPr>
        <w:tblW w:type="auto" w:w="0"/>
        <w:jc w:val="center"/>
        <w:tblLayout w:type="fixed"/>
        <w:tblLook w:firstColumn="1" w:firstRow="1" w:lastColumn="0" w:lastRow="0" w:noHBand="0" w:noVBand="1" w:val="04A0"/>
        <w:tblBorders>
          <w:top w:val="single" w:sz="8" w:space="0" w:color="B7791F"/>
          <w:left w:val="single" w:sz="8" w:space="0" w:color="B7791F"/>
          <w:bottom w:val="single" w:sz="8" w:space="0" w:color="B7791F"/>
          <w:right w:val="single" w:sz="8" w:space="0" w:color="B7791F"/>
          <w:insideH w:val="single" w:sz="8" w:space="0" w:color="B7791F"/>
          <w:insideV w:val="single" w:sz="8" w:space="0" w:color="B7791F"/>
        </w:tblBorders>
      </w:tblPr>
      <w:tblGrid>
        <w:gridCol w:w="9720"/>
      </w:tblGrid>
      <w:tr>
        <w:trPr>
          <w:cantSplit/>
        </w:trPr>
        <w:tc>
          <w:tcPr>
            <w:tcW w:type="dxa" w:w="10080"/>
            <w:shd w:fill="FFF8E6"/>
            <w:tcMar>
              <w:top w:w="130" w:type="dxa"/>
              <w:start w:w="180" w:type="dxa"/>
              <w:bottom w:w="130" w:type="dxa"/>
              <w:end w:w="180" w:type="dxa"/>
            </w:tcMar>
          </w:tcPr>
          <w:p>
            <w:pPr>
              <w:spacing w:after="80"/>
            </w:pPr>
            <w:r>
              <w:rPr>
                <w:b/>
                <w:color w:val="B7791F"/>
                <w:sz w:val="20"/>
              </w:rPr>
              <w:t>TRIAL-STATUS CLAIM QUARANTINED</w:t>
            </w:r>
          </w:p>
          <w:p>
            <w:pPr>
              <w:spacing w:after="0"/>
            </w:pPr>
            <w:r>
              <w:rPr>
                <w:color w:val="16323A"/>
                <w:sz w:val="18"/>
              </w:rPr>
              <w:t>The source statement that CT1 is currently enrolling is not repeated as a factual claim. It requires a verified trial record, protocol identifier, ethics approval, sponsor, sites, recruitment dates, and current enrollment status.</w:t>
            </w:r>
          </w:p>
        </w:tc>
      </w:tr>
    </w:tbl>
    <w:p>
      <w:pPr>
        <w:spacing w:after="0"/>
      </w:pPr>
    </w:p>
    <w:p>
      <w:pPr>
        <w:pStyle w:val="Heading1"/>
        <w:pBdr>
          <w:bottom w:val="single" w:sz="8" w:space="3" w:color="2C7A7B"/>
        </w:pBdr>
      </w:pPr>
      <w:r>
        <w:t>7. Potential Value Hypotheses</w:t>
      </w:r>
    </w:p>
    <w:p>
      <w:pPr>
        <w:spacing w:after="140" w:line="259" w:lineRule="auto"/>
      </w:pPr>
      <w:r>
        <w:rPr>
          <w:i w:val="0"/>
        </w:rPr>
        <w:t>The following are hypotheses for evidence generation and stakeholder research, not established benefits:</w:t>
      </w:r>
    </w:p>
    <w:p>
      <w:pPr>
        <w:pStyle w:val="Heading2"/>
      </w:pPr>
      <w:r>
        <w:t>7.1 Potential patient and access hypotheses</w:t>
      </w:r>
    </w:p>
    <w:p>
      <w:pPr>
        <w:pStyle w:val="ListBullet"/>
        <w:spacing w:after="60"/>
        <w:ind w:left="288" w:hanging="173"/>
      </w:pPr>
      <w:r>
        <w:t>acoustic recording closer to the patient in a clinic or other approved setting;</w:t>
      </w:r>
    </w:p>
    <w:p>
      <w:pPr>
        <w:pStyle w:val="ListBullet"/>
        <w:spacing w:after="60"/>
        <w:ind w:left="288" w:hanging="173"/>
      </w:pPr>
      <w:r>
        <w:t>more consistent recording positions across examinations;</w:t>
      </w:r>
    </w:p>
    <w:p>
      <w:pPr>
        <w:pStyle w:val="ListBullet"/>
        <w:spacing w:after="60"/>
        <w:ind w:left="288" w:hanging="173"/>
      </w:pPr>
      <w:r>
        <w:t>ability to share recordings for remote human review;</w:t>
      </w:r>
    </w:p>
    <w:p>
      <w:pPr>
        <w:pStyle w:val="ListBullet"/>
        <w:spacing w:after="60"/>
        <w:ind w:left="288" w:hanging="173"/>
      </w:pPr>
      <w:r>
        <w:t>ability to compare repeat recordings under a defined protocol; and</w:t>
      </w:r>
    </w:p>
    <w:p>
      <w:pPr>
        <w:pStyle w:val="ListBullet"/>
        <w:spacing w:after="60"/>
        <w:ind w:left="288" w:hanging="173"/>
      </w:pPr>
      <w:r>
        <w:t>potential reduction of avoidable travel or delays, only if demonstrated prospectively.</w:t>
      </w:r>
    </w:p>
    <w:p>
      <w:pPr>
        <w:pStyle w:val="Heading2"/>
      </w:pPr>
      <w:r>
        <w:t>7.2 Potential clinician and health-system hypotheses</w:t>
      </w:r>
    </w:p>
    <w:p>
      <w:pPr>
        <w:pStyle w:val="ListBullet"/>
        <w:spacing w:after="60"/>
        <w:ind w:left="288" w:hanging="173"/>
      </w:pPr>
      <w:r>
        <w:t>standardized multi-point acquisition;</w:t>
      </w:r>
    </w:p>
    <w:p>
      <w:pPr>
        <w:pStyle w:val="ListBullet"/>
        <w:spacing w:after="60"/>
        <w:ind w:left="288" w:hanging="173"/>
      </w:pPr>
      <w:r>
        <w:t>stored, shareable recordings and structured review;</w:t>
      </w:r>
    </w:p>
    <w:p>
      <w:pPr>
        <w:pStyle w:val="ListBullet"/>
        <w:spacing w:after="60"/>
        <w:ind w:left="288" w:hanging="173"/>
      </w:pPr>
      <w:r>
        <w:t>support for a defined triage, referral, or follow-up decision;</w:t>
      </w:r>
    </w:p>
    <w:p>
      <w:pPr>
        <w:pStyle w:val="ListBullet"/>
        <w:spacing w:after="60"/>
        <w:ind w:left="288" w:hanging="173"/>
      </w:pPr>
      <w:r>
        <w:t>measurable workflow or resource effects in selected settings; and</w:t>
      </w:r>
    </w:p>
    <w:p>
      <w:pPr>
        <w:pStyle w:val="ListBullet"/>
        <w:spacing w:after="60"/>
        <w:ind w:left="288" w:hanging="173"/>
      </w:pPr>
      <w:r>
        <w:t>extension of specialist review across distance, subject to licensure, workflow, and evidence requirements.</w:t>
      </w:r>
    </w:p>
    <w:p>
      <w:pPr>
        <w:spacing w:after="140" w:line="259" w:lineRule="auto"/>
      </w:pPr>
      <w:r>
        <w:rPr>
          <w:i w:val="0"/>
        </w:rPr>
        <w:t>Claims concerning diagnostic accuracy, cost reduction, workflow efficiency, travel reduction, health-system savings, readmission reduction, or improved patient outcomes must remain out of external copy until supported by appropriately designed evidence and approved for the intended channel.</w:t>
      </w:r>
    </w:p>
    <w:p>
      <w:pPr>
        <w:pStyle w:val="Heading1"/>
        <w:pBdr>
          <w:bottom w:val="single" w:sz="8" w:space="3" w:color="2C7A7B"/>
        </w:pBdr>
      </w:pPr>
      <w:r>
        <w:t>8. Product Positioning and Boundaries</w:t>
      </w:r>
    </w:p>
    <w:p>
      <w:pPr>
        <w:spacing w:after="140" w:line="259" w:lineRule="auto"/>
      </w:pPr>
      <w:r>
        <w:rPr>
          <w:i w:val="0"/>
        </w:rPr>
        <w:t>SonoHL is presented in this audited working copy as an investigational acoustic-sensing platform in clinical development. The first candidate intended-use statement has not been approved. Accordingly, this document does not characterize the platform as a diagnostic device, screening device, remote-monitoring service, or commercially available medical product.</w:t>
      </w:r>
    </w:p>
    <w:p>
      <w:pPr>
        <w:spacing w:after="140" w:line="259" w:lineRule="auto"/>
      </w:pPr>
      <w:r>
        <w:rPr>
          <w:i w:val="0"/>
        </w:rPr>
        <w:t>The baseline regulatory hypothesis should define the target population, condition, intended user, setting, acquisition method, output, clinical role, required interpretation, limitations, contraindications, and excluded claims. Cardiac and pulmonary claims may require separate evidence and potentially separate indications. [COUNSEL REVIEW REQUIRED.]</w:t>
      </w:r>
    </w:p>
    <w:tbl>
      <w:tblPr>
        <w:tblW w:type="auto" w:w="0"/>
        <w:jc w:val="center"/>
        <w:tblLayout w:type="fixed"/>
        <w:tblLook w:firstColumn="1" w:firstRow="1" w:lastColumn="0" w:lastRow="0" w:noHBand="0" w:noVBand="1" w:val="04A0"/>
        <w:tblBorders>
          <w:top w:val="single" w:sz="8" w:space="0" w:color="A61B1B"/>
          <w:left w:val="single" w:sz="8" w:space="0" w:color="A61B1B"/>
          <w:bottom w:val="single" w:sz="8" w:space="0" w:color="A61B1B"/>
          <w:right w:val="single" w:sz="8" w:space="0" w:color="A61B1B"/>
          <w:insideH w:val="single" w:sz="8" w:space="0" w:color="A61B1B"/>
          <w:insideV w:val="single" w:sz="8" w:space="0" w:color="A61B1B"/>
        </w:tblBorders>
      </w:tblPr>
      <w:tblGrid>
        <w:gridCol w:w="9720"/>
      </w:tblGrid>
      <w:tr>
        <w:trPr>
          <w:cantSplit/>
        </w:trPr>
        <w:tc>
          <w:tcPr>
            <w:tcW w:type="dxa" w:w="10080"/>
            <w:shd w:fill="FFF5F5"/>
            <w:tcMar>
              <w:top w:w="130" w:type="dxa"/>
              <w:start w:w="180" w:type="dxa"/>
              <w:bottom w:w="130" w:type="dxa"/>
              <w:end w:w="180" w:type="dxa"/>
            </w:tcMar>
          </w:tcPr>
          <w:p>
            <w:pPr>
              <w:spacing w:after="80"/>
            </w:pPr>
            <w:r>
              <w:rPr>
                <w:b/>
                <w:color w:val="A61B1B"/>
                <w:sz w:val="20"/>
              </w:rPr>
              <w:t>OUT-OF-SCOPE UNTIL APPROVED</w:t>
            </w:r>
          </w:p>
          <w:p>
            <w:pPr>
              <w:spacing w:after="0"/>
            </w:pPr>
            <w:r>
              <w:rPr>
                <w:color w:val="16323A"/>
                <w:sz w:val="18"/>
              </w:rPr>
              <w:t>Autonomous diagnosis; broad cardiopulmonary screening; disease or defect detection; validated sensitivity/specificity; safety and effectiveness; reimbursement eligibility; code applicability; payer coverage; payment amount; commercial availability; and pricing.</w:t>
            </w:r>
          </w:p>
        </w:tc>
      </w:tr>
    </w:tbl>
    <w:p>
      <w:pPr>
        <w:spacing w:after="0"/>
      </w:pPr>
    </w:p>
    <w:p>
      <w:pPr>
        <w:pStyle w:val="Heading1"/>
        <w:pBdr>
          <w:bottom w:val="single" w:sz="8" w:space="3" w:color="2C7A7B"/>
        </w:pBdr>
      </w:pPr>
      <w:r>
        <w:t>9. Team and Clinical Governance</w:t>
      </w:r>
    </w:p>
    <w:p>
      <w:pPr>
        <w:spacing w:after="140" w:line="259" w:lineRule="auto"/>
      </w:pPr>
      <w:r>
        <w:rPr>
          <w:i w:val="0"/>
        </w:rPr>
        <w:t>The source website-derived draft listed the following personnel. Their current titles, affiliations, roles, and authorization for external publication were not independently verified during A0 and must be confirmed by Human Resources, Corporate Communications, and the named individuals before use outside the controlled team.</w:t>
      </w:r>
    </w:p>
    <w:p>
      <w:pPr>
        <w:pStyle w:val="ListBullet"/>
        <w:spacing w:after="60"/>
        <w:ind w:left="288" w:hanging="173"/>
      </w:pPr>
      <w:r>
        <w:t>Dr. Nadia Giannetti - CEO and Co-Founder</w:t>
      </w:r>
    </w:p>
    <w:p>
      <w:pPr>
        <w:pStyle w:val="ListBullet"/>
        <w:spacing w:after="60"/>
        <w:ind w:left="288" w:hanging="173"/>
      </w:pPr>
      <w:r>
        <w:t>Matthew Behr, P.Eng - CTO and Co-Founder</w:t>
      </w:r>
    </w:p>
    <w:p>
      <w:pPr>
        <w:pStyle w:val="ListBullet"/>
        <w:spacing w:after="60"/>
        <w:ind w:left="288" w:hanging="173"/>
      </w:pPr>
      <w:r>
        <w:t>Mitchel Benovoy, PhD - Chief AI Officer and Co-Founder</w:t>
      </w:r>
    </w:p>
    <w:p>
      <w:pPr>
        <w:pStyle w:val="ListBullet"/>
        <w:spacing w:after="60"/>
        <w:ind w:left="288" w:hanging="173"/>
      </w:pPr>
      <w:r>
        <w:t>Rachel Manz - R&amp;D Specialist</w:t>
      </w:r>
    </w:p>
    <w:p>
      <w:pPr>
        <w:pStyle w:val="ListBullet"/>
        <w:spacing w:after="60"/>
        <w:ind w:left="288" w:hanging="173"/>
      </w:pPr>
      <w:r>
        <w:t>Alexandre Hadji-Thomas - AI and machine learning</w:t>
      </w:r>
    </w:p>
    <w:p>
      <w:pPr>
        <w:pStyle w:val="ListBullet"/>
        <w:spacing w:after="60"/>
        <w:ind w:left="288" w:hanging="173"/>
      </w:pPr>
      <w:r>
        <w:t>Julia Deist - Mechanical Engineer</w:t>
      </w:r>
    </w:p>
    <w:p>
      <w:pPr>
        <w:pStyle w:val="ListBullet"/>
        <w:spacing w:after="60"/>
        <w:ind w:left="288" w:hanging="173"/>
      </w:pPr>
      <w:r>
        <w:t>Ines Tazi Riffi - Electrical Engineer</w:t>
      </w:r>
    </w:p>
    <w:p>
      <w:pPr>
        <w:pStyle w:val="ListBullet"/>
        <w:spacing w:after="60"/>
        <w:ind w:left="288" w:hanging="173"/>
      </w:pPr>
      <w:r>
        <w:t>Natalie Gendron - Clinical Trial Coordinator</w:t>
      </w:r>
    </w:p>
    <w:p>
      <w:pPr>
        <w:pStyle w:val="ListBullet"/>
        <w:spacing w:after="60"/>
        <w:ind w:left="288" w:hanging="173"/>
      </w:pPr>
      <w:r>
        <w:t>Aaron Beckerleg - Website Designer and Intern</w:t>
      </w:r>
    </w:p>
    <w:p>
      <w:pPr>
        <w:spacing w:after="140" w:line="259" w:lineRule="auto"/>
      </w:pPr>
      <w:r>
        <w:rPr>
          <w:i w:val="0"/>
        </w:rPr>
        <w:t>The source materials also attribute clinical-governance roles to Dr. Renzo Cecere and Dr. Nadia Giannetti and identify McGill-related clinical affiliations. [INPUT REQUIRED: current titles, institutional wording, advisory authority, conflict disclosures, and permission to publish affiliations.]</w:t>
      </w:r>
    </w:p>
    <w:p>
      <w:pPr>
        <w:pStyle w:val="Heading1"/>
        <w:pBdr>
          <w:bottom w:val="single" w:sz="8" w:space="3" w:color="2C7A7B"/>
        </w:pBdr>
      </w:pPr>
      <w:r>
        <w:t>10. Partnership Strategy</w:t>
      </w:r>
    </w:p>
    <w:p>
      <w:pPr>
        <w:spacing w:after="140" w:line="259" w:lineRule="auto"/>
      </w:pPr>
      <w:r>
        <w:rPr>
          <w:i w:val="0"/>
        </w:rPr>
        <w:t>Potential partnerships may support clinical research, reference-standard comparison, recruitment of representative populations, evaluation in intended settings, product verification, human-factors work, data governance, and evidence development. Partnership outreach must use controlled, non-promotional materials that disclose investigational status and distinguish proposed objectives from demonstrated results.</w:t>
      </w:r>
    </w:p>
    <w:p>
      <w:pPr>
        <w:spacing w:after="140" w:line="259" w:lineRule="auto"/>
      </w:pPr>
      <w:r>
        <w:rPr>
          <w:i w:val="0"/>
        </w:rPr>
        <w:t>Before substantive engagement, collaborators should receive an approved study synopsis, device status, data-governance framework, controlled product description, proposed endpoints, roles and responsibilities, funding arrangements, conflict disclosures, and publication policy. Any partner-hosted copy must be captured in the A0 asset inventory and remain subject to takedown and version-control requirements.</w:t>
      </w:r>
    </w:p>
    <w:p>
      <w:pPr>
        <w:pStyle w:val="Heading1"/>
        <w:pBdr>
          <w:bottom w:val="single" w:sz="8" w:space="3" w:color="2C7A7B"/>
        </w:pBdr>
      </w:pPr>
      <w:r>
        <w:t>Appendix A - A0 Claim Disposition Summary</w:t>
      </w:r>
    </w:p>
    <w:p>
      <w:pPr>
        <w:spacing w:after="140" w:line="259" w:lineRule="auto"/>
      </w:pPr>
      <w:r>
        <w:rPr>
          <w:i w:val="0"/>
        </w:rPr>
        <w:t>This summary lists the highest-priority claim families identified in the audit. The complete occurrence-level record is maintained in A0_Claims_Register_v0.1_DRAFT.xlsx and A0_Claims_Redline_Log_v0.1_DRAFT.xlsx.</w:t>
      </w:r>
    </w:p>
    <w:tbl>
      <w:tblPr>
        <w:tblW w:type="auto" w:w="0"/>
        <w:jc w:val="center"/>
        <w:tblLayout w:type="fixed"/>
        <w:tblLook w:firstColumn="1" w:firstRow="1" w:lastColumn="0" w:lastRow="0" w:noHBand="0" w:noVBand="1" w:val="04A0"/>
        <w:tblBorders>
          <w:top w:val="single" w:sz="4" w:space="0" w:color="B7C9CE"/>
          <w:left w:val="single" w:sz="4" w:space="0" w:color="B7C9CE"/>
          <w:bottom w:val="single" w:sz="4" w:space="0" w:color="B7C9CE"/>
          <w:right w:val="single" w:sz="4" w:space="0" w:color="B7C9CE"/>
          <w:insideH w:val="single" w:sz="4" w:space="0" w:color="B7C9CE"/>
          <w:insideV w:val="single" w:sz="4" w:space="0" w:color="B7C9CE"/>
        </w:tblBorders>
      </w:tblPr>
      <w:tblGrid>
        <w:gridCol w:w="3240"/>
        <w:gridCol w:w="1872"/>
        <w:gridCol w:w="5256"/>
      </w:tblGrid>
      <w:tr>
        <w:trPr>
          <w:tblHeader w:val="true"/>
          <w:cantSplit/>
        </w:trPr>
        <w:tc>
          <w:tcPr>
            <w:tcW w:type="dxa" w:w="3360"/>
            <w:shd w:fill="2C7A7B"/>
            <w:tcMar>
              <w:top w:w="80" w:type="dxa"/>
              <w:start w:w="85" w:type="dxa"/>
              <w:bottom w:w="80" w:type="dxa"/>
              <w:end w:w="85" w:type="dxa"/>
            </w:tcMar>
          </w:tcPr>
          <w:p>
            <w:r>
              <w:rPr>
                <w:b/>
                <w:color w:val="FFFFFF"/>
                <w:sz w:val="16"/>
              </w:rPr>
              <w:t>Claim family</w:t>
            </w:r>
          </w:p>
        </w:tc>
        <w:tc>
          <w:tcPr>
            <w:tcW w:type="dxa" w:w="3360"/>
            <w:shd w:fill="2C7A7B"/>
            <w:tcMar>
              <w:top w:w="80" w:type="dxa"/>
              <w:start w:w="85" w:type="dxa"/>
              <w:bottom w:w="80" w:type="dxa"/>
              <w:end w:w="85" w:type="dxa"/>
            </w:tcMar>
          </w:tcPr>
          <w:p>
            <w:r>
              <w:rPr>
                <w:b/>
                <w:color w:val="FFFFFF"/>
                <w:sz w:val="16"/>
              </w:rPr>
              <w:t>A0 disposition</w:t>
            </w:r>
          </w:p>
        </w:tc>
        <w:tc>
          <w:tcPr>
            <w:tcW w:type="dxa" w:w="3360"/>
            <w:shd w:fill="2C7A7B"/>
            <w:tcMar>
              <w:top w:w="80" w:type="dxa"/>
              <w:start w:w="85" w:type="dxa"/>
              <w:bottom w:w="80" w:type="dxa"/>
              <w:end w:w="85" w:type="dxa"/>
            </w:tcMar>
          </w:tcPr>
          <w:p>
            <w:r>
              <w:rPr>
                <w:b/>
                <w:color w:val="FFFFFF"/>
                <w:sz w:val="16"/>
              </w:rPr>
              <w:t>Reason / dependency</w:t>
            </w:r>
          </w:p>
        </w:tc>
      </w:tr>
      <w:tr>
        <w:trPr>
          <w:cantSplit/>
        </w:trPr>
        <w:tc>
          <w:tcPr>
            <w:tcW w:type="dxa" w:w="3240"/>
            <w:shd w:fill="FFFFFF"/>
            <w:tcMar>
              <w:top w:w="70" w:type="dxa"/>
              <w:start w:w="80" w:type="dxa"/>
              <w:bottom w:w="70" w:type="dxa"/>
              <w:end w:w="80" w:type="dxa"/>
            </w:tcMar>
          </w:tcPr>
          <w:p>
            <w:pPr>
              <w:spacing w:after="0"/>
            </w:pPr>
            <w:r>
              <w:rPr>
                <w:sz w:val="15"/>
              </w:rPr>
              <w:t>Diagnostics / diagnostic support</w:t>
            </w:r>
          </w:p>
        </w:tc>
        <w:tc>
          <w:tcPr>
            <w:tcW w:type="dxa" w:w="1872"/>
            <w:shd w:fill="FFFFFF"/>
            <w:tcMar>
              <w:top w:w="70" w:type="dxa"/>
              <w:start w:w="80" w:type="dxa"/>
              <w:bottom w:w="70" w:type="dxa"/>
              <w:end w:w="80" w:type="dxa"/>
            </w:tcMar>
          </w:tcPr>
          <w:p>
            <w:pPr>
              <w:spacing w:after="0"/>
            </w:pPr>
            <w:r>
              <w:rPr>
                <w:b/>
                <w:color w:val="A61B1B"/>
                <w:sz w:val="15"/>
              </w:rPr>
              <w:t>Quarantined</w:t>
            </w:r>
          </w:p>
        </w:tc>
        <w:tc>
          <w:tcPr>
            <w:tcW w:type="dxa" w:w="5256"/>
            <w:shd w:fill="FFFFFF"/>
            <w:tcMar>
              <w:top w:w="70" w:type="dxa"/>
              <w:start w:w="80" w:type="dxa"/>
              <w:bottom w:w="70" w:type="dxa"/>
              <w:end w:w="80" w:type="dxa"/>
            </w:tcMar>
          </w:tcPr>
          <w:p>
            <w:pPr>
              <w:spacing w:after="0"/>
            </w:pPr>
            <w:r>
              <w:rPr>
                <w:sz w:val="15"/>
              </w:rPr>
              <w:t>No approved intended use or clinical performance evidence; avoid external use pending A3 and counsel review.</w:t>
            </w:r>
          </w:p>
        </w:tc>
      </w:tr>
      <w:tr>
        <w:trPr>
          <w:cantSplit/>
        </w:trPr>
        <w:tc>
          <w:tcPr>
            <w:tcW w:type="dxa" w:w="3240"/>
            <w:shd w:fill="F3F8F8"/>
            <w:tcMar>
              <w:top w:w="70" w:type="dxa"/>
              <w:start w:w="80" w:type="dxa"/>
              <w:bottom w:w="70" w:type="dxa"/>
              <w:end w:w="80" w:type="dxa"/>
            </w:tcMar>
          </w:tcPr>
          <w:p>
            <w:pPr>
              <w:spacing w:after="0"/>
            </w:pPr>
            <w:r>
              <w:rPr>
                <w:sz w:val="15"/>
              </w:rPr>
              <w:t>Screening</w:t>
            </w:r>
          </w:p>
        </w:tc>
        <w:tc>
          <w:tcPr>
            <w:tcW w:type="dxa" w:w="1872"/>
            <w:shd w:fill="F3F8F8"/>
            <w:tcMar>
              <w:top w:w="70" w:type="dxa"/>
              <w:start w:w="80" w:type="dxa"/>
              <w:bottom w:w="70" w:type="dxa"/>
              <w:end w:w="80" w:type="dxa"/>
            </w:tcMar>
          </w:tcPr>
          <w:p>
            <w:pPr>
              <w:spacing w:after="0"/>
            </w:pPr>
            <w:r>
              <w:rPr>
                <w:b/>
                <w:color w:val="A61B1B"/>
                <w:sz w:val="15"/>
              </w:rPr>
              <w:t>Quarantined</w:t>
            </w:r>
          </w:p>
        </w:tc>
        <w:tc>
          <w:tcPr>
            <w:tcW w:type="dxa" w:w="5256"/>
            <w:shd w:fill="F3F8F8"/>
            <w:tcMar>
              <w:top w:w="70" w:type="dxa"/>
              <w:start w:w="80" w:type="dxa"/>
              <w:bottom w:w="70" w:type="dxa"/>
              <w:end w:w="80" w:type="dxa"/>
            </w:tcMar>
          </w:tcPr>
          <w:p>
            <w:pPr>
              <w:spacing w:after="0"/>
            </w:pPr>
            <w:r>
              <w:rPr>
                <w:sz w:val="15"/>
              </w:rPr>
              <w:t>Population, condition, role, evidence, and regulatory pathway are not approved.</w:t>
            </w:r>
          </w:p>
        </w:tc>
      </w:tr>
      <w:tr>
        <w:trPr>
          <w:cantSplit/>
        </w:trPr>
        <w:tc>
          <w:tcPr>
            <w:tcW w:type="dxa" w:w="3240"/>
            <w:shd w:fill="FFFFFF"/>
            <w:tcMar>
              <w:top w:w="70" w:type="dxa"/>
              <w:start w:w="80" w:type="dxa"/>
              <w:bottom w:w="70" w:type="dxa"/>
              <w:end w:w="80" w:type="dxa"/>
            </w:tcMar>
          </w:tcPr>
          <w:p>
            <w:pPr>
              <w:spacing w:after="0"/>
            </w:pPr>
            <w:r>
              <w:rPr>
                <w:sz w:val="15"/>
              </w:rPr>
              <w:t>Detects abnormal heart sounds / defects</w:t>
            </w:r>
          </w:p>
        </w:tc>
        <w:tc>
          <w:tcPr>
            <w:tcW w:type="dxa" w:w="1872"/>
            <w:shd w:fill="FFFFFF"/>
            <w:tcMar>
              <w:top w:w="70" w:type="dxa"/>
              <w:start w:w="80" w:type="dxa"/>
              <w:bottom w:w="70" w:type="dxa"/>
              <w:end w:w="80" w:type="dxa"/>
            </w:tcMar>
          </w:tcPr>
          <w:p>
            <w:pPr>
              <w:spacing w:after="0"/>
            </w:pPr>
            <w:r>
              <w:rPr>
                <w:b/>
                <w:color w:val="A61B1B"/>
                <w:sz w:val="15"/>
              </w:rPr>
              <w:t>Quarantined</w:t>
            </w:r>
          </w:p>
        </w:tc>
        <w:tc>
          <w:tcPr>
            <w:tcW w:type="dxa" w:w="5256"/>
            <w:shd w:fill="FFFFFF"/>
            <w:tcMar>
              <w:top w:w="70" w:type="dxa"/>
              <w:start w:w="80" w:type="dxa"/>
              <w:bottom w:w="70" w:type="dxa"/>
              <w:end w:w="80" w:type="dxa"/>
            </w:tcMar>
          </w:tcPr>
          <w:p>
            <w:pPr>
              <w:spacing w:after="0"/>
            </w:pPr>
            <w:r>
              <w:rPr>
                <w:sz w:val="15"/>
              </w:rPr>
              <w:t>Requires precise target condition, reference standard, performance results, and authorization.</w:t>
            </w:r>
          </w:p>
        </w:tc>
      </w:tr>
      <w:tr>
        <w:trPr>
          <w:cantSplit/>
        </w:trPr>
        <w:tc>
          <w:tcPr>
            <w:tcW w:type="dxa" w:w="3240"/>
            <w:shd w:fill="F3F8F8"/>
            <w:tcMar>
              <w:top w:w="70" w:type="dxa"/>
              <w:start w:w="80" w:type="dxa"/>
              <w:bottom w:w="70" w:type="dxa"/>
              <w:end w:w="80" w:type="dxa"/>
            </w:tcMar>
          </w:tcPr>
          <w:p>
            <w:pPr>
              <w:spacing w:after="0"/>
            </w:pPr>
            <w:r>
              <w:rPr>
                <w:sz w:val="15"/>
              </w:rPr>
              <w:t>Real-time analysis</w:t>
            </w:r>
          </w:p>
        </w:tc>
        <w:tc>
          <w:tcPr>
            <w:tcW w:type="dxa" w:w="1872"/>
            <w:shd w:fill="F3F8F8"/>
            <w:tcMar>
              <w:top w:w="70" w:type="dxa"/>
              <w:start w:w="80" w:type="dxa"/>
              <w:bottom w:w="70" w:type="dxa"/>
              <w:end w:w="80" w:type="dxa"/>
            </w:tcMar>
          </w:tcPr>
          <w:p>
            <w:pPr>
              <w:spacing w:after="0"/>
            </w:pPr>
            <w:r>
              <w:rPr>
                <w:b/>
                <w:color w:val="A61B1B"/>
                <w:sz w:val="15"/>
              </w:rPr>
              <w:t>Removed as fact</w:t>
            </w:r>
          </w:p>
        </w:tc>
        <w:tc>
          <w:tcPr>
            <w:tcW w:type="dxa" w:w="5256"/>
            <w:shd w:fill="F3F8F8"/>
            <w:tcMar>
              <w:top w:w="70" w:type="dxa"/>
              <w:start w:w="80" w:type="dxa"/>
              <w:bottom w:w="70" w:type="dxa"/>
              <w:end w:w="80" w:type="dxa"/>
            </w:tcMar>
          </w:tcPr>
          <w:p>
            <w:pPr>
              <w:spacing w:after="0"/>
            </w:pPr>
            <w:r>
              <w:rPr>
                <w:sz w:val="15"/>
              </w:rPr>
              <w:t>Requires a measurable latency definition, controlled configuration, and verification evidence.</w:t>
            </w:r>
          </w:p>
        </w:tc>
      </w:tr>
      <w:tr>
        <w:trPr>
          <w:cantSplit/>
        </w:trPr>
        <w:tc>
          <w:tcPr>
            <w:tcW w:type="dxa" w:w="3240"/>
            <w:shd w:fill="FFFFFF"/>
            <w:tcMar>
              <w:top w:w="70" w:type="dxa"/>
              <w:start w:w="80" w:type="dxa"/>
              <w:bottom w:w="70" w:type="dxa"/>
              <w:end w:w="80" w:type="dxa"/>
            </w:tcMar>
          </w:tcPr>
          <w:p>
            <w:pPr>
              <w:spacing w:after="0"/>
            </w:pPr>
            <w:r>
              <w:rPr>
                <w:sz w:val="15"/>
              </w:rPr>
              <w:t>Automatically selects clearest signals</w:t>
            </w:r>
          </w:p>
        </w:tc>
        <w:tc>
          <w:tcPr>
            <w:tcW w:type="dxa" w:w="1872"/>
            <w:shd w:fill="FFFFFF"/>
            <w:tcMar>
              <w:top w:w="70" w:type="dxa"/>
              <w:start w:w="80" w:type="dxa"/>
              <w:bottom w:w="70" w:type="dxa"/>
              <w:end w:w="80" w:type="dxa"/>
            </w:tcMar>
          </w:tcPr>
          <w:p>
            <w:pPr>
              <w:spacing w:after="0"/>
            </w:pPr>
            <w:r>
              <w:rPr>
                <w:b/>
                <w:color w:val="A61B1B"/>
                <w:sz w:val="15"/>
              </w:rPr>
              <w:t>Removed as fact</w:t>
            </w:r>
          </w:p>
        </w:tc>
        <w:tc>
          <w:tcPr>
            <w:tcW w:type="dxa" w:w="5256"/>
            <w:shd w:fill="FFFFFF"/>
            <w:tcMar>
              <w:top w:w="70" w:type="dxa"/>
              <w:start w:w="80" w:type="dxa"/>
              <w:bottom w:w="70" w:type="dxa"/>
              <w:end w:w="80" w:type="dxa"/>
            </w:tcMar>
          </w:tcPr>
          <w:p>
            <w:pPr>
              <w:spacing w:after="0"/>
            </w:pPr>
            <w:r>
              <w:rPr>
                <w:sz w:val="15"/>
              </w:rPr>
              <w:t>Requires signal-quality method, selection criteria, failure handling, and validation.</w:t>
            </w:r>
          </w:p>
        </w:tc>
      </w:tr>
      <w:tr>
        <w:trPr>
          <w:cantSplit/>
        </w:trPr>
        <w:tc>
          <w:tcPr>
            <w:tcW w:type="dxa" w:w="3240"/>
            <w:shd w:fill="F3F8F8"/>
            <w:tcMar>
              <w:top w:w="70" w:type="dxa"/>
              <w:start w:w="80" w:type="dxa"/>
              <w:bottom w:w="70" w:type="dxa"/>
              <w:end w:w="80" w:type="dxa"/>
            </w:tcMar>
          </w:tcPr>
          <w:p>
            <w:pPr>
              <w:spacing w:after="0"/>
            </w:pPr>
            <w:r>
              <w:rPr>
                <w:sz w:val="15"/>
              </w:rPr>
              <w:t>Reduces noise / clearer recordings</w:t>
            </w:r>
          </w:p>
        </w:tc>
        <w:tc>
          <w:tcPr>
            <w:tcW w:type="dxa" w:w="1872"/>
            <w:shd w:fill="F3F8F8"/>
            <w:tcMar>
              <w:top w:w="70" w:type="dxa"/>
              <w:start w:w="80" w:type="dxa"/>
              <w:bottom w:w="70" w:type="dxa"/>
              <w:end w:w="80" w:type="dxa"/>
            </w:tcMar>
          </w:tcPr>
          <w:p>
            <w:pPr>
              <w:spacing w:after="0"/>
            </w:pPr>
            <w:r>
              <w:rPr>
                <w:b/>
                <w:color w:val="A61B1B"/>
                <w:sz w:val="15"/>
              </w:rPr>
              <w:t>Removed as fact</w:t>
            </w:r>
          </w:p>
        </w:tc>
        <w:tc>
          <w:tcPr>
            <w:tcW w:type="dxa" w:w="5256"/>
            <w:shd w:fill="F3F8F8"/>
            <w:tcMar>
              <w:top w:w="70" w:type="dxa"/>
              <w:start w:w="80" w:type="dxa"/>
              <w:bottom w:w="70" w:type="dxa"/>
              <w:end w:w="80" w:type="dxa"/>
            </w:tcMar>
          </w:tcPr>
          <w:p>
            <w:pPr>
              <w:spacing w:after="0"/>
            </w:pPr>
            <w:r>
              <w:rPr>
                <w:sz w:val="15"/>
              </w:rPr>
              <w:t>Requires objective metrics, test conditions, comparator, and acceptance criteria.</w:t>
            </w:r>
          </w:p>
        </w:tc>
      </w:tr>
      <w:tr>
        <w:trPr>
          <w:cantSplit/>
        </w:trPr>
        <w:tc>
          <w:tcPr>
            <w:tcW w:type="dxa" w:w="3240"/>
            <w:shd w:fill="FFFFFF"/>
            <w:tcMar>
              <w:top w:w="70" w:type="dxa"/>
              <w:start w:w="80" w:type="dxa"/>
              <w:bottom w:w="70" w:type="dxa"/>
              <w:end w:w="80" w:type="dxa"/>
            </w:tcMar>
          </w:tcPr>
          <w:p>
            <w:pPr>
              <w:spacing w:after="0"/>
            </w:pPr>
            <w:r>
              <w:rPr>
                <w:sz w:val="15"/>
              </w:rPr>
              <w:t>16 channels, 10 front and 6 back</w:t>
            </w:r>
          </w:p>
        </w:tc>
        <w:tc>
          <w:tcPr>
            <w:tcW w:type="dxa" w:w="1872"/>
            <w:shd w:fill="FFFFFF"/>
            <w:tcMar>
              <w:top w:w="70" w:type="dxa"/>
              <w:start w:w="80" w:type="dxa"/>
              <w:bottom w:w="70" w:type="dxa"/>
              <w:end w:w="80" w:type="dxa"/>
            </w:tcMar>
          </w:tcPr>
          <w:p>
            <w:pPr>
              <w:spacing w:after="0"/>
            </w:pPr>
            <w:r>
              <w:rPr>
                <w:b/>
                <w:color w:val="B7791F"/>
                <w:sz w:val="15"/>
              </w:rPr>
              <w:t>Input required</w:t>
            </w:r>
          </w:p>
        </w:tc>
        <w:tc>
          <w:tcPr>
            <w:tcW w:type="dxa" w:w="5256"/>
            <w:shd w:fill="FFFFFF"/>
            <w:tcMar>
              <w:top w:w="70" w:type="dxa"/>
              <w:start w:w="80" w:type="dxa"/>
              <w:bottom w:w="70" w:type="dxa"/>
              <w:end w:w="80" w:type="dxa"/>
            </w:tcMar>
          </w:tcPr>
          <w:p>
            <w:pPr>
              <w:spacing w:after="0"/>
            </w:pPr>
            <w:r>
              <w:rPr>
                <w:sz w:val="15"/>
              </w:rPr>
              <w:t>Conflicts with 8+/8-sensor variants; controlled configuration must be frozen.</w:t>
            </w:r>
          </w:p>
        </w:tc>
      </w:tr>
      <w:tr>
        <w:trPr>
          <w:cantSplit/>
        </w:trPr>
        <w:tc>
          <w:tcPr>
            <w:tcW w:type="dxa" w:w="3240"/>
            <w:shd w:fill="F3F8F8"/>
            <w:tcMar>
              <w:top w:w="70" w:type="dxa"/>
              <w:start w:w="80" w:type="dxa"/>
              <w:bottom w:w="70" w:type="dxa"/>
              <w:end w:w="80" w:type="dxa"/>
            </w:tcMar>
          </w:tcPr>
          <w:p>
            <w:pPr>
              <w:spacing w:after="0"/>
            </w:pPr>
            <w:r>
              <w:rPr>
                <w:sz w:val="15"/>
              </w:rPr>
              <w:t>CT1 currently enrolling</w:t>
            </w:r>
          </w:p>
        </w:tc>
        <w:tc>
          <w:tcPr>
            <w:tcW w:type="dxa" w:w="1872"/>
            <w:shd w:fill="F3F8F8"/>
            <w:tcMar>
              <w:top w:w="70" w:type="dxa"/>
              <w:start w:w="80" w:type="dxa"/>
              <w:bottom w:w="70" w:type="dxa"/>
              <w:end w:w="80" w:type="dxa"/>
            </w:tcMar>
          </w:tcPr>
          <w:p>
            <w:pPr>
              <w:spacing w:after="0"/>
            </w:pPr>
            <w:r>
              <w:rPr>
                <w:b/>
                <w:color w:val="A61B1B"/>
                <w:sz w:val="15"/>
              </w:rPr>
              <w:t>Quarantined</w:t>
            </w:r>
          </w:p>
        </w:tc>
        <w:tc>
          <w:tcPr>
            <w:tcW w:type="dxa" w:w="5256"/>
            <w:shd w:fill="F3F8F8"/>
            <w:tcMar>
              <w:top w:w="70" w:type="dxa"/>
              <w:start w:w="80" w:type="dxa"/>
              <w:bottom w:w="70" w:type="dxa"/>
              <w:end w:w="80" w:type="dxa"/>
            </w:tcMar>
          </w:tcPr>
          <w:p>
            <w:pPr>
              <w:spacing w:after="0"/>
            </w:pPr>
            <w:r>
              <w:rPr>
                <w:sz w:val="15"/>
              </w:rPr>
              <w:t>Current registry, ethics, sponsor, sites, dates, and status were not supplied.</w:t>
            </w:r>
          </w:p>
        </w:tc>
      </w:tr>
      <w:tr>
        <w:trPr>
          <w:cantSplit/>
        </w:trPr>
        <w:tc>
          <w:tcPr>
            <w:tcW w:type="dxa" w:w="3240"/>
            <w:shd w:fill="FFFFFF"/>
            <w:tcMar>
              <w:top w:w="70" w:type="dxa"/>
              <w:start w:w="80" w:type="dxa"/>
              <w:bottom w:w="70" w:type="dxa"/>
              <w:end w:w="80" w:type="dxa"/>
            </w:tcMar>
          </w:tcPr>
          <w:p>
            <w:pPr>
              <w:spacing w:after="0"/>
            </w:pPr>
            <w:r>
              <w:rPr>
                <w:sz w:val="15"/>
              </w:rPr>
              <w:t>Ready for remote monitoring</w:t>
            </w:r>
          </w:p>
        </w:tc>
        <w:tc>
          <w:tcPr>
            <w:tcW w:type="dxa" w:w="1872"/>
            <w:shd w:fill="FFFFFF"/>
            <w:tcMar>
              <w:top w:w="70" w:type="dxa"/>
              <w:start w:w="80" w:type="dxa"/>
              <w:bottom w:w="70" w:type="dxa"/>
              <w:end w:w="80" w:type="dxa"/>
            </w:tcMar>
          </w:tcPr>
          <w:p>
            <w:pPr>
              <w:spacing w:after="0"/>
            </w:pPr>
            <w:r>
              <w:rPr>
                <w:b/>
                <w:color w:val="A61B1B"/>
                <w:sz w:val="15"/>
              </w:rPr>
              <w:t>Quarantined</w:t>
            </w:r>
          </w:p>
        </w:tc>
        <w:tc>
          <w:tcPr>
            <w:tcW w:type="dxa" w:w="5256"/>
            <w:shd w:fill="FFFFFF"/>
            <w:tcMar>
              <w:top w:w="70" w:type="dxa"/>
              <w:start w:w="80" w:type="dxa"/>
              <w:bottom w:w="70" w:type="dxa"/>
              <w:end w:w="80" w:type="dxa"/>
            </w:tcMar>
          </w:tcPr>
          <w:p>
            <w:pPr>
              <w:spacing w:after="0"/>
            </w:pPr>
            <w:r>
              <w:rPr>
                <w:sz w:val="15"/>
              </w:rPr>
              <w:t>Requires validated connectivity, privacy, cybersecurity, usability, operator, review, and escalation workflow.</w:t>
            </w:r>
          </w:p>
        </w:tc>
      </w:tr>
      <w:tr>
        <w:trPr>
          <w:cantSplit/>
        </w:trPr>
        <w:tc>
          <w:tcPr>
            <w:tcW w:type="dxa" w:w="3240"/>
            <w:shd w:fill="F3F8F8"/>
            <w:tcMar>
              <w:top w:w="70" w:type="dxa"/>
              <w:start w:w="80" w:type="dxa"/>
              <w:bottom w:w="70" w:type="dxa"/>
              <w:end w:w="80" w:type="dxa"/>
            </w:tcMar>
          </w:tcPr>
          <w:p>
            <w:pPr>
              <w:spacing w:after="0"/>
            </w:pPr>
            <w:r>
              <w:rPr>
                <w:sz w:val="15"/>
              </w:rPr>
              <w:t>2.5 million undiagnosed cases</w:t>
            </w:r>
          </w:p>
        </w:tc>
        <w:tc>
          <w:tcPr>
            <w:tcW w:type="dxa" w:w="1872"/>
            <w:shd w:fill="F3F8F8"/>
            <w:tcMar>
              <w:top w:w="70" w:type="dxa"/>
              <w:start w:w="80" w:type="dxa"/>
              <w:bottom w:w="70" w:type="dxa"/>
              <w:end w:w="80" w:type="dxa"/>
            </w:tcMar>
          </w:tcPr>
          <w:p>
            <w:pPr>
              <w:spacing w:after="0"/>
            </w:pPr>
            <w:r>
              <w:rPr>
                <w:b/>
                <w:color w:val="A61B1B"/>
                <w:sz w:val="15"/>
              </w:rPr>
              <w:t>Removed</w:t>
            </w:r>
          </w:p>
        </w:tc>
        <w:tc>
          <w:tcPr>
            <w:tcW w:type="dxa" w:w="5256"/>
            <w:shd w:fill="F3F8F8"/>
            <w:tcMar>
              <w:top w:w="70" w:type="dxa"/>
              <w:start w:w="80" w:type="dxa"/>
              <w:bottom w:w="70" w:type="dxa"/>
              <w:end w:w="80" w:type="dxa"/>
            </w:tcMar>
          </w:tcPr>
          <w:p>
            <w:pPr>
              <w:spacing w:after="0"/>
            </w:pPr>
            <w:r>
              <w:rPr>
                <w:sz w:val="15"/>
              </w:rPr>
              <w:t>No exact primary source verified; definition and timeframe unclear.</w:t>
            </w:r>
          </w:p>
        </w:tc>
      </w:tr>
      <w:tr>
        <w:trPr>
          <w:cantSplit/>
        </w:trPr>
        <w:tc>
          <w:tcPr>
            <w:tcW w:type="dxa" w:w="3240"/>
            <w:shd w:fill="FFFFFF"/>
            <w:tcMar>
              <w:top w:w="70" w:type="dxa"/>
              <w:start w:w="80" w:type="dxa"/>
              <w:bottom w:w="70" w:type="dxa"/>
              <w:end w:w="80" w:type="dxa"/>
            </w:tcMar>
          </w:tcPr>
          <w:p>
            <w:pPr>
              <w:spacing w:after="0"/>
            </w:pPr>
            <w:r>
              <w:rPr>
                <w:sz w:val="15"/>
              </w:rPr>
              <w:t>40% of murmurs missed</w:t>
            </w:r>
          </w:p>
        </w:tc>
        <w:tc>
          <w:tcPr>
            <w:tcW w:type="dxa" w:w="1872"/>
            <w:shd w:fill="FFFFFF"/>
            <w:tcMar>
              <w:top w:w="70" w:type="dxa"/>
              <w:start w:w="80" w:type="dxa"/>
              <w:bottom w:w="70" w:type="dxa"/>
              <w:end w:w="80" w:type="dxa"/>
            </w:tcMar>
          </w:tcPr>
          <w:p>
            <w:pPr>
              <w:spacing w:after="0"/>
            </w:pPr>
            <w:r>
              <w:rPr>
                <w:b/>
                <w:color w:val="A61B1B"/>
                <w:sz w:val="15"/>
              </w:rPr>
              <w:t>Removed</w:t>
            </w:r>
          </w:p>
        </w:tc>
        <w:tc>
          <w:tcPr>
            <w:tcW w:type="dxa" w:w="5256"/>
            <w:shd w:fill="FFFFFF"/>
            <w:tcMar>
              <w:top w:w="70" w:type="dxa"/>
              <w:start w:w="80" w:type="dxa"/>
              <w:bottom w:w="70" w:type="dxa"/>
              <w:end w:w="80" w:type="dxa"/>
            </w:tcMar>
          </w:tcPr>
          <w:p>
            <w:pPr>
              <w:spacing w:after="0"/>
            </w:pPr>
            <w:r>
              <w:rPr>
                <w:sz w:val="15"/>
              </w:rPr>
              <w:t>No exact primary source verified; population, examiner, and endpoint unclear.</w:t>
            </w:r>
          </w:p>
        </w:tc>
      </w:tr>
      <w:tr>
        <w:trPr>
          <w:cantSplit/>
        </w:trPr>
        <w:tc>
          <w:tcPr>
            <w:tcW w:type="dxa" w:w="3240"/>
            <w:shd w:fill="F3F8F8"/>
            <w:tcMar>
              <w:top w:w="70" w:type="dxa"/>
              <w:start w:w="80" w:type="dxa"/>
              <w:bottom w:w="70" w:type="dxa"/>
              <w:end w:w="80" w:type="dxa"/>
            </w:tcMar>
          </w:tcPr>
          <w:p>
            <w:pPr>
              <w:spacing w:after="0"/>
            </w:pPr>
            <w:r>
              <w:rPr>
                <w:sz w:val="15"/>
              </w:rPr>
              <w:t>AI-powered</w:t>
            </w:r>
          </w:p>
        </w:tc>
        <w:tc>
          <w:tcPr>
            <w:tcW w:type="dxa" w:w="1872"/>
            <w:shd w:fill="F3F8F8"/>
            <w:tcMar>
              <w:top w:w="70" w:type="dxa"/>
              <w:start w:w="80" w:type="dxa"/>
              <w:bottom w:w="70" w:type="dxa"/>
              <w:end w:w="80" w:type="dxa"/>
            </w:tcMar>
          </w:tcPr>
          <w:p>
            <w:pPr>
              <w:spacing w:after="0"/>
            </w:pPr>
            <w:r>
              <w:rPr>
                <w:b/>
                <w:color w:val="B7791F"/>
                <w:sz w:val="15"/>
              </w:rPr>
              <w:t>Neutralized</w:t>
            </w:r>
          </w:p>
        </w:tc>
        <w:tc>
          <w:tcPr>
            <w:tcW w:type="dxa" w:w="5256"/>
            <w:shd w:fill="F3F8F8"/>
            <w:tcMar>
              <w:top w:w="70" w:type="dxa"/>
              <w:start w:w="80" w:type="dxa"/>
              <w:bottom w:w="70" w:type="dxa"/>
              <w:end w:w="80" w:type="dxa"/>
            </w:tcMar>
          </w:tcPr>
          <w:p>
            <w:pPr>
              <w:spacing w:after="0"/>
            </w:pPr>
            <w:r>
              <w:rPr>
                <w:sz w:val="15"/>
              </w:rPr>
              <w:t>Algorithm function, output, taxonomy, model version, and evidence are not approved.</w:t>
            </w:r>
          </w:p>
        </w:tc>
      </w:tr>
      <w:tr>
        <w:trPr>
          <w:cantSplit/>
        </w:trPr>
        <w:tc>
          <w:tcPr>
            <w:tcW w:type="dxa" w:w="3240"/>
            <w:shd w:fill="FFFFFF"/>
            <w:tcMar>
              <w:top w:w="70" w:type="dxa"/>
              <w:start w:w="80" w:type="dxa"/>
              <w:bottom w:w="70" w:type="dxa"/>
              <w:end w:w="80" w:type="dxa"/>
            </w:tcMar>
          </w:tcPr>
          <w:p>
            <w:pPr>
              <w:spacing w:after="0"/>
            </w:pPr>
            <w:r>
              <w:rPr>
                <w:sz w:val="15"/>
              </w:rPr>
              <w:t>Improves access / objective assessment</w:t>
            </w:r>
          </w:p>
        </w:tc>
        <w:tc>
          <w:tcPr>
            <w:tcW w:type="dxa" w:w="1872"/>
            <w:shd w:fill="FFFFFF"/>
            <w:tcMar>
              <w:top w:w="70" w:type="dxa"/>
              <w:start w:w="80" w:type="dxa"/>
              <w:bottom w:w="70" w:type="dxa"/>
              <w:end w:w="80" w:type="dxa"/>
            </w:tcMar>
          </w:tcPr>
          <w:p>
            <w:pPr>
              <w:spacing w:after="0"/>
            </w:pPr>
            <w:r>
              <w:rPr>
                <w:b/>
                <w:color w:val="B7791F"/>
                <w:sz w:val="15"/>
              </w:rPr>
              <w:t>Recast as hypothesis</w:t>
            </w:r>
          </w:p>
        </w:tc>
        <w:tc>
          <w:tcPr>
            <w:tcW w:type="dxa" w:w="5256"/>
            <w:shd w:fill="FFFFFF"/>
            <w:tcMar>
              <w:top w:w="70" w:type="dxa"/>
              <w:start w:w="80" w:type="dxa"/>
              <w:bottom w:w="70" w:type="dxa"/>
              <w:end w:w="80" w:type="dxa"/>
            </w:tcMar>
          </w:tcPr>
          <w:p>
            <w:pPr>
              <w:spacing w:after="0"/>
            </w:pPr>
            <w:r>
              <w:rPr>
                <w:sz w:val="15"/>
              </w:rPr>
              <w:t>Potential value must be prospectively measured.</w:t>
            </w:r>
          </w:p>
        </w:tc>
      </w:tr>
      <w:tr>
        <w:trPr>
          <w:cantSplit/>
        </w:trPr>
        <w:tc>
          <w:tcPr>
            <w:tcW w:type="dxa" w:w="3240"/>
            <w:shd w:fill="F3F8F8"/>
            <w:tcMar>
              <w:top w:w="70" w:type="dxa"/>
              <w:start w:w="80" w:type="dxa"/>
              <w:bottom w:w="70" w:type="dxa"/>
              <w:end w:w="80" w:type="dxa"/>
            </w:tcMar>
          </w:tcPr>
          <w:p>
            <w:pPr>
              <w:spacing w:after="0"/>
            </w:pPr>
            <w:r>
              <w:rPr>
                <w:sz w:val="15"/>
              </w:rPr>
              <w:t>Prototype completed / validation current</w:t>
            </w:r>
          </w:p>
        </w:tc>
        <w:tc>
          <w:tcPr>
            <w:tcW w:type="dxa" w:w="1872"/>
            <w:shd w:fill="F3F8F8"/>
            <w:tcMar>
              <w:top w:w="70" w:type="dxa"/>
              <w:start w:w="80" w:type="dxa"/>
              <w:bottom w:w="70" w:type="dxa"/>
              <w:end w:w="80" w:type="dxa"/>
            </w:tcMar>
          </w:tcPr>
          <w:p>
            <w:pPr>
              <w:spacing w:after="0"/>
            </w:pPr>
            <w:r>
              <w:rPr>
                <w:b/>
                <w:color w:val="B7791F"/>
                <w:sz w:val="15"/>
              </w:rPr>
              <w:t>Input required</w:t>
            </w:r>
          </w:p>
        </w:tc>
        <w:tc>
          <w:tcPr>
            <w:tcW w:type="dxa" w:w="5256"/>
            <w:shd w:fill="F3F8F8"/>
            <w:tcMar>
              <w:top w:w="70" w:type="dxa"/>
              <w:start w:w="80" w:type="dxa"/>
              <w:bottom w:w="70" w:type="dxa"/>
              <w:end w:w="80" w:type="dxa"/>
            </w:tcMar>
          </w:tcPr>
          <w:p>
            <w:pPr>
              <w:spacing w:after="0"/>
            </w:pPr>
            <w:r>
              <w:rPr>
                <w:sz w:val="15"/>
              </w:rPr>
              <w:t>Controlled program status and dates not supplied.</w:t>
            </w:r>
          </w:p>
        </w:tc>
      </w:tr>
      <w:tr>
        <w:trPr>
          <w:cantSplit/>
        </w:trPr>
        <w:tc>
          <w:tcPr>
            <w:tcW w:type="dxa" w:w="3240"/>
            <w:shd w:fill="FFFFFF"/>
            <w:tcMar>
              <w:top w:w="70" w:type="dxa"/>
              <w:start w:w="80" w:type="dxa"/>
              <w:bottom w:w="70" w:type="dxa"/>
              <w:end w:w="80" w:type="dxa"/>
            </w:tcMar>
          </w:tcPr>
          <w:p>
            <w:pPr>
              <w:spacing w:after="0"/>
            </w:pPr>
            <w:r>
              <w:rPr>
                <w:sz w:val="15"/>
              </w:rPr>
              <w:t>Clinical governance and affiliations</w:t>
            </w:r>
          </w:p>
        </w:tc>
        <w:tc>
          <w:tcPr>
            <w:tcW w:type="dxa" w:w="1872"/>
            <w:shd w:fill="FFFFFF"/>
            <w:tcMar>
              <w:top w:w="70" w:type="dxa"/>
              <w:start w:w="80" w:type="dxa"/>
              <w:bottom w:w="70" w:type="dxa"/>
              <w:end w:w="80" w:type="dxa"/>
            </w:tcMar>
          </w:tcPr>
          <w:p>
            <w:pPr>
              <w:spacing w:after="0"/>
            </w:pPr>
            <w:r>
              <w:rPr>
                <w:b/>
                <w:color w:val="B7791F"/>
                <w:sz w:val="15"/>
              </w:rPr>
              <w:t>Verification required</w:t>
            </w:r>
          </w:p>
        </w:tc>
        <w:tc>
          <w:tcPr>
            <w:tcW w:type="dxa" w:w="5256"/>
            <w:shd w:fill="FFFFFF"/>
            <w:tcMar>
              <w:top w:w="70" w:type="dxa"/>
              <w:start w:w="80" w:type="dxa"/>
              <w:bottom w:w="70" w:type="dxa"/>
              <w:end w:w="80" w:type="dxa"/>
            </w:tcMar>
          </w:tcPr>
          <w:p>
            <w:pPr>
              <w:spacing w:after="0"/>
            </w:pPr>
            <w:r>
              <w:rPr>
                <w:sz w:val="15"/>
              </w:rPr>
              <w:t>Titles, affiliations, roles, and publication permissions must be confirmed.</w:t>
            </w:r>
          </w:p>
        </w:tc>
      </w:tr>
    </w:tbl>
    <w:p>
      <w:pPr>
        <w:pStyle w:val="Heading1"/>
        <w:pBdr>
          <w:bottom w:val="single" w:sz="8" w:space="3" w:color="2C7A7B"/>
        </w:pBdr>
      </w:pPr>
      <w:r>
        <w:t>Appendix B - Required Inputs for a Formal Whitepaper</w:t>
      </w:r>
    </w:p>
    <w:p>
      <w:pPr>
        <w:pStyle w:val="ListBullet"/>
        <w:spacing w:after="60"/>
        <w:ind w:left="288" w:hanging="173"/>
      </w:pPr>
      <w:r>
        <w:t>approved candidate intended-use and indications-for-use statements;</w:t>
      </w:r>
    </w:p>
    <w:p>
      <w:pPr>
        <w:pStyle w:val="ListBullet"/>
        <w:spacing w:after="60"/>
        <w:ind w:left="288" w:hanging="173"/>
      </w:pPr>
      <w:r>
        <w:t>current device classification and U.S. regulatory-pathway hypothesis;</w:t>
      </w:r>
    </w:p>
    <w:p>
      <w:pPr>
        <w:pStyle w:val="ListBullet"/>
        <w:spacing w:after="60"/>
        <w:ind w:left="288" w:hanging="173"/>
      </w:pPr>
      <w:r>
        <w:t>controlled hardware/vest configuration, sensor specifications, channel count, synchronization, and version history;</w:t>
      </w:r>
    </w:p>
    <w:p>
      <w:pPr>
        <w:pStyle w:val="ListBullet"/>
        <w:spacing w:after="60"/>
        <w:ind w:left="288" w:hanging="173"/>
      </w:pPr>
      <w:r>
        <w:t>controlled software and AI/ML description, including model role, versions, data provenance, validation, bias controls, uncertainty, and change control;</w:t>
      </w:r>
    </w:p>
    <w:p>
      <w:pPr>
        <w:pStyle w:val="ListBullet"/>
        <w:spacing w:after="60"/>
        <w:ind w:left="288" w:hanging="173"/>
      </w:pPr>
      <w:r>
        <w:t>clinical acquisition protocol, intended users/settings, fitting rules, quality checks, and failed-recording handling;</w:t>
      </w:r>
    </w:p>
    <w:p>
      <w:pPr>
        <w:pStyle w:val="ListBullet"/>
        <w:spacing w:after="60"/>
        <w:ind w:left="288" w:hanging="173"/>
      </w:pPr>
      <w:r>
        <w:t>clinical study protocol, statistical analysis plan, reference standards, sample-size rationale, and ethics/registration records;</w:t>
      </w:r>
    </w:p>
    <w:p>
      <w:pPr>
        <w:pStyle w:val="ListBullet"/>
        <w:spacing w:after="60"/>
        <w:ind w:left="288" w:hanging="173"/>
      </w:pPr>
      <w:r>
        <w:t>verified technical, human-factors, cybersecurity, safety, and clinical evidence with limitations and confidence intervals;</w:t>
      </w:r>
    </w:p>
    <w:p>
      <w:pPr>
        <w:pStyle w:val="ListBullet"/>
        <w:spacing w:after="60"/>
        <w:ind w:left="288" w:hanging="173"/>
      </w:pPr>
      <w:r>
        <w:t>privacy, consent, data residency, interoperability, audit logging, and incident-response architecture;</w:t>
      </w:r>
    </w:p>
    <w:p>
      <w:pPr>
        <w:pStyle w:val="ListBullet"/>
        <w:spacing w:after="60"/>
        <w:ind w:left="288" w:hanging="173"/>
      </w:pPr>
      <w:r>
        <w:t>manufacturing, supplier, biocompatibility, electrical safety/EMC, durability, cleaning, storage, and production-equivalence records;</w:t>
      </w:r>
    </w:p>
    <w:p>
      <w:pPr>
        <w:pStyle w:val="ListBullet"/>
        <w:spacing w:after="60"/>
        <w:ind w:left="288" w:hanging="173"/>
      </w:pPr>
      <w:r>
        <w:t>health-economic and workflow evidence aligned to the first intended use;</w:t>
      </w:r>
    </w:p>
    <w:p>
      <w:pPr>
        <w:pStyle w:val="ListBullet"/>
        <w:spacing w:after="60"/>
        <w:ind w:left="288" w:hanging="173"/>
      </w:pPr>
      <w:r>
        <w:t>primary literature for every epidemiological, clinical, and economic claim;</w:t>
      </w:r>
    </w:p>
    <w:p>
      <w:pPr>
        <w:pStyle w:val="ListBullet"/>
        <w:spacing w:after="60"/>
        <w:ind w:left="288" w:hanging="173"/>
      </w:pPr>
      <w:r>
        <w:t>named document owners, approvers, external-use rules, and partner distribution controls.</w:t>
      </w:r>
    </w:p>
    <w:p>
      <w:pPr>
        <w:pStyle w:val="Heading1"/>
        <w:pBdr>
          <w:bottom w:val="single" w:sz="8" w:space="3" w:color="2C7A7B"/>
        </w:pBdr>
      </w:pPr>
      <w:r>
        <w:t>Appendix C - Regulatory Research Basis Used in A0</w:t>
      </w:r>
    </w:p>
    <w:p>
      <w:pPr>
        <w:spacing w:after="140" w:line="259" w:lineRule="auto"/>
      </w:pPr>
      <w:r>
        <w:rPr>
          <w:i w:val="0"/>
        </w:rPr>
        <w:t>The A0 audit used current official U.S. sources only to establish a conservative communications-review framework. These sources do not substitute for product-specific legal advice.</w:t>
      </w:r>
    </w:p>
    <w:p>
      <w:pPr>
        <w:spacing w:after="40"/>
      </w:pPr>
      <w:r>
        <w:rPr>
          <w:b/>
        </w:rPr>
        <w:t xml:space="preserve">21 CFR 812.5 - Labeling of investigational devices: </w:t>
      </w:r>
      <w:hyperlink r:id="rId11">
        <w:r>
          <w:rPr>
            <w:color w:val="2C7A7B"/>
            <w:u w:val="single"/>
          </w:rPr>
          <w:t>https://www.ecfr.gov/current/title-21/chapter-I/subchapter-H/part-812/subpart-A/section-812.5</w:t>
        </w:r>
      </w:hyperlink>
    </w:p>
    <w:p>
      <w:pPr>
        <w:spacing w:after="120"/>
        <w:ind w:left="288"/>
      </w:pPr>
      <w:r>
        <w:t>Investigational-device labeling must not be false or misleading and must not represent the device as safe or effective for the investigational purpose.</w:t>
      </w:r>
    </w:p>
    <w:p>
      <w:pPr>
        <w:spacing w:after="40"/>
      </w:pPr>
      <w:r>
        <w:rPr>
          <w:b/>
        </w:rPr>
        <w:t xml:space="preserve">21 CFR 812.7 - Prohibition of promotion and other practices: </w:t>
      </w:r>
      <w:hyperlink r:id="rId12">
        <w:r>
          <w:rPr>
            <w:color w:val="2C7A7B"/>
            <w:u w:val="single"/>
          </w:rPr>
          <w:t>https://www.ecfr.gov/current/title-21/chapter-I/subchapter-H/part-812/subpart-A/section-812.7</w:t>
        </w:r>
      </w:hyperlink>
    </w:p>
    <w:p>
      <w:pPr>
        <w:spacing w:after="120"/>
        <w:ind w:left="288"/>
      </w:pPr>
      <w:r>
        <w:t>Prohibits promotion, test marketing, commercial distribution, and representations of safety or effectiveness for an investigational device.</w:t>
      </w:r>
    </w:p>
    <w:p>
      <w:pPr>
        <w:spacing w:after="40"/>
      </w:pPr>
      <w:r>
        <w:rPr>
          <w:b/>
        </w:rPr>
        <w:t xml:space="preserve">FDA - IDE Responsibilities: </w:t>
      </w:r>
      <w:hyperlink r:id="rId13">
        <w:r>
          <w:rPr>
            <w:color w:val="2C7A7B"/>
            <w:u w:val="single"/>
          </w:rPr>
          <w:t>https://www.fda.gov/medical-devices/investigational-device-exemption-ide/ide-responsibilities</w:t>
        </w:r>
      </w:hyperlink>
    </w:p>
    <w:p>
      <w:pPr>
        <w:spacing w:after="120"/>
        <w:ind w:left="288"/>
      </w:pPr>
      <w:r>
        <w:t>FDA summary of sponsor/investigator responsibilities and promotional restrictions for investigational devices.</w:t>
      </w:r>
    </w:p>
    <w:p>
      <w:pPr>
        <w:pStyle w:val="Heading1"/>
        <w:pBdr>
          <w:bottom w:val="single" w:sz="8" w:space="3" w:color="2C7A7B"/>
        </w:pBdr>
      </w:pPr>
      <w:r>
        <w:t>Conclusion</w:t>
      </w:r>
    </w:p>
    <w:p>
      <w:pPr>
        <w:spacing w:after="140" w:line="259" w:lineRule="auto"/>
      </w:pPr>
      <w:r>
        <w:rPr>
          <w:i w:val="0"/>
        </w:rPr>
        <w:t>SonoHL is developing a wearable acoustic-sensing concept intended to make multi-point heart and lung recordings available for organized clinician review. The development opportunity is plausible, but the source-derived narrative contained broad intended-use, technical-performance, clinical-performance, trial-status, and value statements that are not yet supported by controlled evidence or approved decisions.</w:t>
      </w:r>
    </w:p>
    <w:p>
      <w:pPr>
        <w:spacing w:after="140" w:line="259" w:lineRule="auto"/>
      </w:pPr>
      <w:r>
        <w:rPr>
          <w:i w:val="0"/>
        </w:rPr>
        <w:t>This A0-audited whitepaper therefore describes the product conservatively, preserves explicit input and decision requirements, and separates development hypotheses from established facts. It should remain internal until the complete external asset inventory is captured, claims are linked to controlled evidence, the candidate intended use is approved, current product and clinical records are supplied, and Regulatory/Legal, Clinical, Engineering/Quality, and Communications complete the required review.</w:t>
      </w:r>
    </w:p>
    <w:sectPr w:rsidR="00FC693F" w:rsidRPr="0006063C" w:rsidSect="00034616">
      <w:headerReference w:type="default" r:id="rId9"/>
      <w:footerReference w:type="default" r:id="rId10"/>
      <w:pgSz w:w="12240" w:h="15840"/>
      <w:pgMar w:top="936" w:right="1080" w:bottom="936" w:left="1080"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C6B73"/>
        <w:sz w:val="16"/>
      </w:rPr>
      <w:t xml:space="preserve">DRAFT - NOT APPROVED FOR EXTERNAL USE  |  Confidential working document  |  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1" w:color="B7C9CE"/>
      </w:pBdr>
    </w:pPr>
    <w:r>
      <w:rPr>
        <w:b/>
        <w:color w:val="2C7A7B"/>
        <w:sz w:val="16"/>
      </w:rPr>
      <w:t>SONOHL  /  A0-AUDITED WORKING WHITEPAPER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color w:val="16323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eastAsia="Aptos Display"/>
      <w:b/>
      <w:bCs/>
      <w:color w:val="0F4C5C"/>
      <w:sz w:val="34"/>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eastAsia="Aptos Display"/>
      <w:b/>
      <w:bCs/>
      <w:color w:val="16323A"/>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Display" w:hAnsi="Aptos Display" w:eastAsia="Aptos Display"/>
      <w:b/>
      <w:bCs/>
      <w:color w:val="16323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ecfr.gov/current/title-21/chapter-I/subchapter-H/part-812/subpart-A/section-812.5" TargetMode="External"/><Relationship Id="rId12" Type="http://schemas.openxmlformats.org/officeDocument/2006/relationships/hyperlink" Target="https://www.ecfr.gov/current/title-21/chapter-I/subchapter-H/part-812/subpart-A/section-812.7" TargetMode="External"/><Relationship Id="rId13" Type="http://schemas.openxmlformats.org/officeDocument/2006/relationships/hyperlink" Target="https://www.fda.gov/medical-devices/investigational-device-exemption-ide/ide-responsibilit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SonoHL A0-Audited Working Whitepaper</dc:title>
  <dc:subject>Task A0 audited product whitepaper</dc:subject>
  <dc:creator>SonoHL working team / OpenAI draft assistance</dc:creator>
  <cp:keywords>SonoHL, A0, claims audit, investigational device, whitepaper</cp:keywords>
  <dc:description>DRAFT - NOT APPROVED FOR EXTERNAL USE</dc:description>
  <cp:lastModifiedBy/>
  <cp:revision>1</cp:revision>
  <dcterms:created xsi:type="dcterms:W3CDTF">2013-12-23T23:15:00Z</dcterms:created>
  <dcterms:modified xsi:type="dcterms:W3CDTF">2013-12-23T23:15:00Z</dcterms:modified>
  <cp:category/>
</cp:coreProperties>
</file>