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Aptos Display" w:hAnsi="Aptos Display"/>
          <w:b/>
          <w:color w:val="0C7D80"/>
          <w:sz w:val="26"/>
        </w:rPr>
        <w:t>SONOHL</w:t>
      </w:r>
    </w:p>
    <w:p>
      <w:pPr>
        <w:pStyle w:val="Title"/>
        <w:spacing w:before="120" w:after="160"/>
      </w:pPr>
      <w:r>
        <w:rPr>
          <w:rFonts w:ascii="Aptos Display" w:hAnsi="Aptos Display"/>
          <w:b/>
          <w:color w:val="0E1822"/>
          <w:sz w:val="56"/>
        </w:rPr>
        <w:t>Pre-FDA Approval</w:t>
        <w:br/>
        <w:t>Reimbursement Readiness Roadmap</w:t>
      </w:r>
    </w:p>
    <w:p>
      <w:pPr>
        <w:pStyle w:val="Subtitle"/>
      </w:pPr>
      <w:r>
        <w:rPr>
          <w:rFonts w:ascii="Aptos" w:hAnsi="Aptos"/>
          <w:color w:val="54626E"/>
          <w:sz w:val="24"/>
        </w:rPr>
        <w:t>A sequenced operating plan to complete every checklist item that can be closed before FDA marketing authorization - and to make every gated item submission-ready for launch immediately afterward.</w:t>
      </w:r>
    </w:p>
    <w:tbl>
      <w:tblPr>
        <w:tblW w:type="auto" w:w="0"/>
        <w:jc w:val="left"/>
        <w:tblLayout w:type="fixed"/>
        <w:tblLook w:firstColumn="1" w:firstRow="1" w:lastColumn="0" w:lastRow="0" w:noHBand="0" w:noVBand="1" w:val="04A0"/>
      </w:tblPr>
      <w:tblGrid>
        <w:gridCol w:w="3312"/>
        <w:gridCol w:w="3312"/>
        <w:gridCol w:w="3312"/>
      </w:tblGrid>
      <w:tr>
        <w:trPr>
          <w:cantSplit/>
        </w:trPr>
        <w:tc>
          <w:tcPr>
            <w:tcW w:type="dxa" w:w="3389"/>
            <w:shd w:fill="0E1822"/>
            <w:tcMar>
              <w:top w:w="120" w:type="dxa"/>
              <w:start w:w="130" w:type="dxa"/>
              <w:bottom w:w="120" w:type="dxa"/>
              <w:end w:w="130" w:type="dxa"/>
            </w:tcMar>
          </w:tcPr>
          <w:p>
            <w:pPr>
              <w:spacing w:after="40"/>
            </w:pPr>
            <w:r>
              <w:rPr>
                <w:rFonts w:ascii="Aptos" w:hAnsi="Aptos"/>
                <w:b/>
                <w:color w:val="8FD6D7"/>
                <w:sz w:val="15"/>
              </w:rPr>
              <w:t>SCOPE</w:t>
              <w:br/>
            </w:r>
            <w:r>
              <w:rPr>
                <w:rFonts w:ascii="Aptos" w:hAnsi="Aptos"/>
                <w:b/>
                <w:color w:val="FFFFFF"/>
                <w:sz w:val="20"/>
              </w:rPr>
              <w:t>22 checklist items</w:t>
            </w:r>
          </w:p>
        </w:tc>
        <w:tc>
          <w:tcPr>
            <w:tcW w:type="dxa" w:w="3389"/>
            <w:shd w:fill="0E1822"/>
            <w:tcMar>
              <w:top w:w="120" w:type="dxa"/>
              <w:start w:w="130" w:type="dxa"/>
              <w:bottom w:w="120" w:type="dxa"/>
              <w:end w:w="130" w:type="dxa"/>
            </w:tcMar>
          </w:tcPr>
          <w:p>
            <w:pPr>
              <w:spacing w:after="40"/>
            </w:pPr>
            <w:r>
              <w:rPr>
                <w:rFonts w:ascii="Aptos" w:hAnsi="Aptos"/>
                <w:b/>
                <w:color w:val="8FD6D7"/>
                <w:sz w:val="15"/>
              </w:rPr>
              <w:t>TIMING</w:t>
              <w:br/>
            </w:r>
            <w:r>
              <w:rPr>
                <w:rFonts w:ascii="Aptos" w:hAnsi="Aptos"/>
                <w:b/>
                <w:color w:val="FFFFFF"/>
                <w:sz w:val="20"/>
              </w:rPr>
              <w:t>Relative to FDA authorization</w:t>
            </w:r>
          </w:p>
        </w:tc>
        <w:tc>
          <w:tcPr>
            <w:tcW w:type="dxa" w:w="3389"/>
            <w:shd w:fill="0E1822"/>
            <w:tcMar>
              <w:top w:w="120" w:type="dxa"/>
              <w:start w:w="130" w:type="dxa"/>
              <w:bottom w:w="120" w:type="dxa"/>
              <w:end w:w="130" w:type="dxa"/>
            </w:tcMar>
          </w:tcPr>
          <w:p>
            <w:pPr>
              <w:spacing w:after="40"/>
            </w:pPr>
            <w:r>
              <w:rPr>
                <w:rFonts w:ascii="Aptos" w:hAnsi="Aptos"/>
                <w:b/>
                <w:color w:val="8FD6D7"/>
                <w:sz w:val="15"/>
              </w:rPr>
              <w:t>VERSION</w:t>
              <w:br/>
            </w:r>
            <w:r>
              <w:rPr>
                <w:rFonts w:ascii="Aptos" w:hAnsi="Aptos"/>
                <w:b/>
                <w:color w:val="FFFFFF"/>
                <w:sz w:val="20"/>
              </w:rPr>
              <w:t>June 22, 2026</w:t>
            </w:r>
          </w:p>
        </w:tc>
      </w:tr>
    </w:tbl>
    <w:p>
      <w:pPr>
        <w:spacing w:before="360"/>
      </w:pPr>
      <w:r>
        <w:rPr>
          <w:rFonts w:ascii="Aptos" w:hAnsi="Aptos"/>
          <w:b/>
          <w:color w:val="0E1822"/>
        </w:rPr>
        <w:t xml:space="preserve">Prepared from: </w:t>
      </w:r>
      <w:r>
        <w:rPr>
          <w:rFonts w:ascii="Aptos" w:hAnsi="Aptos"/>
          <w:color w:val="54626E"/>
        </w:rPr>
        <w:t>SonoHL reimbursement checklist, reimbursement-readiness working reference, and working product whitepaper.</w:t>
      </w:r>
    </w:p>
    <w:p>
      <w:r>
        <w:rPr>
          <w:rFonts w:ascii="Aptos" w:hAnsi="Aptos"/>
          <w:b/>
          <w:color w:val="A8412F"/>
        </w:rPr>
        <w:t xml:space="preserve">Important: </w:t>
      </w:r>
      <w:r>
        <w:rPr>
          <w:rFonts w:ascii="Aptos" w:hAnsi="Aptos"/>
          <w:color w:val="54626E"/>
        </w:rPr>
        <w:t>This roadmap is an operational planning document, not legal, regulatory, coding, or billing advice. FDA regulatory counsel, quality leadership, clinical leadership, and a reimbursement specialist should approve all final claims, study designs, code applications, and payer submissions.</w:t>
      </w:r>
    </w:p>
    <w:p>
      <w:r>
        <w:br w:type="page"/>
      </w:r>
    </w:p>
    <w:p>
      <w:pPr>
        <w:pStyle w:val="Heading1"/>
      </w:pPr>
      <w:r>
        <w:t>1. Executive summary</w:t>
      </w:r>
    </w:p>
    <w:p>
      <w:r>
        <w:rPr>
          <w:rFonts w:ascii="Aptos" w:hAnsi="Aptos"/>
          <w:b/>
          <w:color w:val="0C7D80"/>
        </w:rPr>
        <w:t xml:space="preserve">Core strategy. </w:t>
      </w:r>
      <w:r>
        <w:rPr>
          <w:rFonts w:ascii="Aptos" w:hAnsi="Aptos"/>
        </w:rPr>
        <w:t>Treat FDA marketing authorization as the final gate, not the starting point. Before the decision arrives, SonoHL should finish the compliance cleanup, freeze a candidate intended use, align product requirements with the intended reimbursement model, design payer-relevant evidence into the clinical program, build coding and coverage dossiers, recruit external clinical support, and prepare approval-day submission packages.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SCOPE RULE</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A checklist item is considered "complete before approval" only when either (1) the activity itself can lawfully be completed pre-authorization, or (2) every document, analysis, relationship, and internal approval needed for post-authorization execution is finished and the item is explicitly marked as gated.</w:t>
            </w:r>
          </w:p>
        </w:tc>
      </w:tr>
    </w:tbl>
    <w:p>
      <w:pPr>
        <w:pStyle w:val="Heading2"/>
      </w:pPr>
      <w:r>
        <w:t>The three outcomes this roadmap is designed to produce</w:t>
      </w:r>
    </w:p>
    <w:p>
      <w:pPr>
        <w:pStyle w:val="RoadmapBullet"/>
        <w:ind w:left="317" w:hanging="230"/>
      </w:pPr>
      <w:r>
        <w:rPr>
          <w:rFonts w:ascii="Aptos" w:hAnsi="Aptos"/>
          <w:b/>
          <w:color w:val="0C7D80"/>
        </w:rPr>
        <w:t xml:space="preserve">• </w:t>
      </w:r>
      <w:r>
        <w:rPr>
          <w:rFonts w:ascii="Aptos" w:hAnsi="Aptos"/>
        </w:rPr>
        <w:t>Regulatory consistency: the website, whitepaper, clinical protocol, product requirements, FDA submission, code strategy, and payer value story all use the same controlled intended-use logic.</w:t>
      </w:r>
    </w:p>
    <w:p>
      <w:pPr>
        <w:pStyle w:val="RoadmapBullet"/>
        <w:ind w:left="317" w:hanging="230"/>
      </w:pPr>
      <w:r>
        <w:rPr>
          <w:rFonts w:ascii="Aptos" w:hAnsi="Aptos"/>
          <w:b/>
          <w:color w:val="0C7D80"/>
        </w:rPr>
        <w:t xml:space="preserve">• </w:t>
      </w:r>
      <w:r>
        <w:rPr>
          <w:rFonts w:ascii="Aptos" w:hAnsi="Aptos"/>
        </w:rPr>
        <w:t>Evidence efficiency: the clinical program captures technical performance and diagnostic/clinical validity for FDA while also collecting clinical-utility, workflow, and economic endpoints needed by payers and health systems.</w:t>
      </w:r>
    </w:p>
    <w:p>
      <w:pPr>
        <w:pStyle w:val="RoadmapBullet"/>
        <w:ind w:left="317" w:hanging="230"/>
      </w:pPr>
      <w:r>
        <w:rPr>
          <w:rFonts w:ascii="Aptos" w:hAnsi="Aptos"/>
          <w:b/>
          <w:color w:val="0C7D80"/>
        </w:rPr>
        <w:t xml:space="preserve">• </w:t>
      </w:r>
      <w:r>
        <w:rPr>
          <w:rFonts w:ascii="Aptos" w:hAnsi="Aptos"/>
        </w:rPr>
        <w:t>Launch speed: on the day authorization is received, SonoHL can update on-label materials, finalize code and payer submissions, and activate its coverage/payment work without rebuilding the underlying strategy.</w:t>
      </w:r>
    </w:p>
    <w:p>
      <w:pPr>
        <w:pStyle w:val="Heading2"/>
      </w:pPr>
      <w:r>
        <w:t>What cannot literally be completed before authorization</w:t>
      </w:r>
    </w:p>
    <w:p>
      <w:pPr>
        <w:pStyle w:val="RoadmapBullet"/>
        <w:ind w:left="317" w:hanging="230"/>
      </w:pPr>
      <w:r>
        <w:rPr>
          <w:rFonts w:ascii="Aptos" w:hAnsi="Aptos"/>
          <w:b/>
          <w:color w:val="0C7D80"/>
        </w:rPr>
        <w:t xml:space="preserve">• </w:t>
      </w:r>
      <w:r>
        <w:rPr>
          <w:rFonts w:ascii="Aptos" w:hAnsi="Aptos"/>
        </w:rPr>
        <w:t>The clearance/authorization letter and final IFU do not exist until FDA acts.</w:t>
      </w:r>
    </w:p>
    <w:p>
      <w:pPr>
        <w:pStyle w:val="RoadmapBullet"/>
        <w:ind w:left="317" w:hanging="230"/>
      </w:pPr>
      <w:r>
        <w:rPr>
          <w:rFonts w:ascii="Aptos" w:hAnsi="Aptos"/>
          <w:b/>
          <w:color w:val="0C7D80"/>
        </w:rPr>
        <w:t xml:space="preserve">• </w:t>
      </w:r>
      <w:r>
        <w:rPr>
          <w:rFonts w:ascii="Aptos" w:hAnsi="Aptos"/>
        </w:rPr>
        <w:t>RPM/RTM billing cannot begin until the marketed product satisfies the applicable medical-device, workflow, payer, and code requirements.</w:t>
      </w:r>
    </w:p>
    <w:p>
      <w:pPr>
        <w:pStyle w:val="RoadmapBullet"/>
        <w:ind w:left="317" w:hanging="230"/>
      </w:pPr>
      <w:r>
        <w:rPr>
          <w:rFonts w:ascii="Aptos" w:hAnsi="Aptos"/>
          <w:b/>
          <w:color w:val="0C7D80"/>
        </w:rPr>
        <w:t xml:space="preserve">• </w:t>
      </w:r>
      <w:r>
        <w:rPr>
          <w:rFonts w:ascii="Aptos" w:hAnsi="Aptos"/>
        </w:rPr>
        <w:t>Final coverage determinations, APC assignment, pass-through status, and durable payment are external decisions that occur after authorization and usually after coding and evidence milestones.</w:t>
      </w:r>
    </w:p>
    <w:p>
      <w:pPr>
        <w:pStyle w:val="RoadmapBullet"/>
        <w:ind w:left="317" w:hanging="230"/>
      </w:pPr>
      <w:r>
        <w:rPr>
          <w:rFonts w:ascii="Aptos" w:hAnsi="Aptos"/>
          <w:b/>
          <w:color w:val="0C7D80"/>
        </w:rPr>
        <w:t xml:space="preserve">• </w:t>
      </w:r>
      <w:r>
        <w:rPr>
          <w:rFonts w:ascii="Aptos" w:hAnsi="Aptos"/>
        </w:rPr>
        <w:t>Category I CPT graduation requires real-world use and published evidence; only the measurement system and publication plan can be completed before launch.</w:t>
      </w:r>
    </w:p>
    <w:p>
      <w:pPr>
        <w:pStyle w:val="Heading1"/>
      </w:pPr>
      <w:r>
        <w:t>2. Roadmap at a glance</w:t>
      </w:r>
    </w:p>
    <w:p>
      <w:r>
        <w:rPr>
          <w:i/>
        </w:rPr>
        <w:t>Timing is shown as an illustrative sequence. Replace the week ranges with program dates after the regulatory strategy and study schedule are approved. "T0" means FDA marketing authorization.</w:t>
      </w:r>
    </w:p>
    <w:tbl>
      <w:tblPr>
        <w:tblW w:type="auto" w:w="0"/>
        <w:jc w:val="center"/>
        <w:tblLayout w:type="fixed"/>
        <w:tblLook w:firstColumn="1" w:firstRow="1" w:lastColumn="0" w:lastRow="0" w:noHBand="0" w:noVBand="1" w:val="04A0"/>
      </w:tblPr>
      <w:tblGrid>
        <w:gridCol w:w="792"/>
        <w:gridCol w:w="1656"/>
        <w:gridCol w:w="3240"/>
        <w:gridCol w:w="4680"/>
      </w:tblGrid>
      <w:tr>
        <w:trPr>
          <w:tblHeader w:val="true"/>
          <w:cantSplit/>
        </w:trPr>
        <w:tc>
          <w:tcPr>
            <w:tcW w:type="dxa" w:w="2541"/>
            <w:shd w:fill="0E1822"/>
            <w:tcMar>
              <w:top w:w="90" w:type="dxa"/>
              <w:start w:w="90" w:type="dxa"/>
              <w:bottom w:w="90" w:type="dxa"/>
              <w:end w:w="90" w:type="dxa"/>
            </w:tcMar>
          </w:tcPr>
          <w:p>
            <w:r>
              <w:rPr>
                <w:rFonts w:ascii="Aptos" w:hAnsi="Aptos"/>
                <w:b/>
                <w:color w:val="FFFFFF"/>
                <w:sz w:val="17"/>
              </w:rPr>
              <w:t>Phase</w:t>
            </w:r>
          </w:p>
        </w:tc>
        <w:tc>
          <w:tcPr>
            <w:tcW w:type="dxa" w:w="2541"/>
            <w:shd w:fill="0E1822"/>
            <w:tcMar>
              <w:top w:w="90" w:type="dxa"/>
              <w:start w:w="90" w:type="dxa"/>
              <w:bottom w:w="90" w:type="dxa"/>
              <w:end w:w="90" w:type="dxa"/>
            </w:tcMar>
          </w:tcPr>
          <w:p>
            <w:r>
              <w:rPr>
                <w:rFonts w:ascii="Aptos" w:hAnsi="Aptos"/>
                <w:b/>
                <w:color w:val="FFFFFF"/>
                <w:sz w:val="17"/>
              </w:rPr>
              <w:t>Illustrative timing</w:t>
            </w:r>
          </w:p>
        </w:tc>
        <w:tc>
          <w:tcPr>
            <w:tcW w:type="dxa" w:w="2541"/>
            <w:shd w:fill="0E1822"/>
            <w:tcMar>
              <w:top w:w="90" w:type="dxa"/>
              <w:start w:w="90" w:type="dxa"/>
              <w:bottom w:w="90" w:type="dxa"/>
              <w:end w:w="90" w:type="dxa"/>
            </w:tcMar>
          </w:tcPr>
          <w:p>
            <w:r>
              <w:rPr>
                <w:rFonts w:ascii="Aptos" w:hAnsi="Aptos"/>
                <w:b/>
                <w:color w:val="FFFFFF"/>
                <w:sz w:val="17"/>
              </w:rPr>
              <w:t>Primary objective</w:t>
            </w:r>
          </w:p>
        </w:tc>
        <w:tc>
          <w:tcPr>
            <w:tcW w:type="dxa" w:w="2541"/>
            <w:shd w:fill="0E1822"/>
            <w:tcMar>
              <w:top w:w="90" w:type="dxa"/>
              <w:start w:w="90" w:type="dxa"/>
              <w:bottom w:w="90" w:type="dxa"/>
              <w:end w:w="90" w:type="dxa"/>
            </w:tcMar>
          </w:tcPr>
          <w:p>
            <w:r>
              <w:rPr>
                <w:rFonts w:ascii="Aptos" w:hAnsi="Aptos"/>
                <w:b/>
                <w:color w:val="FFFFFF"/>
                <w:sz w:val="17"/>
              </w:rPr>
              <w:t>Exit deliverable</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0</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0-2</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Program governance and claims freeze</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Inventory every communication, pause unreviewed claims, name owners, open a controlled evidence/claims register.</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1</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1-6</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Labeling compliance and intended-use hypothesis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a0-a5; produce counsel-reviewed public copy and a controlled candidate intended-use statement.</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2</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3-12</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Regulatory route and reimbursement-aligned design</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b0-b2; decide 510(k)/De Novo hypothesis, evaluate Breakthrough, and create a code-to-design traceability matrix.</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3</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6-24+</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Clinical, human-factors, technical and HEOR evidence</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c0-c2 preparation; finalize protocol/SAP, AMCP dossier skeleton, payer research plan, technical dossier and FDA-enabling evidence.</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4</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10-30</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Coding readiness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d0-d4 preparation; validate RPM/RTM pathways, develop Category III package, engage a specialty society, and define the Category I evidence runway.</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5</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12 to T0</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Coverage and payment readiness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e0-e3 preparation; payer/MAC mapping, RAPID/NCD conditional plan, APC/pass-through package, and policy surveillance.</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6</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T-90 days to T0</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Authorization-day launch readiness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Freeze final templates, prepare IFU/clearance crosswalks, assign 24/72-hour launch actions, and rehearse the approval-day workflow.</w:t>
            </w:r>
          </w:p>
        </w:tc>
      </w:tr>
    </w:tbl>
    <w:p>
      <w:pPr>
        <w:pStyle w:val="Heading2"/>
      </w:pPr>
      <w:r>
        <w:t>Critical-path decision gates</w:t>
      </w:r>
    </w:p>
    <w:p>
      <w:pPr>
        <w:pStyle w:val="RoadmapBullet"/>
        <w:ind w:left="317" w:hanging="230"/>
      </w:pPr>
      <w:r>
        <w:rPr>
          <w:rFonts w:ascii="Aptos" w:hAnsi="Aptos"/>
          <w:b/>
          <w:color w:val="0C7D80"/>
        </w:rPr>
        <w:t xml:space="preserve">• </w:t>
      </w:r>
      <w:r>
        <w:rPr>
          <w:rFonts w:ascii="Aptos" w:hAnsi="Aptos"/>
        </w:rPr>
        <w:t>Gate 1 - Claims freeze: all public and external-facing assets inventoried; high-risk claims removed or quarantined.</w:t>
      </w:r>
    </w:p>
    <w:p>
      <w:pPr>
        <w:pStyle w:val="RoadmapBullet"/>
        <w:ind w:left="317" w:hanging="230"/>
      </w:pPr>
      <w:r>
        <w:rPr>
          <w:rFonts w:ascii="Aptos" w:hAnsi="Aptos"/>
          <w:b/>
          <w:color w:val="0C7D80"/>
        </w:rPr>
        <w:t xml:space="preserve">• </w:t>
      </w:r>
      <w:r>
        <w:rPr>
          <w:rFonts w:ascii="Aptos" w:hAnsi="Aptos"/>
        </w:rPr>
        <w:t>Gate 2 - Intended-use hypothesis: target population, user, setting, input, output, clinical role, limitations, and AI classification agreed internally and reviewed by counsel.</w:t>
      </w:r>
    </w:p>
    <w:p>
      <w:pPr>
        <w:pStyle w:val="RoadmapBullet"/>
        <w:ind w:left="317" w:hanging="230"/>
      </w:pPr>
      <w:r>
        <w:rPr>
          <w:rFonts w:ascii="Aptos" w:hAnsi="Aptos"/>
          <w:b/>
          <w:color w:val="0C7D80"/>
        </w:rPr>
        <w:t xml:space="preserve">• </w:t>
      </w:r>
      <w:r>
        <w:rPr>
          <w:rFonts w:ascii="Aptos" w:hAnsi="Aptos"/>
        </w:rPr>
        <w:t>Gate 3 - Regulatory pathway: predicate/De Novo analysis complete; FDA interaction plan and Breakthrough go/no-go approved.</w:t>
      </w:r>
    </w:p>
    <w:p>
      <w:pPr>
        <w:pStyle w:val="RoadmapBullet"/>
        <w:ind w:left="317" w:hanging="230"/>
      </w:pPr>
      <w:r>
        <w:rPr>
          <w:rFonts w:ascii="Aptos" w:hAnsi="Aptos"/>
          <w:b/>
          <w:color w:val="0C7D80"/>
        </w:rPr>
        <w:t xml:space="preserve">• </w:t>
      </w:r>
      <w:r>
        <w:rPr>
          <w:rFonts w:ascii="Aptos" w:hAnsi="Aptos"/>
        </w:rPr>
        <w:t>Gate 4 - Reimbursement design inputs: automatic capture/transmission, data completeness, remote workflow, physician review, and audit-trail requirements traced into product requirements and verification.</w:t>
      </w:r>
    </w:p>
    <w:p>
      <w:pPr>
        <w:pStyle w:val="RoadmapBullet"/>
        <w:ind w:left="317" w:hanging="230"/>
      </w:pPr>
      <w:r>
        <w:rPr>
          <w:rFonts w:ascii="Aptos" w:hAnsi="Aptos"/>
          <w:b/>
          <w:color w:val="0C7D80"/>
        </w:rPr>
        <w:t xml:space="preserve">• </w:t>
      </w:r>
      <w:r>
        <w:rPr>
          <w:rFonts w:ascii="Aptos" w:hAnsi="Aptos"/>
        </w:rPr>
        <w:t>Gate 5 - Integrated evidence plan: FDA endpoints, payer endpoints, human factors, cybersecurity, subgroup analyses, workflow and economic measures approved before enrollment or protocol lock.</w:t>
      </w:r>
    </w:p>
    <w:p>
      <w:pPr>
        <w:pStyle w:val="RoadmapBullet"/>
        <w:ind w:left="317" w:hanging="230"/>
      </w:pPr>
      <w:r>
        <w:rPr>
          <w:rFonts w:ascii="Aptos" w:hAnsi="Aptos"/>
          <w:b/>
          <w:color w:val="0C7D80"/>
        </w:rPr>
        <w:t xml:space="preserve">• </w:t>
      </w:r>
      <w:r>
        <w:rPr>
          <w:rFonts w:ascii="Aptos" w:hAnsi="Aptos"/>
        </w:rPr>
        <w:t>Gate 6 - Coding and payer launch pack: Category III application package, specialty-society plan, AMCP dossier, payer evidence matrix, and payment dossiers are ready for final authorization wording.</w:t>
      </w:r>
    </w:p>
    <w:p>
      <w:pPr>
        <w:pStyle w:val="RoadmapBullet"/>
        <w:ind w:left="317" w:hanging="230"/>
      </w:pPr>
      <w:r>
        <w:rPr>
          <w:rFonts w:ascii="Aptos" w:hAnsi="Aptos"/>
          <w:b/>
          <w:color w:val="0C7D80"/>
        </w:rPr>
        <w:t xml:space="preserve">• </w:t>
      </w:r>
      <w:r>
        <w:rPr>
          <w:rFonts w:ascii="Aptos" w:hAnsi="Aptos"/>
        </w:rPr>
        <w:t>Gate 7 - Authorization-day readiness: every owner can update, approve, and release the correct on-label materials within the pre-agreed timeline.</w:t>
      </w:r>
    </w:p>
    <w:p>
      <w:pPr>
        <w:pStyle w:val="Heading1"/>
      </w:pPr>
      <w:r>
        <w:t>3. Immediate whitepaper and claims remediation priorities</w:t>
      </w:r>
    </w:p>
    <w:p>
      <w:r>
        <w:rPr>
          <w:i/>
        </w:rPr>
        <w:t>The working whitepaper is a useful source document, but it explicitly states that product claims and statistics require confirmation. The following claims should be routed through the a0-a5 workstream before any external use.</w:t>
      </w:r>
    </w:p>
    <w:tbl>
      <w:tblPr>
        <w:tblW w:type="auto" w:w="0"/>
        <w:jc w:val="center"/>
        <w:tblLayout w:type="fixed"/>
        <w:tblLook w:firstColumn="1" w:firstRow="1" w:lastColumn="0" w:lastRow="0" w:noHBand="0" w:noVBand="1" w:val="04A0"/>
      </w:tblPr>
      <w:tblGrid>
        <w:gridCol w:w="3096"/>
        <w:gridCol w:w="3672"/>
        <w:gridCol w:w="3528"/>
      </w:tblGrid>
      <w:tr>
        <w:trPr>
          <w:tblHeader w:val="true"/>
          <w:cantSplit/>
        </w:trPr>
        <w:tc>
          <w:tcPr>
            <w:tcW w:type="dxa" w:w="3389"/>
            <w:shd w:fill="0E1822"/>
            <w:tcMar>
              <w:top w:w="80" w:type="dxa"/>
              <w:start w:w="80" w:type="dxa"/>
              <w:bottom w:w="80" w:type="dxa"/>
              <w:end w:w="80" w:type="dxa"/>
            </w:tcMar>
          </w:tcPr>
          <w:p>
            <w:r>
              <w:rPr>
                <w:rFonts w:ascii="Aptos" w:hAnsi="Aptos"/>
                <w:b/>
                <w:color w:val="FFFFFF"/>
                <w:sz w:val="16"/>
              </w:rPr>
              <w:t>Claim / inconsistency</w:t>
            </w:r>
          </w:p>
        </w:tc>
        <w:tc>
          <w:tcPr>
            <w:tcW w:type="dxa" w:w="3389"/>
            <w:shd w:fill="0E1822"/>
            <w:tcMar>
              <w:top w:w="80" w:type="dxa"/>
              <w:start w:w="80" w:type="dxa"/>
              <w:bottom w:w="80" w:type="dxa"/>
              <w:end w:w="80" w:type="dxa"/>
            </w:tcMar>
          </w:tcPr>
          <w:p>
            <w:r>
              <w:rPr>
                <w:rFonts w:ascii="Aptos" w:hAnsi="Aptos"/>
                <w:b/>
                <w:color w:val="FFFFFF"/>
                <w:sz w:val="16"/>
              </w:rPr>
              <w:t>Why it matters</w:t>
            </w:r>
          </w:p>
        </w:tc>
        <w:tc>
          <w:tcPr>
            <w:tcW w:type="dxa" w:w="3389"/>
            <w:shd w:fill="0E1822"/>
            <w:tcMar>
              <w:top w:w="80" w:type="dxa"/>
              <w:start w:w="80" w:type="dxa"/>
              <w:bottom w:w="80" w:type="dxa"/>
              <w:end w:w="80" w:type="dxa"/>
            </w:tcMar>
          </w:tcPr>
          <w:p>
            <w:r>
              <w:rPr>
                <w:rFonts w:ascii="Aptos" w:hAnsi="Aptos"/>
                <w:b/>
                <w:color w:val="FFFFFF"/>
                <w:sz w:val="16"/>
              </w:rPr>
              <w:t>Pre-authorization action</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"screening, diagnostics, and remote monitoring" in the title</w:t>
            </w:r>
          </w:p>
        </w:tc>
        <w:tc>
          <w:tcPr>
            <w:tcW w:type="dxa" w:w="3672"/>
            <w:tcMar>
              <w:top w:w="75" w:type="dxa"/>
              <w:start w:w="80" w:type="dxa"/>
              <w:bottom w:w="75" w:type="dxa"/>
              <w:end w:w="80" w:type="dxa"/>
            </w:tcMar>
            <w:tcBorders>
              <w:bottom w:sz="4" w:val="single" w:color="D8E0E6"/>
            </w:tcBorders>
          </w:tcPr>
          <w:p>
            <w:r>
              <w:rPr>
                <w:rFonts w:ascii="Aptos" w:hAnsi="Aptos"/>
                <w:b w:val="0"/>
                <w:sz w:val="16"/>
              </w:rPr>
              <w:t>The word "diagnostics" may imply a broader or more definitive intended use than the current clinician-support positioning.</w:t>
            </w:r>
          </w:p>
        </w:tc>
        <w:tc>
          <w:tcPr>
            <w:tcW w:type="dxa" w:w="3528"/>
            <w:tcMar>
              <w:top w:w="75" w:type="dxa"/>
              <w:start w:w="80" w:type="dxa"/>
              <w:bottom w:w="75" w:type="dxa"/>
              <w:end w:w="80" w:type="dxa"/>
            </w:tcMar>
            <w:tcBorders>
              <w:bottom w:sz="4" w:val="single" w:color="D8E0E6"/>
            </w:tcBorders>
          </w:tcPr>
          <w:p>
            <w:r>
              <w:rPr>
                <w:rFonts w:ascii="Aptos" w:hAnsi="Aptos"/>
                <w:b w:val="0"/>
                <w:sz w:val="16"/>
              </w:rPr>
              <w:t>Use an investigational, capability-neutral title until the intended-use strategy is fixed.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"detect abnormal heart sounds" / "find heart and lung defects"</w:t>
            </w:r>
          </w:p>
        </w:tc>
        <w:tc>
          <w:tcPr>
            <w:tcW w:type="dxa" w:w="3672"/>
            <w:tcMar>
              <w:top w:w="75" w:type="dxa"/>
              <w:start w:w="80" w:type="dxa"/>
              <w:bottom w:w="75" w:type="dxa"/>
              <w:end w:w="80" w:type="dxa"/>
            </w:tcMar>
            <w:tcBorders>
              <w:bottom w:sz="4" w:val="single" w:color="D8E0E6"/>
            </w:tcBorders>
          </w:tcPr>
          <w:p>
            <w:r>
              <w:rPr>
                <w:rFonts w:ascii="Aptos" w:hAnsi="Aptos"/>
                <w:b w:val="0"/>
                <w:sz w:val="16"/>
              </w:rPr>
              <w:t>These are performance and disease-detection claims without a confirmed indication, target conditions, comparator, or validated performance.</w:t>
            </w:r>
          </w:p>
        </w:tc>
        <w:tc>
          <w:tcPr>
            <w:tcW w:type="dxa" w:w="3528"/>
            <w:tcMar>
              <w:top w:w="75" w:type="dxa"/>
              <w:start w:w="80" w:type="dxa"/>
              <w:bottom w:w="75" w:type="dxa"/>
              <w:end w:w="80" w:type="dxa"/>
            </w:tcMar>
            <w:tcBorders>
              <w:bottom w:sz="4" w:val="single" w:color="D8E0E6"/>
            </w:tcBorders>
          </w:tcPr>
          <w:p>
            <w:r>
              <w:rPr>
                <w:rFonts w:ascii="Aptos" w:hAnsi="Aptos"/>
                <w:b w:val="0"/>
                <w:sz w:val="16"/>
              </w:rPr>
              <w:t>Replace public wording with factual statements about acoustic capture and clinician review; keep proposed endpoints in controlled clinical documents.</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"automatically selects the clearest signals" and "reduces noise"</w:t>
            </w:r>
          </w:p>
        </w:tc>
        <w:tc>
          <w:tcPr>
            <w:tcW w:type="dxa" w:w="3672"/>
            <w:tcMar>
              <w:top w:w="75" w:type="dxa"/>
              <w:start w:w="80" w:type="dxa"/>
              <w:bottom w:w="75" w:type="dxa"/>
              <w:end w:w="80" w:type="dxa"/>
            </w:tcMar>
            <w:tcBorders>
              <w:bottom w:sz="4" w:val="single" w:color="D8E0E6"/>
            </w:tcBorders>
          </w:tcPr>
          <w:p>
            <w:r>
              <w:rPr>
                <w:rFonts w:ascii="Aptos" w:hAnsi="Aptos"/>
                <w:b w:val="0"/>
                <w:sz w:val="16"/>
              </w:rPr>
              <w:t>Requires a defined signal-quality method, test conditions, acceptance criteria and failure handling.</w:t>
            </w:r>
          </w:p>
        </w:tc>
        <w:tc>
          <w:tcPr>
            <w:tcW w:type="dxa" w:w="3528"/>
            <w:tcMar>
              <w:top w:w="75" w:type="dxa"/>
              <w:start w:w="80" w:type="dxa"/>
              <w:bottom w:w="75" w:type="dxa"/>
              <w:end w:w="80" w:type="dxa"/>
            </w:tcMar>
            <w:tcBorders>
              <w:bottom w:sz="4" w:val="single" w:color="D8E0E6"/>
            </w:tcBorders>
          </w:tcPr>
          <w:p>
            <w:r>
              <w:rPr>
                <w:rFonts w:ascii="Aptos" w:hAnsi="Aptos"/>
                <w:b w:val="0"/>
                <w:sz w:val="16"/>
              </w:rPr>
              <w:t>Create technical specifications and verification protocols; do not present as proven performance before evidence and authorization.</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"analyzes signals in real time"</w:t>
            </w:r>
          </w:p>
        </w:tc>
        <w:tc>
          <w:tcPr>
            <w:tcW w:type="dxa" w:w="3672"/>
            <w:tcMar>
              <w:top w:w="75" w:type="dxa"/>
              <w:start w:w="80" w:type="dxa"/>
              <w:bottom w:w="75" w:type="dxa"/>
              <w:end w:w="80" w:type="dxa"/>
            </w:tcMar>
            <w:tcBorders>
              <w:bottom w:sz="4" w:val="single" w:color="D8E0E6"/>
            </w:tcBorders>
          </w:tcPr>
          <w:p>
            <w:r>
              <w:rPr>
                <w:rFonts w:ascii="Aptos" w:hAnsi="Aptos"/>
                <w:b w:val="0"/>
                <w:sz w:val="16"/>
              </w:rPr>
              <w:t>"Real time" requires a measurable latency specification and validated hardware/software configuration.</w:t>
            </w:r>
          </w:p>
        </w:tc>
        <w:tc>
          <w:tcPr>
            <w:tcW w:type="dxa" w:w="3528"/>
            <w:tcMar>
              <w:top w:w="75" w:type="dxa"/>
              <w:start w:w="80" w:type="dxa"/>
              <w:bottom w:w="75" w:type="dxa"/>
              <w:end w:w="80" w:type="dxa"/>
            </w:tcMar>
            <w:tcBorders>
              <w:bottom w:sz="4" w:val="single" w:color="D8E0E6"/>
            </w:tcBorders>
          </w:tcPr>
          <w:p>
            <w:r>
              <w:rPr>
                <w:rFonts w:ascii="Aptos" w:hAnsi="Aptos"/>
                <w:b w:val="0"/>
                <w:sz w:val="16"/>
              </w:rPr>
              <w:t>Define latency and operational conditions; treat as a technical objective until verified.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2.5 million undiagnosed cases / 40% of murmurs missed</w:t>
            </w:r>
          </w:p>
        </w:tc>
        <w:tc>
          <w:tcPr>
            <w:tcW w:type="dxa" w:w="3672"/>
            <w:tcMar>
              <w:top w:w="75" w:type="dxa"/>
              <w:start w:w="80" w:type="dxa"/>
              <w:bottom w:w="75" w:type="dxa"/>
              <w:end w:w="80" w:type="dxa"/>
            </w:tcMar>
            <w:tcBorders>
              <w:bottom w:sz="4" w:val="single" w:color="D8E0E6"/>
            </w:tcBorders>
          </w:tcPr>
          <w:p>
            <w:r>
              <w:rPr>
                <w:rFonts w:ascii="Aptos" w:hAnsi="Aptos"/>
                <w:b w:val="0"/>
                <w:sz w:val="16"/>
              </w:rPr>
              <w:t>The draft identifies these as uncited statistics.</w:t>
            </w:r>
          </w:p>
        </w:tc>
        <w:tc>
          <w:tcPr>
            <w:tcW w:type="dxa" w:w="3528"/>
            <w:tcMar>
              <w:top w:w="75" w:type="dxa"/>
              <w:start w:w="80" w:type="dxa"/>
              <w:bottom w:w="75" w:type="dxa"/>
              <w:end w:w="80" w:type="dxa"/>
            </w:tcMar>
            <w:tcBorders>
              <w:bottom w:sz="4" w:val="single" w:color="D8E0E6"/>
            </w:tcBorders>
          </w:tcPr>
          <w:p>
            <w:r>
              <w:rPr>
                <w:rFonts w:ascii="Aptos" w:hAnsi="Aptos"/>
                <w:b w:val="0"/>
                <w:sz w:val="16"/>
              </w:rPr>
              <w:t>Remove from external materials until primary sources, populations, definitions and dates are documented.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16 channels, 10 front + 6 back, versus "8+" / "8 sensors" variants</w:t>
            </w:r>
          </w:p>
        </w:tc>
        <w:tc>
          <w:tcPr>
            <w:tcW w:type="dxa" w:w="3672"/>
            <w:tcMar>
              <w:top w:w="75" w:type="dxa"/>
              <w:start w:w="80" w:type="dxa"/>
              <w:bottom w:w="75" w:type="dxa"/>
              <w:end w:w="80" w:type="dxa"/>
            </w:tcMar>
            <w:tcBorders>
              <w:bottom w:sz="4" w:val="single" w:color="D8E0E6"/>
            </w:tcBorders>
          </w:tcPr>
          <w:p>
            <w:r>
              <w:rPr>
                <w:rFonts w:ascii="Aptos" w:hAnsi="Aptos"/>
                <w:b w:val="0"/>
                <w:sz w:val="16"/>
              </w:rPr>
              <w:t>Conflicting specifications create credibility and design-control risk.</w:t>
            </w:r>
          </w:p>
        </w:tc>
        <w:tc>
          <w:tcPr>
            <w:tcW w:type="dxa" w:w="3528"/>
            <w:tcMar>
              <w:top w:w="75" w:type="dxa"/>
              <w:start w:w="80" w:type="dxa"/>
              <w:bottom w:w="75" w:type="dxa"/>
              <w:end w:w="80" w:type="dxa"/>
            </w:tcMar>
            <w:tcBorders>
              <w:bottom w:sz="4" w:val="single" w:color="D8E0E6"/>
            </w:tcBorders>
          </w:tcPr>
          <w:p>
            <w:r>
              <w:rPr>
                <w:rFonts w:ascii="Aptos" w:hAnsi="Aptos"/>
                <w:b w:val="0"/>
                <w:sz w:val="16"/>
              </w:rPr>
              <w:t>Freeze one current configuration and document hardware version, active channels, synchronization and change history.</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"CT1 currently enrolling"</w:t>
            </w:r>
          </w:p>
        </w:tc>
        <w:tc>
          <w:tcPr>
            <w:tcW w:type="dxa" w:w="3672"/>
            <w:tcMar>
              <w:top w:w="75" w:type="dxa"/>
              <w:start w:w="80" w:type="dxa"/>
              <w:bottom w:w="75" w:type="dxa"/>
              <w:end w:w="80" w:type="dxa"/>
            </w:tcMar>
            <w:tcBorders>
              <w:bottom w:sz="4" w:val="single" w:color="D8E0E6"/>
            </w:tcBorders>
          </w:tcPr>
          <w:p>
            <w:r>
              <w:rPr>
                <w:rFonts w:ascii="Aptos" w:hAnsi="Aptos"/>
                <w:b w:val="0"/>
                <w:sz w:val="16"/>
              </w:rPr>
              <w:t>Requires protocol identifier, registration, ethics approval, sponsor, sites, recruitment status and dates.</w:t>
            </w:r>
          </w:p>
        </w:tc>
        <w:tc>
          <w:tcPr>
            <w:tcW w:type="dxa" w:w="3528"/>
            <w:tcMar>
              <w:top w:w="75" w:type="dxa"/>
              <w:start w:w="80" w:type="dxa"/>
              <w:bottom w:w="75" w:type="dxa"/>
              <w:end w:w="80" w:type="dxa"/>
            </w:tcMar>
            <w:tcBorders>
              <w:bottom w:sz="4" w:val="single" w:color="D8E0E6"/>
            </w:tcBorders>
          </w:tcPr>
          <w:p>
            <w:r>
              <w:rPr>
                <w:rFonts w:ascii="Aptos" w:hAnsi="Aptos"/>
                <w:b w:val="0"/>
                <w:sz w:val="16"/>
              </w:rPr>
              <w:t>Publish only after trial records and recruitment language are verified and approved.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"ready for remote monitoring"</w:t>
            </w:r>
          </w:p>
        </w:tc>
        <w:tc>
          <w:tcPr>
            <w:tcW w:type="dxa" w:w="3672"/>
            <w:tcMar>
              <w:top w:w="75" w:type="dxa"/>
              <w:start w:w="80" w:type="dxa"/>
              <w:bottom w:w="75" w:type="dxa"/>
              <w:end w:w="80" w:type="dxa"/>
            </w:tcMar>
            <w:tcBorders>
              <w:bottom w:sz="4" w:val="single" w:color="D8E0E6"/>
            </w:tcBorders>
          </w:tcPr>
          <w:p>
            <w:r>
              <w:rPr>
                <w:rFonts w:ascii="Aptos" w:hAnsi="Aptos"/>
                <w:b w:val="0"/>
                <w:sz w:val="16"/>
              </w:rPr>
              <w:t>Requires connectivity, automatic transmission, privacy, cybersecurity, usability, operator model, data reliability and escalation workflows.</w:t>
            </w:r>
          </w:p>
        </w:tc>
        <w:tc>
          <w:tcPr>
            <w:tcW w:type="dxa" w:w="3528"/>
            <w:tcMar>
              <w:top w:w="75" w:type="dxa"/>
              <w:start w:w="80" w:type="dxa"/>
              <w:bottom w:w="75" w:type="dxa"/>
              <w:end w:w="80" w:type="dxa"/>
            </w:tcMar>
            <w:tcBorders>
              <w:bottom w:sz="4" w:val="single" w:color="D8E0E6"/>
            </w:tcBorders>
          </w:tcPr>
          <w:p>
            <w:r>
              <w:rPr>
                <w:rFonts w:ascii="Aptos" w:hAnsi="Aptos"/>
                <w:b w:val="0"/>
                <w:sz w:val="16"/>
              </w:rPr>
              <w:t>Treat remote monitoring as a development use case until all technical and clinical workflow requirements are verified.</w:t>
            </w:r>
          </w:p>
        </w:tc>
      </w:tr>
    </w:tbl>
    <w:p>
      <w:pPr>
        <w:pStyle w:val="Heading1"/>
      </w:pPr>
      <w:r>
        <w:t>4. Detailed checklist roadmap</w:t>
      </w:r>
    </w:p>
    <w:p>
      <w:r>
        <w:rPr>
          <w:b/>
        </w:rPr>
        <w:t xml:space="preserve">Legend: </w:t>
      </w:r>
      <w:r>
        <w:rPr>
          <w:color w:val="2C9468"/>
        </w:rPr>
        <w:t>Complete pre-approval</w:t>
      </w:r>
      <w:r>
        <w:t xml:space="preserve"> = close the item before FDA acts;  </w:t>
      </w:r>
      <w:r>
        <w:rPr>
          <w:color w:val="9A6A1C"/>
        </w:rPr>
        <w:t>Prepare pre-approval</w:t>
      </w:r>
      <w:r>
        <w:t xml:space="preserve"> = finish all internal work and hold external execution at the gate;  </w:t>
      </w:r>
      <w:r>
        <w:rPr>
          <w:color w:val="A8412F"/>
        </w:rPr>
        <w:t>Approval-day gate</w:t>
      </w:r>
      <w:r>
        <w:t xml:space="preserve"> = cannot be closed until the authorization letter/IFU exists.</w:t>
      </w:r>
    </w:p>
    <w:p>
      <w:pPr>
        <w:pStyle w:val="Heading1"/>
      </w:pPr>
      <w:r>
        <w:t>Stage 00 - Pre-clearance compliance and communications</w:t>
      </w:r>
    </w:p>
    <w:p>
      <w:pPr>
        <w:pStyle w:val="Heading2"/>
        <w:keepNext/>
      </w:pPr>
      <w:r>
        <w:rPr>
          <w:rFonts w:ascii="Aptos Display" w:hAnsi="Aptos Display"/>
          <w:b/>
          <w:color w:val="0E1822"/>
          <w:sz w:val="28"/>
        </w:rPr>
        <w:t>a0  Audit every website page and all collateral as labeling</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 legal counsel; Marketing/Communications executes remediation</w:t>
            </w:r>
          </w:p>
        </w:tc>
      </w:tr>
    </w:tbl>
    <w:p>
      <w:pPr>
        <w:spacing w:before="80" w:after="100" w:line="259" w:lineRule="auto"/>
      </w:pPr>
      <w:r>
        <w:rPr>
          <w:rFonts w:ascii="Aptos" w:hAnsi="Aptos"/>
          <w:b/>
          <w:color w:val="0C7D80"/>
        </w:rPr>
        <w:t xml:space="preserve">Objective. </w:t>
      </w:r>
      <w:r>
        <w:rPr>
          <w:rFonts w:ascii="Aptos" w:hAnsi="Aptos"/>
        </w:rPr>
        <w:t>Create a complete, controlled inventory of every public, partner-facing, investor-facing, clinical, recruitment, and social-media statement about SonoHL, then determine whether each statement is factual, aspirational, investigational, performance-related, commercial, or regulatory.</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an asset register covering the website, whitepaper, brochures, pitch decks, trial recruitment materials, conference posters, demo scripts, videos, app/dashboard screenshots, press releases, partner pages, social posts and reposts, email templates, device packaging and study labels.</w:t>
      </w:r>
    </w:p>
    <w:p>
      <w:pPr>
        <w:pStyle w:val="RoadmapBullet"/>
        <w:ind w:left="317" w:hanging="230"/>
      </w:pPr>
      <w:r>
        <w:rPr>
          <w:rFonts w:ascii="Aptos" w:hAnsi="Aptos"/>
          <w:b/>
          <w:color w:val="0C7D80"/>
        </w:rPr>
        <w:t xml:space="preserve">• </w:t>
      </w:r>
      <w:r>
        <w:rPr>
          <w:rFonts w:ascii="Aptos" w:hAnsi="Aptos"/>
        </w:rPr>
        <w:t>Capture the current version of each asset as a PDF or screenshot and record owner, audience, publication date, URL/location, approval status and retirement date.</w:t>
      </w:r>
    </w:p>
    <w:p>
      <w:pPr>
        <w:pStyle w:val="RoadmapBullet"/>
        <w:ind w:left="317" w:hanging="230"/>
      </w:pPr>
      <w:r>
        <w:rPr>
          <w:rFonts w:ascii="Aptos" w:hAnsi="Aptos"/>
          <w:b/>
          <w:color w:val="0C7D80"/>
        </w:rPr>
        <w:t xml:space="preserve">• </w:t>
      </w:r>
      <w:r>
        <w:rPr>
          <w:rFonts w:ascii="Aptos" w:hAnsi="Aptos"/>
        </w:rPr>
        <w:t>Break each asset into individual claims. Classify each claim by type: product configuration, technical performance, clinical performance, safety, clinical benefit, economic benefit, regulatory status, availability/pricing, trial status or third-party endorsement.</w:t>
      </w:r>
    </w:p>
    <w:p>
      <w:pPr>
        <w:pStyle w:val="RoadmapBullet"/>
        <w:ind w:left="317" w:hanging="230"/>
      </w:pPr>
      <w:r>
        <w:rPr>
          <w:rFonts w:ascii="Aptos" w:hAnsi="Aptos"/>
          <w:b/>
          <w:color w:val="0C7D80"/>
        </w:rPr>
        <w:t xml:space="preserve">• </w:t>
      </w:r>
      <w:r>
        <w:rPr>
          <w:rFonts w:ascii="Aptos" w:hAnsi="Aptos"/>
        </w:rPr>
        <w:t>Assign each claim an evidence status and permitted channel. High-risk claims should be removed, rewritten, or quarantined to controlled internal documents while counsel reviews them.</w:t>
      </w:r>
    </w:p>
    <w:p>
      <w:pPr>
        <w:pStyle w:val="RoadmapBullet"/>
        <w:ind w:left="317" w:hanging="230"/>
      </w:pPr>
      <w:r>
        <w:rPr>
          <w:rFonts w:ascii="Aptos" w:hAnsi="Aptos"/>
          <w:b/>
          <w:color w:val="0C7D80"/>
        </w:rPr>
        <w:t xml:space="preserve">• </w:t>
      </w:r>
      <w:r>
        <w:rPr>
          <w:rFonts w:ascii="Aptos" w:hAnsi="Aptos"/>
        </w:rPr>
        <w:t>Create an ongoing change-control rule: no external claim may be published without a claim ID, evidence reference, intended-use alignment check and named approver.</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Master asset inventory and archived baseline copies.</w:t>
      </w:r>
    </w:p>
    <w:p>
      <w:pPr>
        <w:pStyle w:val="RoadmapBullet"/>
        <w:ind w:left="317" w:hanging="230"/>
      </w:pPr>
      <w:r>
        <w:rPr>
          <w:rFonts w:ascii="Aptos" w:hAnsi="Aptos"/>
          <w:b/>
          <w:color w:val="0C7D80"/>
        </w:rPr>
        <w:t xml:space="preserve">• </w:t>
      </w:r>
      <w:r>
        <w:rPr>
          <w:rFonts w:ascii="Aptos" w:hAnsi="Aptos"/>
        </w:rPr>
        <w:t>Claims register with risk rating, evidence source, permitted audience and disposition.</w:t>
      </w:r>
    </w:p>
    <w:p>
      <w:pPr>
        <w:pStyle w:val="RoadmapBullet"/>
        <w:ind w:left="317" w:hanging="230"/>
      </w:pPr>
      <w:r>
        <w:rPr>
          <w:rFonts w:ascii="Aptos" w:hAnsi="Aptos"/>
          <w:b/>
          <w:color w:val="0C7D80"/>
        </w:rPr>
        <w:t xml:space="preserve">• </w:t>
      </w:r>
      <w:r>
        <w:rPr>
          <w:rFonts w:ascii="Aptos" w:hAnsi="Aptos"/>
        </w:rPr>
        <w:t>Redline log showing every removal/rewrite and the person who approved it.</w:t>
      </w:r>
    </w:p>
    <w:p>
      <w:pPr>
        <w:pStyle w:val="RoadmapBullet"/>
        <w:ind w:left="317" w:hanging="230"/>
      </w:pPr>
      <w:r>
        <w:rPr>
          <w:rFonts w:ascii="Aptos" w:hAnsi="Aptos"/>
          <w:b/>
          <w:color w:val="0C7D80"/>
        </w:rPr>
        <w:t xml:space="preserve">• </w:t>
      </w:r>
      <w:r>
        <w:rPr>
          <w:rFonts w:ascii="Aptos" w:hAnsi="Aptos"/>
        </w:rPr>
        <w:t>Standard operating procedure for future external communications review.</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100% of known external and partner-facing assets are inventoried and assigned an owner.</w:t>
      </w:r>
    </w:p>
    <w:p>
      <w:pPr>
        <w:pStyle w:val="RoadmapCheck"/>
        <w:ind w:left="317" w:hanging="230"/>
      </w:pPr>
      <w:r>
        <w:rPr>
          <w:rFonts w:ascii="Aptos" w:hAnsi="Aptos"/>
          <w:b/>
          <w:color w:val="2C9468"/>
        </w:rPr>
        <w:t xml:space="preserve">[ ] </w:t>
      </w:r>
      <w:r>
        <w:rPr>
          <w:rFonts w:ascii="Aptos" w:hAnsi="Aptos"/>
        </w:rPr>
        <w:t>Every claim is either approved, rewritten, removed or explicitly quarantined.</w:t>
      </w:r>
    </w:p>
    <w:p>
      <w:pPr>
        <w:pStyle w:val="RoadmapCheck"/>
        <w:ind w:left="317" w:hanging="230"/>
      </w:pPr>
      <w:r>
        <w:rPr>
          <w:rFonts w:ascii="Aptos" w:hAnsi="Aptos"/>
          <w:b/>
          <w:color w:val="2C9468"/>
        </w:rPr>
        <w:t xml:space="preserve">[ ] </w:t>
      </w:r>
      <w:r>
        <w:rPr>
          <w:rFonts w:ascii="Aptos" w:hAnsi="Aptos"/>
        </w:rPr>
        <w:t>A recurring review cadence and publication approval workflow are active.</w:t>
      </w:r>
    </w:p>
    <w:p>
      <w:pPr>
        <w:spacing w:before="40" w:after="120" w:line="259" w:lineRule="auto"/>
      </w:pPr>
      <w:r>
        <w:rPr>
          <w:rFonts w:ascii="Aptos" w:hAnsi="Aptos"/>
          <w:b/>
          <w:color w:val="A8412F"/>
        </w:rPr>
        <w:t xml:space="preserve">Dependencies / cautions. </w:t>
      </w:r>
      <w:r>
        <w:rPr>
          <w:rFonts w:ascii="Aptos" w:hAnsi="Aptos"/>
          <w:color w:val="54626E"/>
        </w:rPr>
        <w:t>Do not treat a disclaimer as a cure for a misleading or unsupported claim. The total presentation, product design and surrounding context must remain consistent with the investigational status and candidate intended use.</w:t>
      </w:r>
    </w:p>
    <w:p>
      <w:pPr>
        <w:spacing w:before="40" w:after="80"/>
        <w:pBdr>
          <w:bottom w:val="single" w:sz="4" w:space="1" w:color="D8E0E6"/>
        </w:pBdr>
      </w:pPr>
    </w:p>
    <w:p>
      <w:pPr>
        <w:pStyle w:val="Heading2"/>
        <w:keepNext/>
      </w:pPr>
      <w:r>
        <w:rPr>
          <w:rFonts w:ascii="Aptos Display" w:hAnsi="Aptos Display"/>
          <w:b/>
          <w:color w:val="0E1822"/>
          <w:sz w:val="28"/>
        </w:rPr>
        <w:t>a1  Strip forbidden and unsupported terms from public copy</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Regulatory/Legal approves; Marketing, Medical Affairs and document owners implement</w:t>
            </w:r>
          </w:p>
        </w:tc>
      </w:tr>
    </w:tbl>
    <w:p>
      <w:pPr>
        <w:spacing w:before="80" w:after="100" w:line="259" w:lineRule="auto"/>
      </w:pPr>
      <w:r>
        <w:rPr>
          <w:rFonts w:ascii="Aptos" w:hAnsi="Aptos"/>
          <w:b/>
          <w:color w:val="0C7D80"/>
        </w:rPr>
        <w:t xml:space="preserve">Objective. </w:t>
      </w:r>
      <w:r>
        <w:rPr>
          <w:rFonts w:ascii="Aptos" w:hAnsi="Aptos"/>
        </w:rPr>
        <w:t>Remove language that could imply established diagnostic performance, safety/effectiveness, FDA status, commercial availability or reimbursability before those facts exist.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Search all assets for terms such as diagnostic, diagnoses, detects disease, accurate, proven, safe and effective, FDA-approved, FDA-cleared, available now, price/pricing, reimbursed, medical-grade, sensitivity, specificity and equivalent synonyms.</w:t>
      </w:r>
    </w:p>
    <w:p>
      <w:pPr>
        <w:pStyle w:val="RoadmapBullet"/>
        <w:ind w:left="317" w:hanging="230"/>
      </w:pPr>
      <w:r>
        <w:rPr>
          <w:rFonts w:ascii="Aptos" w:hAnsi="Aptos"/>
          <w:b/>
          <w:color w:val="0C7D80"/>
        </w:rPr>
        <w:t xml:space="preserve">• </w:t>
      </w:r>
      <w:r>
        <w:rPr>
          <w:rFonts w:ascii="Aptos" w:hAnsi="Aptos"/>
        </w:rPr>
        <w:t>Prioritize the whitepaper title and sections using "diagnostics," "diagnostic screening," "detect abnormal heart sounds," and "find heart and lung defects." These should not be used publicly unless they match the eventual authorized indication and are supported by evidence.</w:t>
      </w:r>
    </w:p>
    <w:p>
      <w:pPr>
        <w:pStyle w:val="RoadmapBullet"/>
        <w:ind w:left="317" w:hanging="230"/>
      </w:pPr>
      <w:r>
        <w:rPr>
          <w:rFonts w:ascii="Aptos" w:hAnsi="Aptos"/>
          <w:b/>
          <w:color w:val="0C7D80"/>
        </w:rPr>
        <w:t xml:space="preserve">• </w:t>
      </w:r>
      <w:r>
        <w:rPr>
          <w:rFonts w:ascii="Aptos" w:hAnsi="Aptos"/>
        </w:rPr>
        <w:t>Replace performance language with factual descriptions of the investigational system: multi-channel acoustic capture, signal organization, remote sharing, clinician review, and development objectives. Phrase future capabilities as proposed study objectives rather than established benefits.</w:t>
      </w:r>
    </w:p>
    <w:p>
      <w:pPr>
        <w:pStyle w:val="RoadmapBullet"/>
        <w:ind w:left="317" w:hanging="230"/>
      </w:pPr>
      <w:r>
        <w:rPr>
          <w:rFonts w:ascii="Aptos" w:hAnsi="Aptos"/>
          <w:b/>
          <w:color w:val="0C7D80"/>
        </w:rPr>
        <w:t xml:space="preserve">• </w:t>
      </w:r>
      <w:r>
        <w:rPr>
          <w:rFonts w:ascii="Aptos" w:hAnsi="Aptos"/>
        </w:rPr>
        <w:t>Create a controlled replacement-language library so the website, partner deck, trial materials and investor materials do not drift into different intended-use claims.</w:t>
      </w:r>
    </w:p>
    <w:p>
      <w:pPr>
        <w:pStyle w:val="RoadmapBullet"/>
        <w:ind w:left="317" w:hanging="230"/>
      </w:pPr>
      <w:r>
        <w:rPr>
          <w:rFonts w:ascii="Aptos" w:hAnsi="Aptos"/>
          <w:b/>
          <w:color w:val="0C7D80"/>
        </w:rPr>
        <w:t xml:space="preserve">• </w:t>
      </w:r>
      <w:r>
        <w:rPr>
          <w:rFonts w:ascii="Aptos" w:hAnsi="Aptos"/>
        </w:rPr>
        <w:t>Keep internal engineering requirements and clinical endpoints precise; the goal is not to weaken internal documentation, but to prevent internal hypotheses from becoming public promotional claims.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Forbidden-terms scan report.</w:t>
      </w:r>
    </w:p>
    <w:p>
      <w:pPr>
        <w:pStyle w:val="RoadmapBullet"/>
        <w:ind w:left="317" w:hanging="230"/>
      </w:pPr>
      <w:r>
        <w:rPr>
          <w:rFonts w:ascii="Aptos" w:hAnsi="Aptos"/>
          <w:b/>
          <w:color w:val="0C7D80"/>
        </w:rPr>
        <w:t xml:space="preserve">• </w:t>
      </w:r>
      <w:r>
        <w:rPr>
          <w:rFonts w:ascii="Aptos" w:hAnsi="Aptos"/>
        </w:rPr>
        <w:t>Approved replacement-language library.</w:t>
      </w:r>
    </w:p>
    <w:p>
      <w:pPr>
        <w:pStyle w:val="RoadmapBullet"/>
        <w:ind w:left="317" w:hanging="230"/>
      </w:pPr>
      <w:r>
        <w:rPr>
          <w:rFonts w:ascii="Aptos" w:hAnsi="Aptos"/>
          <w:b/>
          <w:color w:val="0C7D80"/>
        </w:rPr>
        <w:t xml:space="preserve">• </w:t>
      </w:r>
      <w:r>
        <w:rPr>
          <w:rFonts w:ascii="Aptos" w:hAnsi="Aptos"/>
        </w:rPr>
        <w:t>Clean versions of the website, whitepaper and standard decks.</w:t>
      </w:r>
    </w:p>
    <w:p>
      <w:pPr>
        <w:pStyle w:val="RoadmapBullet"/>
        <w:ind w:left="317" w:hanging="230"/>
      </w:pPr>
      <w:r>
        <w:rPr>
          <w:rFonts w:ascii="Aptos" w:hAnsi="Aptos"/>
          <w:b/>
          <w:color w:val="0C7D80"/>
        </w:rPr>
        <w:t xml:space="preserve">• </w:t>
      </w:r>
      <w:r>
        <w:rPr>
          <w:rFonts w:ascii="Aptos" w:hAnsi="Aptos"/>
        </w:rPr>
        <w:t>Claims-to-evidence matrix linking every retained external statement to a source and intended-use rationale.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No high-risk term remains in external materials unless counsel documents a specific permitted context.</w:t>
      </w:r>
    </w:p>
    <w:p>
      <w:pPr>
        <w:pStyle w:val="RoadmapCheck"/>
        <w:ind w:left="317" w:hanging="230"/>
      </w:pPr>
      <w:r>
        <w:rPr>
          <w:rFonts w:ascii="Aptos" w:hAnsi="Aptos"/>
          <w:b/>
          <w:color w:val="2C9468"/>
        </w:rPr>
        <w:t xml:space="preserve">[ ] </w:t>
      </w:r>
      <w:r>
        <w:rPr>
          <w:rFonts w:ascii="Aptos" w:hAnsi="Aptos"/>
        </w:rPr>
        <w:t>All external documents describe the same investigational product role and limitations.</w:t>
      </w:r>
    </w:p>
    <w:p>
      <w:pPr>
        <w:pStyle w:val="RoadmapCheck"/>
        <w:ind w:left="317" w:hanging="230"/>
      </w:pPr>
      <w:r>
        <w:rPr>
          <w:rFonts w:ascii="Aptos" w:hAnsi="Aptos"/>
          <w:b/>
          <w:color w:val="2C9468"/>
        </w:rPr>
        <w:t xml:space="preserve">[ ] </w:t>
      </w:r>
      <w:r>
        <w:rPr>
          <w:rFonts w:ascii="Aptos" w:hAnsi="Aptos"/>
        </w:rPr>
        <w:t>The whitepaper is clearly marked as a working, non-promotional technical document if shared outside the core team.</w:t>
      </w:r>
    </w:p>
    <w:p>
      <w:pPr>
        <w:spacing w:before="40" w:after="120" w:line="259" w:lineRule="auto"/>
      </w:pPr>
      <w:r>
        <w:rPr>
          <w:rFonts w:ascii="Aptos" w:hAnsi="Aptos"/>
          <w:b/>
          <w:color w:val="A8412F"/>
        </w:rPr>
        <w:t xml:space="preserve">Dependencies / cautions. </w:t>
      </w:r>
      <w:r>
        <w:rPr>
          <w:rFonts w:ascii="Aptos" w:hAnsi="Aptos"/>
          <w:color w:val="54626E"/>
        </w:rPr>
        <w:t>The exact replacement language should be counsel-reviewed. Do not use "screening" or "monitoring" casually if the product design and study plan do not support those use cases.</w:t>
      </w:r>
    </w:p>
    <w:p>
      <w:pPr>
        <w:spacing w:before="40" w:after="80"/>
        <w:pBdr>
          <w:bottom w:val="single" w:sz="4" w:space="1" w:color="D8E0E6"/>
        </w:pBdr>
      </w:pPr>
    </w:p>
    <w:p>
      <w:pPr>
        <w:pStyle w:val="Heading2"/>
        <w:keepNext/>
      </w:pPr>
      <w:r>
        <w:rPr>
          <w:rFonts w:ascii="Aptos Display" w:hAnsi="Aptos Display"/>
          <w:b/>
          <w:color w:val="0E1822"/>
          <w:sz w:val="28"/>
        </w:rPr>
        <w:t>a2  Add and control the investigational-device disclaimer</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Regulatory/Quality owns the standard language; Marketing and Clinical Operations deploy it</w:t>
            </w:r>
          </w:p>
        </w:tc>
      </w:tr>
    </w:tbl>
    <w:p>
      <w:pPr>
        <w:spacing w:before="80" w:after="100" w:line="259" w:lineRule="auto"/>
      </w:pPr>
      <w:r>
        <w:rPr>
          <w:rFonts w:ascii="Aptos" w:hAnsi="Aptos"/>
          <w:b/>
          <w:color w:val="0C7D80"/>
        </w:rPr>
        <w:t xml:space="preserve">Objective. </w:t>
      </w:r>
      <w:r>
        <w:rPr>
          <w:rFonts w:ascii="Aptos" w:hAnsi="Aptos"/>
        </w:rPr>
        <w:t>Make SonoHL's investigational status conspicuous and consistent wherever the device is described, demonstrated, studied or discussed externally.</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Establish one master investigational-status statement for public product descriptions, reviewed by counsel. The checklist proposes: "SonoHL is an investigational multi-channel acoustic sensing platform in clinical development. It is not cleared or approved by the FDA and is not available for sale. Limited by Federal law to investigational use."</w:t>
      </w:r>
    </w:p>
    <w:p>
      <w:pPr>
        <w:pStyle w:val="RoadmapBullet"/>
        <w:ind w:left="317" w:hanging="230"/>
      </w:pPr>
      <w:r>
        <w:rPr>
          <w:rFonts w:ascii="Aptos" w:hAnsi="Aptos"/>
          <w:b/>
          <w:color w:val="0C7D80"/>
        </w:rPr>
        <w:t xml:space="preserve">• </w:t>
      </w:r>
      <w:r>
        <w:rPr>
          <w:rFonts w:ascii="Aptos" w:hAnsi="Aptos"/>
        </w:rPr>
        <w:t>Define channel-specific variants for the website, whitepaper cover, brochures, conference booths, demo screens, recruitment materials, investor materials and payer pre-approval communications.</w:t>
      </w:r>
    </w:p>
    <w:p>
      <w:pPr>
        <w:pStyle w:val="RoadmapBullet"/>
        <w:ind w:left="317" w:hanging="230"/>
      </w:pPr>
      <w:r>
        <w:rPr>
          <w:rFonts w:ascii="Aptos" w:hAnsi="Aptos"/>
          <w:b/>
          <w:color w:val="0C7D80"/>
        </w:rPr>
        <w:t xml:space="preserve">• </w:t>
      </w:r>
      <w:r>
        <w:rPr>
          <w:rFonts w:ascii="Aptos" w:hAnsi="Aptos"/>
        </w:rPr>
        <w:t>Ensure study devices, packages and study-specific materials carry the required CAUTION investigational-use legend and that the wording is controlled in the labeling system.</w:t>
      </w:r>
    </w:p>
    <w:p>
      <w:pPr>
        <w:pStyle w:val="RoadmapBullet"/>
        <w:ind w:left="317" w:hanging="230"/>
      </w:pPr>
      <w:r>
        <w:rPr>
          <w:rFonts w:ascii="Aptos" w:hAnsi="Aptos"/>
          <w:b/>
          <w:color w:val="0C7D80"/>
        </w:rPr>
        <w:t xml:space="preserve">• </w:t>
      </w:r>
      <w:r>
        <w:rPr>
          <w:rFonts w:ascii="Aptos" w:hAnsi="Aptos"/>
        </w:rPr>
        <w:t>Place the disclaimer near the first substantive product description rather than relying only on a footer. Repeat it where content may be separated from the original page or slide.</w:t>
      </w:r>
    </w:p>
    <w:p>
      <w:pPr>
        <w:pStyle w:val="RoadmapBullet"/>
        <w:ind w:left="317" w:hanging="230"/>
      </w:pPr>
      <w:r>
        <w:rPr>
          <w:rFonts w:ascii="Aptos" w:hAnsi="Aptos"/>
          <w:b/>
          <w:color w:val="0C7D80"/>
        </w:rPr>
        <w:t xml:space="preserve">• </w:t>
      </w:r>
      <w:r>
        <w:rPr>
          <w:rFonts w:ascii="Aptos" w:hAnsi="Aptos"/>
        </w:rPr>
        <w:t>Create a release checklist so screenshots, reposts, downloadable PDFs and partner-hosted content retain the disclaimer.</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Counsel-approved master disclaimer and channel variants.</w:t>
      </w:r>
    </w:p>
    <w:p>
      <w:pPr>
        <w:pStyle w:val="RoadmapBullet"/>
        <w:ind w:left="317" w:hanging="230"/>
      </w:pPr>
      <w:r>
        <w:rPr>
          <w:rFonts w:ascii="Aptos" w:hAnsi="Aptos"/>
          <w:b/>
          <w:color w:val="0C7D80"/>
        </w:rPr>
        <w:t xml:space="preserve">• </w:t>
      </w:r>
      <w:r>
        <w:rPr>
          <w:rFonts w:ascii="Aptos" w:hAnsi="Aptos"/>
        </w:rPr>
        <w:t>Updated website/components and document templates.</w:t>
      </w:r>
    </w:p>
    <w:p>
      <w:pPr>
        <w:pStyle w:val="RoadmapBullet"/>
        <w:ind w:left="317" w:hanging="230"/>
      </w:pPr>
      <w:r>
        <w:rPr>
          <w:rFonts w:ascii="Aptos" w:hAnsi="Aptos"/>
          <w:b/>
          <w:color w:val="0C7D80"/>
        </w:rPr>
        <w:t xml:space="preserve">• </w:t>
      </w:r>
      <w:r>
        <w:rPr>
          <w:rFonts w:ascii="Aptos" w:hAnsi="Aptos"/>
        </w:rPr>
        <w:t>Study-label specification and verification record.</w:t>
      </w:r>
    </w:p>
    <w:p>
      <w:pPr>
        <w:pStyle w:val="RoadmapBullet"/>
        <w:ind w:left="317" w:hanging="230"/>
      </w:pPr>
      <w:r>
        <w:rPr>
          <w:rFonts w:ascii="Aptos" w:hAnsi="Aptos"/>
          <w:b/>
          <w:color w:val="0C7D80"/>
        </w:rPr>
        <w:t xml:space="preserve">• </w:t>
      </w:r>
      <w:r>
        <w:rPr>
          <w:rFonts w:ascii="Aptos" w:hAnsi="Aptos"/>
        </w:rPr>
        <w:t>Partner distribution instructions and takedown process for obsolete materials.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active external asset includes the correct status statement in a conspicuous location.</w:t>
      </w:r>
    </w:p>
    <w:p>
      <w:pPr>
        <w:pStyle w:val="RoadmapCheck"/>
        <w:ind w:left="317" w:hanging="230"/>
      </w:pPr>
      <w:r>
        <w:rPr>
          <w:rFonts w:ascii="Aptos" w:hAnsi="Aptos"/>
          <w:b/>
          <w:color w:val="2C9468"/>
        </w:rPr>
        <w:t xml:space="preserve">[ ] </w:t>
      </w:r>
      <w:r>
        <w:rPr>
          <w:rFonts w:ascii="Aptos" w:hAnsi="Aptos"/>
        </w:rPr>
        <w:t>Study labeling is approved, version-controlled and linked to the applicable protocol.</w:t>
      </w:r>
    </w:p>
    <w:p>
      <w:pPr>
        <w:pStyle w:val="RoadmapCheck"/>
        <w:ind w:left="317" w:hanging="230"/>
      </w:pPr>
      <w:r>
        <w:rPr>
          <w:rFonts w:ascii="Aptos" w:hAnsi="Aptos"/>
          <w:b/>
          <w:color w:val="2C9468"/>
        </w:rPr>
        <w:t xml:space="preserve">[ ] </w:t>
      </w:r>
      <w:r>
        <w:rPr>
          <w:rFonts w:ascii="Aptos" w:hAnsi="Aptos"/>
        </w:rPr>
        <w:t>A quarterly or release-based check confirms the disclaimer has not been removed by redesigns or partner reposting.</w:t>
      </w:r>
    </w:p>
    <w:p>
      <w:pPr>
        <w:spacing w:before="40" w:after="120" w:line="259" w:lineRule="auto"/>
      </w:pPr>
      <w:r>
        <w:rPr>
          <w:rFonts w:ascii="Aptos" w:hAnsi="Aptos"/>
          <w:b/>
          <w:color w:val="A8412F"/>
        </w:rPr>
        <w:t xml:space="preserve">Dependencies / cautions. </w:t>
      </w:r>
      <w:r>
        <w:rPr>
          <w:rFonts w:ascii="Aptos" w:hAnsi="Aptos"/>
          <w:color w:val="54626E"/>
        </w:rPr>
        <w:t>The disclaimer does not authorize promotion, test marketing, sales solicitation or claims of safety/effectiveness. It must accompany an otherwise compliant communication.</w:t>
      </w:r>
    </w:p>
    <w:p>
      <w:pPr>
        <w:spacing w:before="40" w:after="80"/>
        <w:pBdr>
          <w:bottom w:val="single" w:sz="4" w:space="1" w:color="D8E0E6"/>
        </w:pBdr>
      </w:pPr>
    </w:p>
    <w:p>
      <w:pPr>
        <w:pStyle w:val="Heading2"/>
        <w:keepNext/>
      </w:pPr>
      <w:r>
        <w:rPr>
          <w:rFonts w:ascii="Aptos Display" w:hAnsi="Aptos Display"/>
          <w:b/>
          <w:color w:val="0E1822"/>
          <w:sz w:val="28"/>
        </w:rPr>
        <w:t>a3  Draft a precise candidate intended-use and indications-for-use statement</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accountable; Clinical, Engineering/AI, Quality and Reimbursement co-author</w:t>
            </w:r>
          </w:p>
        </w:tc>
      </w:tr>
    </w:tbl>
    <w:p>
      <w:pPr>
        <w:spacing w:before="80" w:after="100" w:line="259" w:lineRule="auto"/>
      </w:pPr>
      <w:r>
        <w:rPr>
          <w:rFonts w:ascii="Aptos" w:hAnsi="Aptos"/>
          <w:b/>
          <w:color w:val="0C7D80"/>
        </w:rPr>
        <w:t xml:space="preserve">Objective. </w:t>
      </w:r>
      <w:r>
        <w:rPr>
          <w:rFonts w:ascii="Aptos" w:hAnsi="Aptos"/>
        </w:rPr>
        <w:t>Replace the current broad mix of screening, diagnostics and monitoring with one controlled regulatory hypothesis that defines exactly who uses SonoHL, for whom, where, for what purpose, with what inputs/outputs, and under what clinical oversight.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the first market indication narrowly: target patient population, age range, symptoms/risk factors, excluded populations, intended users, care setting, recording conditions, duration/frequency and whether the initial use is point-of-care assessment, longitudinal monitoring, or both.</w:t>
      </w:r>
    </w:p>
    <w:p>
      <w:pPr>
        <w:pStyle w:val="RoadmapBullet"/>
        <w:ind w:left="317" w:hanging="230"/>
      </w:pPr>
      <w:r>
        <w:rPr>
          <w:rFonts w:ascii="Aptos" w:hAnsi="Aptos"/>
          <w:b/>
          <w:color w:val="0C7D80"/>
        </w:rPr>
        <w:t xml:space="preserve">• </w:t>
      </w:r>
      <w:r>
        <w:rPr>
          <w:rFonts w:ascii="Aptos" w:hAnsi="Aptos"/>
        </w:rPr>
        <w:t>Define the output precisely: raw/processed acoustic recordings, signal-quality indicators, algorithmic flags, quantitative measures, trend information, or triage support. State what the output does not do.</w:t>
      </w:r>
    </w:p>
    <w:p>
      <w:pPr>
        <w:pStyle w:val="RoadmapBullet"/>
        <w:ind w:left="317" w:hanging="230"/>
      </w:pPr>
      <w:r>
        <w:rPr>
          <w:rFonts w:ascii="Aptos" w:hAnsi="Aptos"/>
          <w:b/>
          <w:color w:val="0C7D80"/>
        </w:rPr>
        <w:t xml:space="preserve">• </w:t>
      </w:r>
      <w:r>
        <w:rPr>
          <w:rFonts w:ascii="Aptos" w:hAnsi="Aptos"/>
        </w:rPr>
        <w:t>Define the clinician role and required over-read/report. Use assistive-to-augmentative logic unless the development program intentionally supports an autonomous claim.</w:t>
      </w:r>
    </w:p>
    <w:p>
      <w:pPr>
        <w:pStyle w:val="RoadmapBullet"/>
        <w:ind w:left="317" w:hanging="230"/>
      </w:pPr>
      <w:r>
        <w:rPr>
          <w:rFonts w:ascii="Aptos" w:hAnsi="Aptos"/>
          <w:b/>
          <w:color w:val="0C7D80"/>
        </w:rPr>
        <w:t xml:space="preserve">• </w:t>
      </w:r>
      <w:r>
        <w:rPr>
          <w:rFonts w:ascii="Aptos" w:hAnsi="Aptos"/>
        </w:rPr>
        <w:t>Separate cardiac and pulmonary claims if the evidence, predicates, algorithms or reference standards differ. A staged indication may be more feasible than one broad cardiopulmonary claim.</w:t>
      </w:r>
    </w:p>
    <w:p>
      <w:pPr>
        <w:pStyle w:val="RoadmapBullet"/>
        <w:ind w:left="317" w:hanging="230"/>
      </w:pPr>
      <w:r>
        <w:rPr>
          <w:rFonts w:ascii="Aptos" w:hAnsi="Aptos"/>
          <w:b/>
          <w:color w:val="0C7D80"/>
        </w:rPr>
        <w:t xml:space="preserve">• </w:t>
      </w:r>
      <w:r>
        <w:rPr>
          <w:rFonts w:ascii="Aptos" w:hAnsi="Aptos"/>
        </w:rPr>
        <w:t>Build a claims-to-evidence matrix showing the verification/validation evidence needed for every phrase in the candidate statement and every material limitation.</w:t>
      </w:r>
    </w:p>
    <w:p>
      <w:pPr>
        <w:pStyle w:val="RoadmapBullet"/>
        <w:ind w:left="317" w:hanging="230"/>
      </w:pPr>
      <w:r>
        <w:rPr>
          <w:rFonts w:ascii="Aptos" w:hAnsi="Aptos"/>
          <w:b/>
          <w:color w:val="0C7D80"/>
        </w:rPr>
        <w:t xml:space="preserve">• </w:t>
      </w:r>
      <w:r>
        <w:rPr>
          <w:rFonts w:ascii="Aptos" w:hAnsi="Aptos"/>
        </w:rPr>
        <w:t>Create an "out-of-scope claims" list so product, sales and study teams know which claims are deferred to later versions.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Candidate intended-use statement v1.0 and alternative narrower/broader options.</w:t>
      </w:r>
    </w:p>
    <w:p>
      <w:pPr>
        <w:pStyle w:val="RoadmapBullet"/>
        <w:ind w:left="317" w:hanging="230"/>
      </w:pPr>
      <w:r>
        <w:rPr>
          <w:rFonts w:ascii="Aptos" w:hAnsi="Aptos"/>
          <w:b/>
          <w:color w:val="0C7D80"/>
        </w:rPr>
        <w:t xml:space="preserve">• </w:t>
      </w:r>
      <w:r>
        <w:rPr>
          <w:rFonts w:ascii="Aptos" w:hAnsi="Aptos"/>
        </w:rPr>
        <w:t>Indications-for-use worksheet with population, user, setting, input, output, limitations and contraindications.</w:t>
      </w:r>
    </w:p>
    <w:p>
      <w:pPr>
        <w:pStyle w:val="RoadmapBullet"/>
        <w:ind w:left="317" w:hanging="230"/>
      </w:pPr>
      <w:r>
        <w:rPr>
          <w:rFonts w:ascii="Aptos" w:hAnsi="Aptos"/>
          <w:b/>
          <w:color w:val="0C7D80"/>
        </w:rPr>
        <w:t xml:space="preserve">• </w:t>
      </w:r>
      <w:r>
        <w:rPr>
          <w:rFonts w:ascii="Aptos" w:hAnsi="Aptos"/>
        </w:rPr>
        <w:t>Claims-to-evidence traceability matrix.</w:t>
      </w:r>
    </w:p>
    <w:p>
      <w:pPr>
        <w:pStyle w:val="RoadmapBullet"/>
        <w:ind w:left="317" w:hanging="230"/>
      </w:pPr>
      <w:r>
        <w:rPr>
          <w:rFonts w:ascii="Aptos" w:hAnsi="Aptos"/>
          <w:b/>
          <w:color w:val="0C7D80"/>
        </w:rPr>
        <w:t xml:space="preserve">• </w:t>
      </w:r>
      <w:r>
        <w:rPr>
          <w:rFonts w:ascii="Aptos" w:hAnsi="Aptos"/>
        </w:rPr>
        <w:t>Deferred-claims and future-indications roadmap.</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One candidate statement is selected as the program baseline and approved through document control.</w:t>
      </w:r>
    </w:p>
    <w:p>
      <w:pPr>
        <w:pStyle w:val="RoadmapCheck"/>
        <w:ind w:left="317" w:hanging="230"/>
      </w:pPr>
      <w:r>
        <w:rPr>
          <w:rFonts w:ascii="Aptos" w:hAnsi="Aptos"/>
          <w:b/>
          <w:color w:val="2C9468"/>
        </w:rPr>
        <w:t xml:space="preserve">[ ] </w:t>
      </w:r>
      <w:r>
        <w:rPr>
          <w:rFonts w:ascii="Aptos" w:hAnsi="Aptos"/>
        </w:rPr>
        <w:t>All product requirements, protocols, copy and reimbursement plans reference the same version.</w:t>
      </w:r>
    </w:p>
    <w:p>
      <w:pPr>
        <w:pStyle w:val="RoadmapCheck"/>
        <w:ind w:left="317" w:hanging="230"/>
      </w:pPr>
      <w:r>
        <w:rPr>
          <w:rFonts w:ascii="Aptos" w:hAnsi="Aptos"/>
          <w:b/>
          <w:color w:val="2C9468"/>
        </w:rPr>
        <w:t xml:space="preserve">[ ] </w:t>
      </w:r>
      <w:r>
        <w:rPr>
          <w:rFonts w:ascii="Aptos" w:hAnsi="Aptos"/>
        </w:rPr>
        <w:t>Unresolved wording questions are converted into explicit FDA Pre-Submission questions.</w:t>
      </w:r>
    </w:p>
    <w:p>
      <w:pPr>
        <w:spacing w:before="40" w:after="120" w:line="259" w:lineRule="auto"/>
      </w:pPr>
      <w:r>
        <w:rPr>
          <w:rFonts w:ascii="Aptos" w:hAnsi="Aptos"/>
          <w:b/>
          <w:color w:val="A8412F"/>
        </w:rPr>
        <w:t xml:space="preserve">Dependencies / cautions. </w:t>
      </w:r>
      <w:r>
        <w:rPr>
          <w:rFonts w:ascii="Aptos" w:hAnsi="Aptos"/>
          <w:color w:val="54626E"/>
        </w:rPr>
        <w:t>Do not assume the final authorized wording. FDA feedback, predicate availability, study results and risk classification may require a narrower or different indication.</w:t>
      </w:r>
    </w:p>
    <w:p>
      <w:pPr>
        <w:spacing w:before="40" w:after="80"/>
        <w:pBdr>
          <w:bottom w:val="single" w:sz="4" w:space="1" w:color="D8E0E6"/>
        </w:pBdr>
      </w:pPr>
    </w:p>
    <w:p>
      <w:pPr>
        <w:pStyle w:val="Heading2"/>
        <w:keepNext/>
      </w:pPr>
      <w:r>
        <w:rPr>
          <w:rFonts w:ascii="Aptos Display" w:hAnsi="Aptos Display"/>
          <w:b/>
          <w:color w:val="0E1822"/>
          <w:sz w:val="28"/>
        </w:rPr>
        <w:t>a4  Obtain formal FDA regulatory counsel review</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CEO/Executive sponsor commissions; Regulatory lead manages; external counsel documents advice</w:t>
            </w:r>
          </w:p>
        </w:tc>
      </w:tr>
    </w:tbl>
    <w:p>
      <w:pPr>
        <w:spacing w:before="80" w:after="100" w:line="259" w:lineRule="auto"/>
      </w:pPr>
      <w:r>
        <w:rPr>
          <w:rFonts w:ascii="Aptos" w:hAnsi="Aptos"/>
          <w:b/>
          <w:color w:val="0C7D80"/>
        </w:rPr>
        <w:t xml:space="preserve">Objective. </w:t>
      </w:r>
      <w:r>
        <w:rPr>
          <w:rFonts w:ascii="Aptos" w:hAnsi="Aptos"/>
        </w:rPr>
        <w:t>Convert informal positioning into a documented regulatory strategy and a defensible communications policy before significant clinical, engineering or commercial commitments are locked.</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Prepare a counsel packet containing the candidate intended use, product architecture, current prototype configuration, AI outputs, clinical workflow, risk analysis, trial synopsis, claims register, website/whitepaper redlines, predicate search, reimbursement pathway assumptions and proposed communications channels.</w:t>
      </w:r>
    </w:p>
    <w:p>
      <w:pPr>
        <w:pStyle w:val="RoadmapBullet"/>
        <w:ind w:left="317" w:hanging="230"/>
      </w:pPr>
      <w:r>
        <w:rPr>
          <w:rFonts w:ascii="Aptos" w:hAnsi="Aptos"/>
          <w:b/>
          <w:color w:val="0C7D80"/>
        </w:rPr>
        <w:t xml:space="preserve">• </w:t>
      </w:r>
      <w:r>
        <w:rPr>
          <w:rFonts w:ascii="Aptos" w:hAnsi="Aptos"/>
        </w:rPr>
        <w:t>Ask counsel to review classification, 510(k) versus De Novo logic, potential combination of hardware/software functions, IDE/IRB implications, investigational labeling, Breakthrough eligibility, payor communications and whether the proposed RPM/RTM design requirements are appropriately documented.</w:t>
      </w:r>
    </w:p>
    <w:p>
      <w:pPr>
        <w:pStyle w:val="RoadmapBullet"/>
        <w:ind w:left="317" w:hanging="230"/>
      </w:pPr>
      <w:r>
        <w:rPr>
          <w:rFonts w:ascii="Aptos" w:hAnsi="Aptos"/>
          <w:b/>
          <w:color w:val="0C7D80"/>
        </w:rPr>
        <w:t xml:space="preserve">• </w:t>
      </w:r>
      <w:r>
        <w:rPr>
          <w:rFonts w:ascii="Aptos" w:hAnsi="Aptos"/>
        </w:rPr>
        <w:t>Request written conclusions, unresolved questions, recommended FDA interactions, prohibited claims, acceptable status language and a prioritized action list.</w:t>
      </w:r>
    </w:p>
    <w:p>
      <w:pPr>
        <w:pStyle w:val="RoadmapBullet"/>
        <w:ind w:left="317" w:hanging="230"/>
      </w:pPr>
      <w:r>
        <w:rPr>
          <w:rFonts w:ascii="Aptos" w:hAnsi="Aptos"/>
          <w:b/>
          <w:color w:val="0C7D80"/>
        </w:rPr>
        <w:t xml:space="preserve">• </w:t>
      </w:r>
      <w:r>
        <w:rPr>
          <w:rFonts w:ascii="Aptos" w:hAnsi="Aptos"/>
        </w:rPr>
        <w:t>Log decisions in a regulatory decision record and update the intended-use baseline, design inputs, protocol and communications SOP.</w:t>
      </w:r>
    </w:p>
    <w:p>
      <w:pPr>
        <w:pStyle w:val="RoadmapBullet"/>
        <w:ind w:left="317" w:hanging="230"/>
      </w:pPr>
      <w:r>
        <w:rPr>
          <w:rFonts w:ascii="Aptos" w:hAnsi="Aptos"/>
          <w:b/>
          <w:color w:val="0C7D80"/>
        </w:rPr>
        <w:t xml:space="preserve">• </w:t>
      </w:r>
      <w:r>
        <w:rPr>
          <w:rFonts w:ascii="Aptos" w:hAnsi="Aptos"/>
        </w:rPr>
        <w:t>Schedule re-review at protocol lock, major product changes, FDA feedback, submission preparation and authorization.</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Counsel briefing book.</w:t>
      </w:r>
    </w:p>
    <w:p>
      <w:pPr>
        <w:pStyle w:val="RoadmapBullet"/>
        <w:ind w:left="317" w:hanging="230"/>
      </w:pPr>
      <w:r>
        <w:rPr>
          <w:rFonts w:ascii="Aptos" w:hAnsi="Aptos"/>
          <w:b/>
          <w:color w:val="0C7D80"/>
        </w:rPr>
        <w:t xml:space="preserve">• </w:t>
      </w:r>
      <w:r>
        <w:rPr>
          <w:rFonts w:ascii="Aptos" w:hAnsi="Aptos"/>
        </w:rPr>
        <w:t>Written regulatory strategy and communications memorandum.</w:t>
      </w:r>
    </w:p>
    <w:p>
      <w:pPr>
        <w:pStyle w:val="RoadmapBullet"/>
        <w:ind w:left="317" w:hanging="230"/>
      </w:pPr>
      <w:r>
        <w:rPr>
          <w:rFonts w:ascii="Aptos" w:hAnsi="Aptos"/>
          <w:b/>
          <w:color w:val="0C7D80"/>
        </w:rPr>
        <w:t xml:space="preserve">• </w:t>
      </w:r>
      <w:r>
        <w:rPr>
          <w:rFonts w:ascii="Aptos" w:hAnsi="Aptos"/>
        </w:rPr>
        <w:t>Decision/action log with owners and due dates.</w:t>
      </w:r>
    </w:p>
    <w:p>
      <w:pPr>
        <w:pStyle w:val="RoadmapBullet"/>
        <w:ind w:left="317" w:hanging="230"/>
      </w:pPr>
      <w:r>
        <w:rPr>
          <w:rFonts w:ascii="Aptos" w:hAnsi="Aptos"/>
          <w:b/>
          <w:color w:val="0C7D80"/>
        </w:rPr>
        <w:t xml:space="preserve">• </w:t>
      </w:r>
      <w:r>
        <w:rPr>
          <w:rFonts w:ascii="Aptos" w:hAnsi="Aptos"/>
        </w:rPr>
        <w:t>Approved website/whitepaper language or redline instructions.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Counsel has reviewed the actual product and evidence plan, not only generic copy.</w:t>
      </w:r>
    </w:p>
    <w:p>
      <w:pPr>
        <w:pStyle w:val="RoadmapCheck"/>
        <w:ind w:left="317" w:hanging="230"/>
      </w:pPr>
      <w:r>
        <w:rPr>
          <w:rFonts w:ascii="Aptos" w:hAnsi="Aptos"/>
          <w:b/>
          <w:color w:val="2C9468"/>
        </w:rPr>
        <w:t xml:space="preserve">[ ] </w:t>
      </w:r>
      <w:r>
        <w:rPr>
          <w:rFonts w:ascii="Aptos" w:hAnsi="Aptos"/>
        </w:rPr>
        <w:t>Every high-impact question has a written disposition or planned FDA question.</w:t>
      </w:r>
    </w:p>
    <w:p>
      <w:pPr>
        <w:pStyle w:val="RoadmapCheck"/>
        <w:ind w:left="317" w:hanging="230"/>
      </w:pPr>
      <w:r>
        <w:rPr>
          <w:rFonts w:ascii="Aptos" w:hAnsi="Aptos"/>
          <w:b/>
          <w:color w:val="2C9468"/>
        </w:rPr>
        <w:t xml:space="preserve">[ ] </w:t>
      </w:r>
      <w:r>
        <w:rPr>
          <w:rFonts w:ascii="Aptos" w:hAnsi="Aptos"/>
        </w:rPr>
        <w:t>The company can show who approved each external claim and why.</w:t>
      </w:r>
    </w:p>
    <w:p>
      <w:pPr>
        <w:spacing w:before="40" w:after="120" w:line="259" w:lineRule="auto"/>
      </w:pPr>
      <w:r>
        <w:rPr>
          <w:rFonts w:ascii="Aptos" w:hAnsi="Aptos"/>
          <w:b/>
          <w:color w:val="A8412F"/>
        </w:rPr>
        <w:t xml:space="preserve">Dependencies / cautions. </w:t>
      </w:r>
      <w:r>
        <w:rPr>
          <w:rFonts w:ascii="Aptos" w:hAnsi="Aptos"/>
          <w:color w:val="54626E"/>
        </w:rPr>
        <w:t>Counsel review should be supplemented by quality, cybersecurity, clinical and reimbursement expertise; no single advisor should be treated as the sole owner of all workstreams.</w:t>
      </w:r>
    </w:p>
    <w:p>
      <w:pPr>
        <w:spacing w:before="40" w:after="80"/>
        <w:pBdr>
          <w:bottom w:val="single" w:sz="4" w:space="1" w:color="D8E0E6"/>
        </w:pBdr>
      </w:pPr>
    </w:p>
    <w:p>
      <w:pPr>
        <w:pStyle w:val="Heading2"/>
        <w:keepNext/>
      </w:pPr>
      <w:r>
        <w:rPr>
          <w:rFonts w:ascii="Aptos Display" w:hAnsi="Aptos Display"/>
          <w:b/>
          <w:color w:val="0E1822"/>
          <w:sz w:val="28"/>
        </w:rPr>
        <w:t>a5  Route efficacy-adjacent communications through controlled channels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Medical Affairs/Regulatory Communications; Legal and Compliance approve channel rules</w:t>
            </w:r>
          </w:p>
        </w:tc>
      </w:tr>
    </w:tbl>
    <w:p>
      <w:pPr>
        <w:spacing w:before="80" w:after="100" w:line="259" w:lineRule="auto"/>
      </w:pPr>
      <w:r>
        <w:rPr>
          <w:rFonts w:ascii="Aptos" w:hAnsi="Aptos"/>
          <w:b/>
          <w:color w:val="0C7D80"/>
        </w:rPr>
        <w:t xml:space="preserve">Objective. </w:t>
      </w:r>
      <w:r>
        <w:rPr>
          <w:rFonts w:ascii="Aptos" w:hAnsi="Aptos"/>
        </w:rPr>
        <w:t>Allow legitimate scientific, investor and payer planning discussions without turning them into public promotion or creating inconsistent claims.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four communication classes: public/marketing; scientific exchange; payer/formulary/economic planning; and investor/corporate communications. Specify audience, permitted content, required disclosures, access controls and approvers for each.</w:t>
      </w:r>
    </w:p>
    <w:p>
      <w:pPr>
        <w:pStyle w:val="RoadmapBullet"/>
        <w:ind w:left="317" w:hanging="230"/>
      </w:pPr>
      <w:r>
        <w:rPr>
          <w:rFonts w:ascii="Aptos" w:hAnsi="Aptos"/>
          <w:b/>
          <w:color w:val="0C7D80"/>
        </w:rPr>
        <w:t xml:space="preserve">• </w:t>
      </w:r>
      <w:r>
        <w:rPr>
          <w:rFonts w:ascii="Aptos" w:hAnsi="Aptos"/>
        </w:rPr>
        <w:t>Create pre-approved templates for payer pre-approval information exchange that clearly state investigational status, anticipated indication/timeline, material uncertainty and evidence limitations.</w:t>
      </w:r>
    </w:p>
    <w:p>
      <w:pPr>
        <w:pStyle w:val="RoadmapBullet"/>
        <w:ind w:left="317" w:hanging="230"/>
      </w:pPr>
      <w:r>
        <w:rPr>
          <w:rFonts w:ascii="Aptos" w:hAnsi="Aptos"/>
          <w:b/>
          <w:color w:val="0C7D80"/>
        </w:rPr>
        <w:t xml:space="preserve">• </w:t>
      </w:r>
      <w:r>
        <w:rPr>
          <w:rFonts w:ascii="Aptos" w:hAnsi="Aptos"/>
        </w:rPr>
        <w:t>Separate investor content from product marketing and prohibit repurposing investor slides as public clinical claims.</w:t>
      </w:r>
    </w:p>
    <w:p>
      <w:pPr>
        <w:pStyle w:val="RoadmapBullet"/>
        <w:ind w:left="317" w:hanging="230"/>
      </w:pPr>
      <w:r>
        <w:rPr>
          <w:rFonts w:ascii="Aptos" w:hAnsi="Aptos"/>
          <w:b/>
          <w:color w:val="0C7D80"/>
        </w:rPr>
        <w:t xml:space="preserve">• </w:t>
      </w:r>
      <w:r>
        <w:rPr>
          <w:rFonts w:ascii="Aptos" w:hAnsi="Aptos"/>
        </w:rPr>
        <w:t>Create rules for responding to unsolicited clinical questions, presenting preliminary results, sharing posters/manuscripts and discussing future pricing or budget impact.</w:t>
      </w:r>
    </w:p>
    <w:p>
      <w:pPr>
        <w:pStyle w:val="RoadmapBullet"/>
        <w:ind w:left="317" w:hanging="230"/>
      </w:pPr>
      <w:r>
        <w:rPr>
          <w:rFonts w:ascii="Aptos" w:hAnsi="Aptos"/>
          <w:b/>
          <w:color w:val="0C7D80"/>
        </w:rPr>
        <w:t xml:space="preserve">• </w:t>
      </w:r>
      <w:r>
        <w:rPr>
          <w:rFonts w:ascii="Aptos" w:hAnsi="Aptos"/>
        </w:rPr>
        <w:t>Archive all substantive payer and scientific communications, including the evidence shared, audience and date, so later submissions remain consistent.</w:t>
      </w:r>
    </w:p>
    <w:p>
      <w:pPr>
        <w:pStyle w:val="RoadmapBullet"/>
        <w:ind w:left="317" w:hanging="230"/>
      </w:pPr>
      <w:r>
        <w:rPr>
          <w:rFonts w:ascii="Aptos" w:hAnsi="Aptos"/>
          <w:b/>
          <w:color w:val="0C7D80"/>
        </w:rPr>
        <w:t xml:space="preserve">• </w:t>
      </w:r>
      <w:r>
        <w:rPr>
          <w:rFonts w:ascii="Aptos" w:hAnsi="Aptos"/>
        </w:rPr>
        <w:t>Train founders, clinical investigators, business-development staff and social-media owners on the channel rules.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Communications classification SOP.</w:t>
      </w:r>
    </w:p>
    <w:p>
      <w:pPr>
        <w:pStyle w:val="RoadmapBullet"/>
        <w:ind w:left="317" w:hanging="230"/>
      </w:pPr>
      <w:r>
        <w:rPr>
          <w:rFonts w:ascii="Aptos" w:hAnsi="Aptos"/>
          <w:b/>
          <w:color w:val="0C7D80"/>
        </w:rPr>
        <w:t xml:space="preserve">• </w:t>
      </w:r>
      <w:r>
        <w:rPr>
          <w:rFonts w:ascii="Aptos" w:hAnsi="Aptos"/>
        </w:rPr>
        <w:t>Approved templates and mandatory disclosures.</w:t>
      </w:r>
    </w:p>
    <w:p>
      <w:pPr>
        <w:pStyle w:val="RoadmapBullet"/>
        <w:ind w:left="317" w:hanging="230"/>
      </w:pPr>
      <w:r>
        <w:rPr>
          <w:rFonts w:ascii="Aptos" w:hAnsi="Aptos"/>
          <w:b/>
          <w:color w:val="0C7D80"/>
        </w:rPr>
        <w:t xml:space="preserve">• </w:t>
      </w:r>
      <w:r>
        <w:rPr>
          <w:rFonts w:ascii="Aptos" w:hAnsi="Aptos"/>
        </w:rPr>
        <w:t>Training materials and completion log.</w:t>
      </w:r>
    </w:p>
    <w:p>
      <w:pPr>
        <w:pStyle w:val="RoadmapBullet"/>
        <w:ind w:left="317" w:hanging="230"/>
      </w:pPr>
      <w:r>
        <w:rPr>
          <w:rFonts w:ascii="Aptos" w:hAnsi="Aptos"/>
          <w:b/>
          <w:color w:val="0C7D80"/>
        </w:rPr>
        <w:t xml:space="preserve">• </w:t>
      </w:r>
      <w:r>
        <w:rPr>
          <w:rFonts w:ascii="Aptos" w:hAnsi="Aptos"/>
        </w:rPr>
        <w:t>Communication archive and issue-escalation process.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external team member knows which channel they are using and who must approve the content.</w:t>
      </w:r>
    </w:p>
    <w:p>
      <w:pPr>
        <w:pStyle w:val="RoadmapCheck"/>
        <w:ind w:left="317" w:hanging="230"/>
      </w:pPr>
      <w:r>
        <w:rPr>
          <w:rFonts w:ascii="Aptos" w:hAnsi="Aptos"/>
          <w:b/>
          <w:color w:val="2C9468"/>
        </w:rPr>
        <w:t xml:space="preserve">[ ] </w:t>
      </w:r>
      <w:r>
        <w:rPr>
          <w:rFonts w:ascii="Aptos" w:hAnsi="Aptos"/>
        </w:rPr>
        <w:t>No efficacy-adjacent content is published publicly by default.</w:t>
      </w:r>
    </w:p>
    <w:p>
      <w:pPr>
        <w:pStyle w:val="RoadmapCheck"/>
        <w:ind w:left="317" w:hanging="230"/>
      </w:pPr>
      <w:r>
        <w:rPr>
          <w:rFonts w:ascii="Aptos" w:hAnsi="Aptos"/>
          <w:b/>
          <w:color w:val="2C9468"/>
        </w:rPr>
        <w:t xml:space="preserve">[ ] </w:t>
      </w:r>
      <w:r>
        <w:rPr>
          <w:rFonts w:ascii="Aptos" w:hAnsi="Aptos"/>
        </w:rPr>
        <w:t>Payer and scientific communications are truthful, non-misleading, documented and aligned with current evidence.</w:t>
      </w:r>
    </w:p>
    <w:p>
      <w:pPr>
        <w:spacing w:before="40" w:after="120" w:line="259" w:lineRule="auto"/>
      </w:pPr>
      <w:r>
        <w:rPr>
          <w:rFonts w:ascii="Aptos" w:hAnsi="Aptos"/>
          <w:b/>
          <w:color w:val="A8412F"/>
        </w:rPr>
        <w:t xml:space="preserve">Dependencies / cautions. </w:t>
      </w:r>
      <w:r>
        <w:rPr>
          <w:rFonts w:ascii="Aptos" w:hAnsi="Aptos"/>
          <w:color w:val="54626E"/>
        </w:rPr>
        <w:t>FDA guidance and legislation on pre-approval information exchange evolve. Counsel should confirm the current framework before each major payer campaign.</w:t>
      </w:r>
    </w:p>
    <w:p>
      <w:pPr>
        <w:spacing w:before="40" w:after="80"/>
        <w:pBdr>
          <w:bottom w:val="single" w:sz="4" w:space="1" w:color="D8E0E6"/>
        </w:pBdr>
      </w:pPr>
    </w:p>
    <w:p>
      <w:pPr>
        <w:pStyle w:val="Heading1"/>
      </w:pPr>
      <w:r>
        <w:t>Stage 01 - FDA pathway and reimbursement-aligned product definition</w:t>
      </w:r>
    </w:p>
    <w:p>
      <w:pPr>
        <w:pStyle w:val="Heading2"/>
        <w:keepNext/>
      </w:pPr>
      <w:r>
        <w:rPr>
          <w:rFonts w:ascii="Aptos Display" w:hAnsi="Aptos Display"/>
          <w:b/>
          <w:color w:val="0E1822"/>
          <w:sz w:val="28"/>
        </w:rPr>
        <w:t>b0  Choose and document the FDA marketing-authorization route</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Quality, Clinical and Engineering provide evidence; Executive team approves</w:t>
            </w:r>
          </w:p>
        </w:tc>
      </w:tr>
    </w:tbl>
    <w:p>
      <w:pPr>
        <w:spacing w:before="80" w:after="100" w:line="259" w:lineRule="auto"/>
      </w:pPr>
      <w:r>
        <w:rPr>
          <w:rFonts w:ascii="Aptos" w:hAnsi="Aptos"/>
          <w:b/>
          <w:color w:val="0C7D80"/>
        </w:rPr>
        <w:t xml:space="preserve">Objective. </w:t>
      </w:r>
      <w:r>
        <w:rPr>
          <w:rFonts w:ascii="Aptos" w:hAnsi="Aptos"/>
        </w:rPr>
        <w:t>Select the most defensible route for the first product indication and build the development plan around it, while keeping contingency options if predicate or classification assumptions change.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Complete a product classification and predicate landscape covering wearable acoustic capture, digital stethoscope functions, cardiopulmonary signal processing, clinical decision-support software, AI/ML outputs and remote-monitoring functions.</w:t>
      </w:r>
    </w:p>
    <w:p>
      <w:pPr>
        <w:pStyle w:val="RoadmapBullet"/>
        <w:ind w:left="317" w:hanging="230"/>
      </w:pPr>
      <w:r>
        <w:rPr>
          <w:rFonts w:ascii="Aptos" w:hAnsi="Aptos"/>
          <w:b/>
          <w:color w:val="0C7D80"/>
        </w:rPr>
        <w:t xml:space="preserve">• </w:t>
      </w:r>
      <w:r>
        <w:rPr>
          <w:rFonts w:ascii="Aptos" w:hAnsi="Aptos"/>
        </w:rPr>
        <w:t>Compare 510(k) and De Novo pathways against intended use, technological characteristics, risk controls, available predicates, special controls and evidence burden. Do not label the device Class II as a settled fact until the analysis supports it.</w:t>
      </w:r>
    </w:p>
    <w:p>
      <w:pPr>
        <w:pStyle w:val="RoadmapBullet"/>
        <w:ind w:left="317" w:hanging="230"/>
      </w:pPr>
      <w:r>
        <w:rPr>
          <w:rFonts w:ascii="Aptos" w:hAnsi="Aptos"/>
          <w:b/>
          <w:color w:val="0C7D80"/>
        </w:rPr>
        <w:t xml:space="preserve">• </w:t>
      </w:r>
      <w:r>
        <w:rPr>
          <w:rFonts w:ascii="Aptos" w:hAnsi="Aptos"/>
        </w:rPr>
        <w:t>Decide whether the first submission covers hardware plus software, a platform with separate algorithms, or staged functions. Document how future cardiac/pulmonary algorithms would be added or modified.</w:t>
      </w:r>
    </w:p>
    <w:p>
      <w:pPr>
        <w:pStyle w:val="RoadmapBullet"/>
        <w:ind w:left="317" w:hanging="230"/>
      </w:pPr>
      <w:r>
        <w:rPr>
          <w:rFonts w:ascii="Aptos" w:hAnsi="Aptos"/>
          <w:b/>
          <w:color w:val="0C7D80"/>
        </w:rPr>
        <w:t xml:space="preserve">• </w:t>
      </w:r>
      <w:r>
        <w:rPr>
          <w:rFonts w:ascii="Aptos" w:hAnsi="Aptos"/>
        </w:rPr>
        <w:t>Develop an FDA Pre-Submission package with focused questions on classification, predicates, indications, clinical design, software/AI documentation, human factors, cybersecurity and remote use.</w:t>
      </w:r>
    </w:p>
    <w:p>
      <w:pPr>
        <w:pStyle w:val="RoadmapBullet"/>
        <w:ind w:left="317" w:hanging="230"/>
      </w:pPr>
      <w:r>
        <w:rPr>
          <w:rFonts w:ascii="Aptos" w:hAnsi="Aptos"/>
          <w:b/>
          <w:color w:val="0C7D80"/>
        </w:rPr>
        <w:t xml:space="preserve">• </w:t>
      </w:r>
      <w:r>
        <w:rPr>
          <w:rFonts w:ascii="Aptos" w:hAnsi="Aptos"/>
        </w:rPr>
        <w:t>Integrate the selected route into the design-development plan, QMS milestones, verification/validation matrix and budget.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Regulatory pathway and predicate memorandum.</w:t>
      </w:r>
    </w:p>
    <w:p>
      <w:pPr>
        <w:pStyle w:val="RoadmapBullet"/>
        <w:ind w:left="317" w:hanging="230"/>
      </w:pPr>
      <w:r>
        <w:rPr>
          <w:rFonts w:ascii="Aptos" w:hAnsi="Aptos"/>
          <w:b/>
          <w:color w:val="0C7D80"/>
        </w:rPr>
        <w:t xml:space="preserve">• </w:t>
      </w:r>
      <w:r>
        <w:rPr>
          <w:rFonts w:ascii="Aptos" w:hAnsi="Aptos"/>
        </w:rPr>
        <w:t>510(k)/De Novo decision matrix and contingency plan.</w:t>
      </w:r>
    </w:p>
    <w:p>
      <w:pPr>
        <w:pStyle w:val="RoadmapBullet"/>
        <w:ind w:left="317" w:hanging="230"/>
      </w:pPr>
      <w:r>
        <w:rPr>
          <w:rFonts w:ascii="Aptos" w:hAnsi="Aptos"/>
          <w:b/>
          <w:color w:val="0C7D80"/>
        </w:rPr>
        <w:t xml:space="preserve">• </w:t>
      </w:r>
      <w:r>
        <w:rPr>
          <w:rFonts w:ascii="Aptos" w:hAnsi="Aptos"/>
        </w:rPr>
        <w:t>FDA Pre-Submission briefing package and meeting plan.</w:t>
      </w:r>
    </w:p>
    <w:p>
      <w:pPr>
        <w:pStyle w:val="RoadmapBullet"/>
        <w:ind w:left="317" w:hanging="230"/>
      </w:pPr>
      <w:r>
        <w:rPr>
          <w:rFonts w:ascii="Aptos" w:hAnsi="Aptos"/>
          <w:b/>
          <w:color w:val="0C7D80"/>
        </w:rPr>
        <w:t xml:space="preserve">• </w:t>
      </w:r>
      <w:r>
        <w:rPr>
          <w:rFonts w:ascii="Aptos" w:hAnsi="Aptos"/>
        </w:rPr>
        <w:t>Integrated regulatory development schedule.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Executive and technical teams approve one primary route and one fallback route.</w:t>
      </w:r>
    </w:p>
    <w:p>
      <w:pPr>
        <w:pStyle w:val="RoadmapCheck"/>
        <w:ind w:left="317" w:hanging="230"/>
      </w:pPr>
      <w:r>
        <w:rPr>
          <w:rFonts w:ascii="Aptos" w:hAnsi="Aptos"/>
          <w:b/>
          <w:color w:val="2C9468"/>
        </w:rPr>
        <w:t xml:space="preserve">[ ] </w:t>
      </w:r>
      <w:r>
        <w:rPr>
          <w:rFonts w:ascii="Aptos" w:hAnsi="Aptos"/>
        </w:rPr>
        <w:t>FDA questions are prioritized and supported by sufficient product detail.</w:t>
      </w:r>
    </w:p>
    <w:p>
      <w:pPr>
        <w:pStyle w:val="RoadmapCheck"/>
        <w:ind w:left="317" w:hanging="230"/>
      </w:pPr>
      <w:r>
        <w:rPr>
          <w:rFonts w:ascii="Aptos" w:hAnsi="Aptos"/>
          <w:b/>
          <w:color w:val="2C9468"/>
        </w:rPr>
        <w:t xml:space="preserve">[ ] </w:t>
      </w:r>
      <w:r>
        <w:rPr>
          <w:rFonts w:ascii="Aptos" w:hAnsi="Aptos"/>
        </w:rPr>
        <w:t>The study and design plans reflect the selected pathway and anticipated controls.</w:t>
      </w:r>
    </w:p>
    <w:p>
      <w:pPr>
        <w:spacing w:before="40" w:after="120" w:line="259" w:lineRule="auto"/>
      </w:pPr>
      <w:r>
        <w:rPr>
          <w:rFonts w:ascii="Aptos" w:hAnsi="Aptos"/>
          <w:b/>
          <w:color w:val="A8412F"/>
        </w:rPr>
        <w:t xml:space="preserve">Dependencies / cautions. </w:t>
      </w:r>
      <w:r>
        <w:rPr>
          <w:rFonts w:ascii="Aptos" w:hAnsi="Aptos"/>
          <w:color w:val="54626E"/>
        </w:rPr>
        <w:t>A broad multi-condition, diagnostic or autonomous claim may materially change the route and evidence burden. Reassess after FDA feedback and major algorithm changes.</w:t>
      </w:r>
    </w:p>
    <w:p>
      <w:pPr>
        <w:spacing w:before="40" w:after="80"/>
        <w:pBdr>
          <w:bottom w:val="single" w:sz="4" w:space="1" w:color="D8E0E6"/>
        </w:pBdr>
      </w:pPr>
    </w:p>
    <w:p>
      <w:pPr>
        <w:pStyle w:val="Heading2"/>
        <w:keepNext/>
      </w:pPr>
      <w:r>
        <w:rPr>
          <w:rFonts w:ascii="Aptos Display" w:hAnsi="Aptos Display"/>
          <w:b/>
          <w:color w:val="0E1822"/>
          <w:sz w:val="28"/>
        </w:rPr>
        <w:t>b1  Evaluate FDA Breakthrough Device designation</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(decision and, if supported, designation request)</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 Clinical lead; Executive sponsor approves filing</w:t>
            </w:r>
          </w:p>
        </w:tc>
      </w:tr>
    </w:tbl>
    <w:p>
      <w:pPr>
        <w:spacing w:before="80" w:after="100" w:line="259" w:lineRule="auto"/>
      </w:pPr>
      <w:r>
        <w:rPr>
          <w:rFonts w:ascii="Aptos" w:hAnsi="Aptos"/>
          <w:b/>
          <w:color w:val="0C7D80"/>
        </w:rPr>
        <w:t xml:space="preserve">Objective. </w:t>
      </w:r>
      <w:r>
        <w:rPr>
          <w:rFonts w:ascii="Aptos" w:hAnsi="Aptos"/>
        </w:rPr>
        <w:t>Determine whether SonoHL can credibly meet Breakthrough criteria and whether the benefits of designation justify the evidence, timing and program commitments.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Identify the specific life-threatening or irreversibly debilitating condition(s) addressed by the proposed first indication; avoid relying on a generic cardiopulmonary access narrative.</w:t>
      </w:r>
    </w:p>
    <w:p>
      <w:pPr>
        <w:pStyle w:val="RoadmapBullet"/>
        <w:ind w:left="317" w:hanging="230"/>
      </w:pPr>
      <w:r>
        <w:rPr>
          <w:rFonts w:ascii="Aptos" w:hAnsi="Aptos"/>
          <w:b/>
          <w:color w:val="0C7D80"/>
        </w:rPr>
        <w:t xml:space="preserve">• </w:t>
      </w:r>
      <w:r>
        <w:rPr>
          <w:rFonts w:ascii="Aptos" w:hAnsi="Aptos"/>
        </w:rPr>
        <w:t>Assess whether SonoHL offers more effective diagnosis/treatment support and whether it represents breakthrough technology, lacks approved alternatives, offers significant advantages over alternatives, or is otherwise in patients' best interest under the applicable criteria.</w:t>
      </w:r>
    </w:p>
    <w:p>
      <w:pPr>
        <w:pStyle w:val="RoadmapBullet"/>
        <w:ind w:left="317" w:hanging="230"/>
      </w:pPr>
      <w:r>
        <w:rPr>
          <w:rFonts w:ascii="Aptos" w:hAnsi="Aptos"/>
          <w:b/>
          <w:color w:val="0C7D80"/>
        </w:rPr>
        <w:t xml:space="preserve">• </w:t>
      </w:r>
      <w:r>
        <w:rPr>
          <w:rFonts w:ascii="Aptos" w:hAnsi="Aptos"/>
        </w:rPr>
        <w:t>Compile preliminary clinical/technical evidence, unmet-need data, comparator limitations and health-disparity/access rationale.</w:t>
      </w:r>
    </w:p>
    <w:p>
      <w:pPr>
        <w:pStyle w:val="RoadmapBullet"/>
        <w:ind w:left="317" w:hanging="230"/>
      </w:pPr>
      <w:r>
        <w:rPr>
          <w:rFonts w:ascii="Aptos" w:hAnsi="Aptos"/>
          <w:b/>
          <w:color w:val="0C7D80"/>
        </w:rPr>
        <w:t xml:space="preserve">• </w:t>
      </w:r>
      <w:r>
        <w:rPr>
          <w:rFonts w:ascii="Aptos" w:hAnsi="Aptos"/>
        </w:rPr>
        <w:t>Map designation consequences: FDA interaction opportunities, potential TAP/RAPID eligibility, evidence-development expectations, resource requirements and the risk of overstating superiority.</w:t>
      </w:r>
    </w:p>
    <w:p>
      <w:pPr>
        <w:pStyle w:val="RoadmapBullet"/>
        <w:ind w:left="317" w:hanging="230"/>
      </w:pPr>
      <w:r>
        <w:rPr>
          <w:rFonts w:ascii="Aptos" w:hAnsi="Aptos"/>
          <w:b/>
          <w:color w:val="0C7D80"/>
        </w:rPr>
        <w:t xml:space="preserve">• </w:t>
      </w:r>
      <w:r>
        <w:rPr>
          <w:rFonts w:ascii="Aptos" w:hAnsi="Aptos"/>
        </w:rPr>
        <w:t>Conduct a counsel-reviewed go/no-go meeting. If "go," draft and submit the designation request early enough to influence the development program.</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Breakthrough eligibility assessment.</w:t>
      </w:r>
    </w:p>
    <w:p>
      <w:pPr>
        <w:pStyle w:val="RoadmapBullet"/>
        <w:ind w:left="317" w:hanging="230"/>
      </w:pPr>
      <w:r>
        <w:rPr>
          <w:rFonts w:ascii="Aptos" w:hAnsi="Aptos"/>
          <w:b/>
          <w:color w:val="0C7D80"/>
        </w:rPr>
        <w:t xml:space="preserve">• </w:t>
      </w:r>
      <w:r>
        <w:rPr>
          <w:rFonts w:ascii="Aptos" w:hAnsi="Aptos"/>
        </w:rPr>
        <w:t>Evidence gap list and designation request draft.</w:t>
      </w:r>
    </w:p>
    <w:p>
      <w:pPr>
        <w:pStyle w:val="RoadmapBullet"/>
        <w:ind w:left="317" w:hanging="230"/>
      </w:pPr>
      <w:r>
        <w:rPr>
          <w:rFonts w:ascii="Aptos" w:hAnsi="Aptos"/>
          <w:b/>
          <w:color w:val="0C7D80"/>
        </w:rPr>
        <w:t xml:space="preserve">• </w:t>
      </w:r>
      <w:r>
        <w:rPr>
          <w:rFonts w:ascii="Aptos" w:hAnsi="Aptos"/>
        </w:rPr>
        <w:t>Go/no-go decision record.</w:t>
      </w:r>
    </w:p>
    <w:p>
      <w:pPr>
        <w:pStyle w:val="RoadmapBullet"/>
        <w:ind w:left="317" w:hanging="230"/>
      </w:pPr>
      <w:r>
        <w:rPr>
          <w:rFonts w:ascii="Aptos" w:hAnsi="Aptos"/>
          <w:b/>
          <w:color w:val="0C7D80"/>
        </w:rPr>
        <w:t xml:space="preserve">• </w:t>
      </w:r>
      <w:r>
        <w:rPr>
          <w:rFonts w:ascii="Aptos" w:hAnsi="Aptos"/>
        </w:rPr>
        <w:t>If filed, FDA correspondence and action plan.</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has a written, evidence-based decision rather than treating Breakthrough as a marketing label.</w:t>
      </w:r>
    </w:p>
    <w:p>
      <w:pPr>
        <w:pStyle w:val="RoadmapCheck"/>
        <w:ind w:left="317" w:hanging="230"/>
      </w:pPr>
      <w:r>
        <w:rPr>
          <w:rFonts w:ascii="Aptos" w:hAnsi="Aptos"/>
          <w:b/>
          <w:color w:val="2C9468"/>
        </w:rPr>
        <w:t xml:space="preserve">[ ] </w:t>
      </w:r>
      <w:r>
        <w:rPr>
          <w:rFonts w:ascii="Aptos" w:hAnsi="Aptos"/>
        </w:rPr>
        <w:t>If filing, the claim, condition, comparator and advantage are narrowly defined and consistent with the intended use.</w:t>
      </w:r>
    </w:p>
    <w:p>
      <w:pPr>
        <w:pStyle w:val="RoadmapCheck"/>
        <w:ind w:left="317" w:hanging="230"/>
      </w:pPr>
      <w:r>
        <w:rPr>
          <w:rFonts w:ascii="Aptos" w:hAnsi="Aptos"/>
          <w:b/>
          <w:color w:val="2C9468"/>
        </w:rPr>
        <w:t xml:space="preserve">[ ] </w:t>
      </w:r>
      <w:r>
        <w:rPr>
          <w:rFonts w:ascii="Aptos" w:hAnsi="Aptos"/>
        </w:rPr>
        <w:t>Coverage strategy is not built entirely on designation or RAPID availability.</w:t>
      </w:r>
    </w:p>
    <w:p>
      <w:pPr>
        <w:spacing w:before="40" w:after="120" w:line="259" w:lineRule="auto"/>
      </w:pPr>
      <w:r>
        <w:rPr>
          <w:rFonts w:ascii="Aptos" w:hAnsi="Aptos"/>
          <w:b/>
          <w:color w:val="A8412F"/>
        </w:rPr>
        <w:t xml:space="preserve">Dependencies / cautions. </w:t>
      </w:r>
      <w:r>
        <w:rPr>
          <w:rFonts w:ascii="Aptos" w:hAnsi="Aptos"/>
          <w:color w:val="54626E"/>
        </w:rPr>
        <w:t>Breakthrough designation does not lower the statutory safety/effectiveness standard or guarantee coverage/payment. RAPID remains a developing pathway and should be treated as conditional.</w:t>
      </w:r>
    </w:p>
    <w:p>
      <w:pPr>
        <w:spacing w:before="40" w:after="80"/>
        <w:pBdr>
          <w:bottom w:val="single" w:sz="4" w:space="1" w:color="D8E0E6"/>
        </w:pBdr>
      </w:pPr>
    </w:p>
    <w:p>
      <w:pPr>
        <w:pStyle w:val="Heading2"/>
        <w:keepNext/>
      </w:pPr>
      <w:r>
        <w:rPr>
          <w:rFonts w:ascii="Aptos Display" w:hAnsi="Aptos Display"/>
          <w:b/>
          <w:color w:val="0E1822"/>
          <w:sz w:val="28"/>
        </w:rPr>
        <w:t>b2  Build reimbursement gating requirements into product design and labeling</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Product/Systems Engineering accountable; Regulatory, Quality, Clinical Operations and Reimbursement approve</w:t>
            </w:r>
          </w:p>
        </w:tc>
      </w:tr>
    </w:tbl>
    <w:p>
      <w:pPr>
        <w:spacing w:before="80" w:after="100" w:line="259" w:lineRule="auto"/>
      </w:pPr>
      <w:r>
        <w:rPr>
          <w:rFonts w:ascii="Aptos" w:hAnsi="Aptos"/>
          <w:b/>
          <w:color w:val="0C7D80"/>
        </w:rPr>
        <w:t xml:space="preserve">Objective. </w:t>
      </w:r>
      <w:r>
        <w:rPr>
          <w:rFonts w:ascii="Aptos" w:hAnsi="Aptos"/>
        </w:rPr>
        <w:t>Ensure the product that is submitted to FDA can support the intended remote-monitoring workflow rather than trying to retrofit code eligibility after authorization.</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 requirements crosswalk for each candidate RPM/RTM code: device status, physiologic versus therapeutic data, automatic collection/transmission, minimum data days, setup/education, treatment-management time, interactive communication, practitioner roles, patient setting and documentation.</w:t>
      </w:r>
    </w:p>
    <w:p>
      <w:pPr>
        <w:pStyle w:val="RoadmapBullet"/>
        <w:ind w:left="317" w:hanging="230"/>
      </w:pPr>
      <w:r>
        <w:rPr>
          <w:rFonts w:ascii="Aptos" w:hAnsi="Aptos"/>
          <w:b/>
          <w:color w:val="0C7D80"/>
        </w:rPr>
        <w:t xml:space="preserve">• </w:t>
      </w:r>
      <w:r>
        <w:rPr>
          <w:rFonts w:ascii="Aptos" w:hAnsi="Aptos"/>
        </w:rPr>
        <w:t>Define automatic collection and transmission end to end: sensor acquisition, timestamping, device identity, patient association, data quality checks, connectivity, retransmission, completeness, audit trail and clinician availability. Identify any manual steps that could undermine the intended pathway.</w:t>
      </w:r>
    </w:p>
    <w:p>
      <w:pPr>
        <w:pStyle w:val="RoadmapBullet"/>
        <w:ind w:left="317" w:hanging="230"/>
      </w:pPr>
      <w:r>
        <w:rPr>
          <w:rFonts w:ascii="Aptos" w:hAnsi="Aptos"/>
          <w:b/>
          <w:color w:val="0C7D80"/>
        </w:rPr>
        <w:t xml:space="preserve">• </w:t>
      </w:r>
      <w:r>
        <w:rPr>
          <w:rFonts w:ascii="Aptos" w:hAnsi="Aptos"/>
        </w:rPr>
        <w:t>Define the monitored parameters and explain why they are physiologic or therapeutic. Acoustic recordings alone may require careful coding analysis; do not assume fit solely because data are collected remotely.</w:t>
      </w:r>
    </w:p>
    <w:p>
      <w:pPr>
        <w:pStyle w:val="RoadmapBullet"/>
        <w:ind w:left="317" w:hanging="230"/>
      </w:pPr>
      <w:r>
        <w:rPr>
          <w:rFonts w:ascii="Aptos" w:hAnsi="Aptos"/>
          <w:b/>
          <w:color w:val="0C7D80"/>
        </w:rPr>
        <w:t xml:space="preserve">• </w:t>
      </w:r>
      <w:r>
        <w:rPr>
          <w:rFonts w:ascii="Aptos" w:hAnsi="Aptos"/>
        </w:rPr>
        <w:t>Create product requirements for dashboards, alerts, report generation, physician review, escalation, failed recordings, patient education and monthly/episodic workflows.</w:t>
      </w:r>
    </w:p>
    <w:p>
      <w:pPr>
        <w:pStyle w:val="RoadmapBullet"/>
        <w:ind w:left="317" w:hanging="230"/>
      </w:pPr>
      <w:r>
        <w:rPr>
          <w:rFonts w:ascii="Aptos" w:hAnsi="Aptos"/>
          <w:b/>
          <w:color w:val="0C7D80"/>
        </w:rPr>
        <w:t xml:space="preserve">• </w:t>
      </w:r>
      <w:r>
        <w:rPr>
          <w:rFonts w:ascii="Aptos" w:hAnsi="Aptos"/>
        </w:rPr>
        <w:t>Verify cybersecurity, privacy, consent, access controls, data retention, interoperability and logging needed for clinical use and payer audits.</w:t>
      </w:r>
    </w:p>
    <w:p>
      <w:pPr>
        <w:pStyle w:val="RoadmapBullet"/>
        <w:ind w:left="317" w:hanging="230"/>
      </w:pPr>
      <w:r>
        <w:rPr>
          <w:rFonts w:ascii="Aptos" w:hAnsi="Aptos"/>
          <w:b/>
          <w:color w:val="0C7D80"/>
        </w:rPr>
        <w:t xml:space="preserve">• </w:t>
      </w:r>
      <w:r>
        <w:rPr>
          <w:rFonts w:ascii="Aptos" w:hAnsi="Aptos"/>
        </w:rPr>
        <w:t>Trace every reimbursement-critical design input to verification evidence and proposed labeling/IFU content.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Code-to-product requirements traceability matrix.</w:t>
      </w:r>
    </w:p>
    <w:p>
      <w:pPr>
        <w:pStyle w:val="RoadmapBullet"/>
        <w:ind w:left="317" w:hanging="230"/>
      </w:pPr>
      <w:r>
        <w:rPr>
          <w:rFonts w:ascii="Aptos" w:hAnsi="Aptos"/>
          <w:b/>
          <w:color w:val="0C7D80"/>
        </w:rPr>
        <w:t xml:space="preserve">• </w:t>
      </w:r>
      <w:r>
        <w:rPr>
          <w:rFonts w:ascii="Aptos" w:hAnsi="Aptos"/>
        </w:rPr>
        <w:t>Remote monitoring system and data-flow specification.</w:t>
      </w:r>
    </w:p>
    <w:p>
      <w:pPr>
        <w:pStyle w:val="RoadmapBullet"/>
        <w:ind w:left="317" w:hanging="230"/>
      </w:pPr>
      <w:r>
        <w:rPr>
          <w:rFonts w:ascii="Aptos" w:hAnsi="Aptos"/>
          <w:b/>
          <w:color w:val="0C7D80"/>
        </w:rPr>
        <w:t xml:space="preserve">• </w:t>
      </w:r>
      <w:r>
        <w:rPr>
          <w:rFonts w:ascii="Aptos" w:hAnsi="Aptos"/>
        </w:rPr>
        <w:t>Verification plan for automatic capture/transmission and data completeness.</w:t>
      </w:r>
    </w:p>
    <w:p>
      <w:pPr>
        <w:pStyle w:val="RoadmapBullet"/>
        <w:ind w:left="317" w:hanging="230"/>
      </w:pPr>
      <w:r>
        <w:rPr>
          <w:rFonts w:ascii="Aptos" w:hAnsi="Aptos"/>
          <w:b/>
          <w:color w:val="0C7D80"/>
        </w:rPr>
        <w:t xml:space="preserve">• </w:t>
      </w:r>
      <w:r>
        <w:rPr>
          <w:rFonts w:ascii="Aptos" w:hAnsi="Aptos"/>
        </w:rPr>
        <w:t>Draft labeling/IFU content describing remote workflow and limitations.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reimbursement-critical requirement has an owner, test method and acceptance criterion.</w:t>
      </w:r>
    </w:p>
    <w:p>
      <w:pPr>
        <w:pStyle w:val="RoadmapCheck"/>
        <w:ind w:left="317" w:hanging="230"/>
      </w:pPr>
      <w:r>
        <w:rPr>
          <w:rFonts w:ascii="Aptos" w:hAnsi="Aptos"/>
          <w:b/>
          <w:color w:val="2C9468"/>
        </w:rPr>
        <w:t xml:space="preserve">[ ] </w:t>
      </w:r>
      <w:r>
        <w:rPr>
          <w:rFonts w:ascii="Aptos" w:hAnsi="Aptos"/>
        </w:rPr>
        <w:t>The device can demonstrate automatic, reliable data capture and transmission in the intended environment.</w:t>
      </w:r>
    </w:p>
    <w:p>
      <w:pPr>
        <w:pStyle w:val="RoadmapCheck"/>
        <w:ind w:left="317" w:hanging="230"/>
      </w:pPr>
      <w:r>
        <w:rPr>
          <w:rFonts w:ascii="Aptos" w:hAnsi="Aptos"/>
          <w:b/>
          <w:color w:val="2C9468"/>
        </w:rPr>
        <w:t xml:space="preserve">[ ] </w:t>
      </w:r>
      <w:r>
        <w:rPr>
          <w:rFonts w:ascii="Aptos" w:hAnsi="Aptos"/>
        </w:rPr>
        <w:t>Coding counsel has reviewed the workflow and identified remaining ambiguities before design freeze.</w:t>
      </w:r>
    </w:p>
    <w:p>
      <w:pPr>
        <w:spacing w:before="40" w:after="120" w:line="259" w:lineRule="auto"/>
      </w:pPr>
      <w:r>
        <w:rPr>
          <w:rFonts w:ascii="Aptos" w:hAnsi="Aptos"/>
          <w:b/>
          <w:color w:val="A8412F"/>
        </w:rPr>
        <w:t xml:space="preserve">Dependencies / cautions. </w:t>
      </w:r>
      <w:r>
        <w:rPr>
          <w:rFonts w:ascii="Aptos" w:hAnsi="Aptos"/>
          <w:color w:val="54626E"/>
        </w:rPr>
        <w:t>The checklist phrase that both gating facts must "appear in the cleared indication" should be interpreted with counsel. Device status follows authorization; automatic transmission and workflow may be established across labeling, specifications and evidence rather than one sentence in the indication.</w:t>
      </w:r>
    </w:p>
    <w:p>
      <w:pPr>
        <w:spacing w:before="40" w:after="80"/>
        <w:pBdr>
          <w:bottom w:val="single" w:sz="4" w:space="1" w:color="D8E0E6"/>
        </w:pBdr>
      </w:pPr>
    </w:p>
    <w:p>
      <w:pPr>
        <w:pStyle w:val="Heading2"/>
        <w:keepNext/>
      </w:pPr>
      <w:r>
        <w:rPr>
          <w:rFonts w:ascii="Aptos Display" w:hAnsi="Aptos Display"/>
          <w:b/>
          <w:color w:val="0E1822"/>
          <w:sz w:val="28"/>
        </w:rPr>
        <w:t>b3  Prepare the authorization-letter and IFU activation process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EDEA"/>
            <w:tcMar>
              <w:top w:w="70" w:type="dxa"/>
              <w:start w:w="100" w:type="dxa"/>
              <w:bottom w:w="70" w:type="dxa"/>
              <w:end w:w="100" w:type="dxa"/>
            </w:tcMar>
            <w:tcBorders>
              <w:bottom w:sz="4" w:val="single" w:color="D8E0E6"/>
            </w:tcBorders>
          </w:tcPr>
          <w:p>
            <w:pPr>
              <w:spacing w:after="0"/>
            </w:pPr>
            <w:r>
              <w:rPr>
                <w:rFonts w:ascii="Aptos" w:hAnsi="Aptos"/>
                <w:b/>
                <w:color w:val="A8412F"/>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Approval-day gate - prepare everything except the final FDA documents</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Operations accountable; Legal, Marketing, Quality, Coding and Reimbursement participate</w:t>
            </w:r>
          </w:p>
        </w:tc>
      </w:tr>
    </w:tbl>
    <w:p>
      <w:pPr>
        <w:spacing w:before="80" w:after="100" w:line="259" w:lineRule="auto"/>
      </w:pPr>
      <w:r>
        <w:rPr>
          <w:rFonts w:ascii="Aptos" w:hAnsi="Aptos"/>
          <w:b/>
          <w:color w:val="0C7D80"/>
        </w:rPr>
        <w:t xml:space="preserve">Objective. </w:t>
      </w:r>
      <w:r>
        <w:rPr>
          <w:rFonts w:ascii="Aptos" w:hAnsi="Aptos"/>
        </w:rPr>
        <w:t>Avoid a post-authorization scramble by prebuilding every crosswalk, template and approval workflow that will be finalized with the actual authorization letter and IFU.</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 controlled placeholder package for the final clearance/authorization letter, Indications for Use form, 510(k)/De Novo summary, final labeling, IFU, limitations, warnings and software version.</w:t>
      </w:r>
    </w:p>
    <w:p>
      <w:pPr>
        <w:pStyle w:val="RoadmapBullet"/>
        <w:ind w:left="317" w:hanging="230"/>
      </w:pPr>
      <w:r>
        <w:rPr>
          <w:rFonts w:ascii="Aptos" w:hAnsi="Aptos"/>
          <w:b/>
          <w:color w:val="0C7D80"/>
        </w:rPr>
        <w:t xml:space="preserve">• </w:t>
      </w:r>
      <w:r>
        <w:rPr>
          <w:rFonts w:ascii="Aptos" w:hAnsi="Aptos"/>
        </w:rPr>
        <w:t>Build an "authorization wording crosswalk" template that maps each final FDA phrase to website copy, whitepaper, sales training, code application, AMCP dossier, payer submissions and clinical workflow documents.</w:t>
      </w:r>
    </w:p>
    <w:p>
      <w:pPr>
        <w:pStyle w:val="RoadmapBullet"/>
        <w:ind w:left="317" w:hanging="230"/>
      </w:pPr>
      <w:r>
        <w:rPr>
          <w:rFonts w:ascii="Aptos" w:hAnsi="Aptos"/>
          <w:b/>
          <w:color w:val="0C7D80"/>
        </w:rPr>
        <w:t xml:space="preserve">• </w:t>
      </w:r>
      <w:r>
        <w:rPr>
          <w:rFonts w:ascii="Aptos" w:hAnsi="Aptos"/>
        </w:rPr>
        <w:t>Pre-draft on-label and conservative public copy with bracketed placeholders; do not publish until the actual authorized wording is inserted and approved.</w:t>
      </w:r>
    </w:p>
    <w:p>
      <w:pPr>
        <w:pStyle w:val="RoadmapBullet"/>
        <w:ind w:left="317" w:hanging="230"/>
      </w:pPr>
      <w:r>
        <w:rPr>
          <w:rFonts w:ascii="Aptos" w:hAnsi="Aptos"/>
          <w:b/>
          <w:color w:val="0C7D80"/>
        </w:rPr>
        <w:t xml:space="preserve">• </w:t>
      </w:r>
      <w:r>
        <w:rPr>
          <w:rFonts w:ascii="Aptos" w:hAnsi="Aptos"/>
        </w:rPr>
        <w:t>Define 24-hour, 72-hour and 30-day actions after authorization, including document updates, training, partner notices, code/payer submissions and retirement of investigational materials.</w:t>
      </w:r>
    </w:p>
    <w:p>
      <w:pPr>
        <w:pStyle w:val="RoadmapBullet"/>
        <w:ind w:left="317" w:hanging="230"/>
      </w:pPr>
      <w:r>
        <w:rPr>
          <w:rFonts w:ascii="Aptos" w:hAnsi="Aptos"/>
          <w:b/>
          <w:color w:val="0C7D80"/>
        </w:rPr>
        <w:t xml:space="preserve">• </w:t>
      </w:r>
      <w:r>
        <w:rPr>
          <w:rFonts w:ascii="Aptos" w:hAnsi="Aptos"/>
        </w:rPr>
        <w:t>Run a tabletop exercise using a mock authorization letter to test ownership and version control.</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Authorization-day response SOP.</w:t>
      </w:r>
    </w:p>
    <w:p>
      <w:pPr>
        <w:pStyle w:val="RoadmapBullet"/>
        <w:ind w:left="317" w:hanging="230"/>
      </w:pPr>
      <w:r>
        <w:rPr>
          <w:rFonts w:ascii="Aptos" w:hAnsi="Aptos"/>
          <w:b/>
          <w:color w:val="0C7D80"/>
        </w:rPr>
        <w:t xml:space="preserve">• </w:t>
      </w:r>
      <w:r>
        <w:rPr>
          <w:rFonts w:ascii="Aptos" w:hAnsi="Aptos"/>
        </w:rPr>
        <w:t>Final-labeling crosswalk template.</w:t>
      </w:r>
    </w:p>
    <w:p>
      <w:pPr>
        <w:pStyle w:val="RoadmapBullet"/>
        <w:ind w:left="317" w:hanging="230"/>
      </w:pPr>
      <w:r>
        <w:rPr>
          <w:rFonts w:ascii="Aptos" w:hAnsi="Aptos"/>
          <w:b/>
          <w:color w:val="0C7D80"/>
        </w:rPr>
        <w:t xml:space="preserve">• </w:t>
      </w:r>
      <w:r>
        <w:rPr>
          <w:rFonts w:ascii="Aptos" w:hAnsi="Aptos"/>
        </w:rPr>
        <w:t>Pre-drafted post-authorization copy and submission modules with placeholders.</w:t>
      </w:r>
    </w:p>
    <w:p>
      <w:pPr>
        <w:pStyle w:val="RoadmapBullet"/>
        <w:ind w:left="317" w:hanging="230"/>
      </w:pPr>
      <w:r>
        <w:rPr>
          <w:rFonts w:ascii="Aptos" w:hAnsi="Aptos"/>
          <w:b/>
          <w:color w:val="0C7D80"/>
        </w:rPr>
        <w:t xml:space="preserve">• </w:t>
      </w:r>
      <w:r>
        <w:rPr>
          <w:rFonts w:ascii="Aptos" w:hAnsi="Aptos"/>
        </w:rPr>
        <w:t>Tabletop-exercise report and corrective actions.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All downstream materials can be finalized by inserting and validating the actual FDA wording.</w:t>
      </w:r>
    </w:p>
    <w:p>
      <w:pPr>
        <w:pStyle w:val="RoadmapCheck"/>
        <w:ind w:left="317" w:hanging="230"/>
      </w:pPr>
      <w:r>
        <w:rPr>
          <w:rFonts w:ascii="Aptos" w:hAnsi="Aptos"/>
          <w:b/>
          <w:color w:val="2C9468"/>
        </w:rPr>
        <w:t xml:space="preserve">[ ] </w:t>
      </w:r>
      <w:r>
        <w:rPr>
          <w:rFonts w:ascii="Aptos" w:hAnsi="Aptos"/>
        </w:rPr>
        <w:t>No public or payer material can be released without Regulatory/Legal confirmation that it is on-label.</w:t>
      </w:r>
    </w:p>
    <w:p>
      <w:pPr>
        <w:pStyle w:val="RoadmapCheck"/>
        <w:ind w:left="317" w:hanging="230"/>
      </w:pPr>
      <w:r>
        <w:rPr>
          <w:rFonts w:ascii="Aptos" w:hAnsi="Aptos"/>
          <w:b/>
          <w:color w:val="2C9468"/>
        </w:rPr>
        <w:t xml:space="preserve">[ ] </w:t>
      </w:r>
      <w:r>
        <w:rPr>
          <w:rFonts w:ascii="Aptos" w:hAnsi="Aptos"/>
        </w:rPr>
        <w:t>The item remains visibly open until the real authorization letter and IFU are received and logged.</w:t>
      </w:r>
    </w:p>
    <w:p>
      <w:pPr>
        <w:spacing w:before="40" w:after="120" w:line="259" w:lineRule="auto"/>
      </w:pPr>
      <w:r>
        <w:rPr>
          <w:rFonts w:ascii="Aptos" w:hAnsi="Aptos"/>
          <w:b/>
          <w:color w:val="A8412F"/>
        </w:rPr>
        <w:t xml:space="preserve">Dependencies / cautions. </w:t>
      </w:r>
      <w:r>
        <w:rPr>
          <w:rFonts w:ascii="Aptos" w:hAnsi="Aptos"/>
          <w:color w:val="54626E"/>
        </w:rPr>
        <w:t>This checklist item cannot be closed before FDA acts. The pre-approval goal is launch readiness, not simulated clearance.</w:t>
      </w:r>
    </w:p>
    <w:p>
      <w:pPr>
        <w:spacing w:before="40" w:after="80"/>
        <w:pBdr>
          <w:bottom w:val="single" w:sz="4" w:space="1" w:color="D8E0E6"/>
        </w:pBdr>
      </w:pPr>
    </w:p>
    <w:p>
      <w:pPr>
        <w:pStyle w:val="Heading1"/>
      </w:pPr>
      <w:r>
        <w:t>Stage 02 - Clinical and payer evidence</w:t>
      </w:r>
    </w:p>
    <w:p>
      <w:pPr>
        <w:pStyle w:val="Heading2"/>
        <w:keepNext/>
      </w:pPr>
      <w:r>
        <w:rPr>
          <w:rFonts w:ascii="Aptos Display" w:hAnsi="Aptos Display"/>
          <w:b/>
          <w:color w:val="0E1822"/>
          <w:sz w:val="28"/>
        </w:rPr>
        <w:t>c0  Design an integrated clinical and health-economic evidence program</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(protocols, endpoints and data systems); study execution may continue</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Clinical lead accountable; Biostatistics, Medical Affairs, Engineering/AI, HEOR and Regulatory co-own</w:t>
            </w:r>
          </w:p>
        </w:tc>
      </w:tr>
    </w:tbl>
    <w:p>
      <w:pPr>
        <w:spacing w:before="80" w:after="100" w:line="259" w:lineRule="auto"/>
      </w:pPr>
      <w:r>
        <w:rPr>
          <w:rFonts w:ascii="Aptos" w:hAnsi="Aptos"/>
          <w:b/>
          <w:color w:val="0C7D80"/>
        </w:rPr>
        <w:t xml:space="preserve">Objective. </w:t>
      </w:r>
      <w:r>
        <w:rPr>
          <w:rFonts w:ascii="Aptos" w:hAnsi="Aptos"/>
        </w:rPr>
        <w:t>Collect evidence that supports FDA review and later payer decisions in one coherent program, while keeping regulatory endpoints and payer endpoints analytically distinct.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technical/analytical validation: channel synchronization, signal quality, noise reduction, repeatability, latency, missing data, algorithm version, robustness and failure detection.</w:t>
      </w:r>
    </w:p>
    <w:p>
      <w:pPr>
        <w:pStyle w:val="RoadmapBullet"/>
        <w:ind w:left="317" w:hanging="230"/>
      </w:pPr>
      <w:r>
        <w:rPr>
          <w:rFonts w:ascii="Aptos" w:hAnsi="Aptos"/>
          <w:b/>
          <w:color w:val="0C7D80"/>
        </w:rPr>
        <w:t xml:space="preserve">• </w:t>
      </w:r>
      <w:r>
        <w:rPr>
          <w:rFonts w:ascii="Aptos" w:hAnsi="Aptos"/>
        </w:rPr>
        <w:t>Define clinical validation against appropriate reference standards for each target condition. Specify sensitivity, specificity, predictive values, ROC/AUC where relevant, confidence intervals, inter-reader agreement, subgroup performance, site effects and handling of indeterminate recordings.</w:t>
      </w:r>
    </w:p>
    <w:p>
      <w:pPr>
        <w:pStyle w:val="RoadmapBullet"/>
        <w:ind w:left="317" w:hanging="230"/>
      </w:pPr>
      <w:r>
        <w:rPr>
          <w:rFonts w:ascii="Aptos" w:hAnsi="Aptos"/>
          <w:b/>
          <w:color w:val="0C7D80"/>
        </w:rPr>
        <w:t xml:space="preserve">• </w:t>
      </w:r>
      <w:r>
        <w:rPr>
          <w:rFonts w:ascii="Aptos" w:hAnsi="Aptos"/>
        </w:rPr>
        <w:t>Define clinical utility: how SonoHL changes referral, testing, treatment, escalation or monitoring decisions versus standard care; measure false-positive/false-negative consequences and time to appropriate action.</w:t>
      </w:r>
    </w:p>
    <w:p>
      <w:pPr>
        <w:pStyle w:val="RoadmapBullet"/>
        <w:ind w:left="317" w:hanging="230"/>
      </w:pPr>
      <w:r>
        <w:rPr>
          <w:rFonts w:ascii="Aptos" w:hAnsi="Aptos"/>
          <w:b/>
          <w:color w:val="0C7D80"/>
        </w:rPr>
        <w:t xml:space="preserve">• </w:t>
      </w:r>
      <w:r>
        <w:rPr>
          <w:rFonts w:ascii="Aptos" w:hAnsi="Aptos"/>
        </w:rPr>
        <w:t>Define operational and economic endpoints: clinician time, recording success rate, repeat tests, referral yield, travel, imaging utilization, ED visits/admissions, readmissions, length of stay, cost offsets and budget impact. Select only endpoints plausible for the initial use case and study duration.</w:t>
      </w:r>
    </w:p>
    <w:p>
      <w:pPr>
        <w:pStyle w:val="RoadmapBullet"/>
        <w:ind w:left="317" w:hanging="230"/>
      </w:pPr>
      <w:r>
        <w:rPr>
          <w:rFonts w:ascii="Aptos" w:hAnsi="Aptos"/>
          <w:b/>
          <w:color w:val="0C7D80"/>
        </w:rPr>
        <w:t xml:space="preserve">• </w:t>
      </w:r>
      <w:r>
        <w:rPr>
          <w:rFonts w:ascii="Aptos" w:hAnsi="Aptos"/>
        </w:rPr>
        <w:t>Include representative patients, intended users and intended settings, including remote or rural environments if those claims are pursued.</w:t>
      </w:r>
    </w:p>
    <w:p>
      <w:pPr>
        <w:pStyle w:val="RoadmapBullet"/>
        <w:ind w:left="317" w:hanging="230"/>
      </w:pPr>
      <w:r>
        <w:rPr>
          <w:rFonts w:ascii="Aptos" w:hAnsi="Aptos"/>
          <w:b/>
          <w:color w:val="0C7D80"/>
        </w:rPr>
        <w:t xml:space="preserve">• </w:t>
      </w:r>
      <w:r>
        <w:rPr>
          <w:rFonts w:ascii="Aptos" w:hAnsi="Aptos"/>
        </w:rPr>
        <w:t>Lock the statistical analysis plan, data dictionary, case-report forms, endpoint adjudication, missing-data rules, cybersecurity/privacy plan, publication plan and evidence-version linkage before database lock.</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Integrated clinical evidence strategy.</w:t>
      </w:r>
    </w:p>
    <w:p>
      <w:pPr>
        <w:pStyle w:val="RoadmapBullet"/>
        <w:ind w:left="317" w:hanging="230"/>
      </w:pPr>
      <w:r>
        <w:rPr>
          <w:rFonts w:ascii="Aptos" w:hAnsi="Aptos"/>
          <w:b/>
          <w:color w:val="0C7D80"/>
        </w:rPr>
        <w:t xml:space="preserve">• </w:t>
      </w:r>
      <w:r>
        <w:rPr>
          <w:rFonts w:ascii="Aptos" w:hAnsi="Aptos"/>
        </w:rPr>
        <w:t>Study protocol(s), SAP, endpoint definitions and CRFs.</w:t>
      </w:r>
    </w:p>
    <w:p>
      <w:pPr>
        <w:pStyle w:val="RoadmapBullet"/>
        <w:ind w:left="317" w:hanging="230"/>
      </w:pPr>
      <w:r>
        <w:rPr>
          <w:rFonts w:ascii="Aptos" w:hAnsi="Aptos"/>
          <w:b/>
          <w:color w:val="0C7D80"/>
        </w:rPr>
        <w:t xml:space="preserve">• </w:t>
      </w:r>
      <w:r>
        <w:rPr>
          <w:rFonts w:ascii="Aptos" w:hAnsi="Aptos"/>
        </w:rPr>
        <w:t>HEOR/workflow endpoint addendum and data-collection plan.</w:t>
      </w:r>
    </w:p>
    <w:p>
      <w:pPr>
        <w:pStyle w:val="RoadmapBullet"/>
        <w:ind w:left="317" w:hanging="230"/>
      </w:pPr>
      <w:r>
        <w:rPr>
          <w:rFonts w:ascii="Aptos" w:hAnsi="Aptos"/>
          <w:b/>
          <w:color w:val="0C7D80"/>
        </w:rPr>
        <w:t xml:space="preserve">• </w:t>
      </w:r>
      <w:r>
        <w:rPr>
          <w:rFonts w:ascii="Aptos" w:hAnsi="Aptos"/>
        </w:rPr>
        <w:t>Reference-standard and adjudication plan.</w:t>
      </w:r>
    </w:p>
    <w:p>
      <w:pPr>
        <w:pStyle w:val="RoadmapBullet"/>
        <w:ind w:left="317" w:hanging="230"/>
      </w:pPr>
      <w:r>
        <w:rPr>
          <w:rFonts w:ascii="Aptos" w:hAnsi="Aptos"/>
          <w:b/>
          <w:color w:val="0C7D80"/>
        </w:rPr>
        <w:t xml:space="preserve">• </w:t>
      </w:r>
      <w:r>
        <w:rPr>
          <w:rFonts w:ascii="Aptos" w:hAnsi="Aptos"/>
        </w:rPr>
        <w:t>Publication and evidence-generation roadmap.</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material intended-use phrase and payer value claim has a corresponding endpoint or is explicitly deferred.</w:t>
      </w:r>
    </w:p>
    <w:p>
      <w:pPr>
        <w:pStyle w:val="RoadmapCheck"/>
        <w:ind w:left="317" w:hanging="230"/>
      </w:pPr>
      <w:r>
        <w:rPr>
          <w:rFonts w:ascii="Aptos" w:hAnsi="Aptos"/>
          <w:b/>
          <w:color w:val="2C9468"/>
        </w:rPr>
        <w:t xml:space="preserve">[ ] </w:t>
      </w:r>
      <w:r>
        <w:rPr>
          <w:rFonts w:ascii="Aptos" w:hAnsi="Aptos"/>
        </w:rPr>
        <w:t>Clinical and economic data are collected prospectively rather than reconstructed after the study.</w:t>
      </w:r>
    </w:p>
    <w:p>
      <w:pPr>
        <w:pStyle w:val="RoadmapCheck"/>
        <w:ind w:left="317" w:hanging="230"/>
      </w:pPr>
      <w:r>
        <w:rPr>
          <w:rFonts w:ascii="Aptos" w:hAnsi="Aptos"/>
          <w:b/>
          <w:color w:val="2C9468"/>
        </w:rPr>
        <w:t xml:space="preserve">[ ] </w:t>
      </w:r>
      <w:r>
        <w:rPr>
          <w:rFonts w:ascii="Aptos" w:hAnsi="Aptos"/>
        </w:rPr>
        <w:t>Regulatory, clinical, statistical and reimbursement reviewers approve the protocol before lock.</w:t>
      </w:r>
    </w:p>
    <w:p>
      <w:pPr>
        <w:spacing w:before="40" w:after="120" w:line="259" w:lineRule="auto"/>
      </w:pPr>
      <w:r>
        <w:rPr>
          <w:rFonts w:ascii="Aptos" w:hAnsi="Aptos"/>
          <w:b/>
          <w:color w:val="A8412F"/>
        </w:rPr>
        <w:t xml:space="preserve">Dependencies / cautions. </w:t>
      </w:r>
      <w:r>
        <w:rPr>
          <w:rFonts w:ascii="Aptos" w:hAnsi="Aptos"/>
          <w:color w:val="54626E"/>
        </w:rPr>
        <w:t>Avoid overloading a pivotal study with underpowered economic outcomes. Use staged evidence: validation first, then utility and economic studies or pragmatic pilots where appropriate.</w:t>
      </w:r>
    </w:p>
    <w:p>
      <w:pPr>
        <w:spacing w:before="40" w:after="80"/>
        <w:pBdr>
          <w:bottom w:val="single" w:sz="4" w:space="1" w:color="D8E0E6"/>
        </w:pBdr>
      </w:pPr>
    </w:p>
    <w:p>
      <w:pPr>
        <w:pStyle w:val="Heading2"/>
        <w:keepNext/>
      </w:pPr>
      <w:r>
        <w:rPr>
          <w:rFonts w:ascii="Aptos Display" w:hAnsi="Aptos Display"/>
          <w:b/>
          <w:color w:val="0E1822"/>
          <w:sz w:val="28"/>
        </w:rPr>
        <w:t>c1  Build the AMCP-format payer dossier before authorization</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 modular draft; final status and results inserted later</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HEOR/Reimbursement lead; Medical Affairs and Clinical provide content; Legal/Regulatory review</w:t>
            </w:r>
          </w:p>
        </w:tc>
      </w:tr>
    </w:tbl>
    <w:p>
      <w:pPr>
        <w:spacing w:before="80" w:after="100" w:line="259" w:lineRule="auto"/>
      </w:pPr>
      <w:r>
        <w:rPr>
          <w:rFonts w:ascii="Aptos" w:hAnsi="Aptos"/>
          <w:b/>
          <w:color w:val="0C7D80"/>
        </w:rPr>
        <w:t xml:space="preserve">Objective. </w:t>
      </w:r>
      <w:r>
        <w:rPr>
          <w:rFonts w:ascii="Aptos" w:hAnsi="Aptos"/>
        </w:rPr>
        <w:t>Create the payer evidence architecture early so evidence gaps influence study design and payer engagement rather than appearing after FDA authorization.</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Build dossier modules for disease burden, current care pathway, unmet need, product description, proposed indication, comparator landscape, clinical evidence, safety/risk, human factors, workflow, coding, site of care, economic model, budget impact, evidence limitations and ongoing studies.</w:t>
      </w:r>
    </w:p>
    <w:p>
      <w:pPr>
        <w:pStyle w:val="RoadmapBullet"/>
        <w:ind w:left="317" w:hanging="230"/>
      </w:pPr>
      <w:r>
        <w:rPr>
          <w:rFonts w:ascii="Aptos" w:hAnsi="Aptos"/>
          <w:b/>
          <w:color w:val="0C7D80"/>
        </w:rPr>
        <w:t xml:space="preserve">• </w:t>
      </w:r>
      <w:r>
        <w:rPr>
          <w:rFonts w:ascii="Aptos" w:hAnsi="Aptos"/>
        </w:rPr>
        <w:t>Create a source library with primary references, study reports, protocol/SAP versions, technical verification records, epidemiology sources and claims IDs.</w:t>
      </w:r>
    </w:p>
    <w:p>
      <w:pPr>
        <w:pStyle w:val="RoadmapBullet"/>
        <w:ind w:left="317" w:hanging="230"/>
      </w:pPr>
      <w:r>
        <w:rPr>
          <w:rFonts w:ascii="Aptos" w:hAnsi="Aptos"/>
          <w:b/>
          <w:color w:val="0C7D80"/>
        </w:rPr>
        <w:t xml:space="preserve">• </w:t>
      </w:r>
      <w:r>
        <w:rPr>
          <w:rFonts w:ascii="Aptos" w:hAnsi="Aptos"/>
        </w:rPr>
        <w:t>Develop an early value proposition separately for primary care, rural/remote care, cardiology/pulmonology, hospital outpatient, post-discharge monitoring and payer populations. Remove segments not supported by the first indication.</w:t>
      </w:r>
    </w:p>
    <w:p>
      <w:pPr>
        <w:pStyle w:val="RoadmapBullet"/>
        <w:ind w:left="317" w:hanging="230"/>
      </w:pPr>
      <w:r>
        <w:rPr>
          <w:rFonts w:ascii="Aptos" w:hAnsi="Aptos"/>
          <w:b/>
          <w:color w:val="0C7D80"/>
        </w:rPr>
        <w:t xml:space="preserve">• </w:t>
      </w:r>
      <w:r>
        <w:rPr>
          <w:rFonts w:ascii="Aptos" w:hAnsi="Aptos"/>
        </w:rPr>
        <w:t>Build a transparent budget-impact model with editable assumptions for device/service cost, eligible population, utilization, referrals, testing, admissions/readmissions and implementation costs.</w:t>
      </w:r>
    </w:p>
    <w:p>
      <w:pPr>
        <w:pStyle w:val="RoadmapBullet"/>
        <w:ind w:left="317" w:hanging="230"/>
      </w:pPr>
      <w:r>
        <w:rPr>
          <w:rFonts w:ascii="Aptos" w:hAnsi="Aptos"/>
          <w:b/>
          <w:color w:val="0C7D80"/>
        </w:rPr>
        <w:t xml:space="preserve">• </w:t>
      </w:r>
      <w:r>
        <w:rPr>
          <w:rFonts w:ascii="Aptos" w:hAnsi="Aptos"/>
        </w:rPr>
        <w:t>Maintain explicit placeholders for FDA status, final label, final performance, code, payment and coverage; never fill them with forecasts presented as facts.</w:t>
      </w:r>
    </w:p>
    <w:p>
      <w:pPr>
        <w:pStyle w:val="RoadmapBullet"/>
        <w:ind w:left="317" w:hanging="230"/>
      </w:pPr>
      <w:r>
        <w:rPr>
          <w:rFonts w:ascii="Aptos" w:hAnsi="Aptos"/>
          <w:b/>
          <w:color w:val="0C7D80"/>
        </w:rPr>
        <w:t xml:space="preserve">• </w:t>
      </w:r>
      <w:r>
        <w:rPr>
          <w:rFonts w:ascii="Aptos" w:hAnsi="Aptos"/>
        </w:rPr>
        <w:t>Create a rapid-update process so final clinical results and authorization wording can be inserted without restructuring the dossier.</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AMCP-style dossier v0.5 or later.</w:t>
      </w:r>
    </w:p>
    <w:p>
      <w:pPr>
        <w:pStyle w:val="RoadmapBullet"/>
        <w:ind w:left="317" w:hanging="230"/>
      </w:pPr>
      <w:r>
        <w:rPr>
          <w:rFonts w:ascii="Aptos" w:hAnsi="Aptos"/>
          <w:b/>
          <w:color w:val="0C7D80"/>
        </w:rPr>
        <w:t xml:space="preserve">• </w:t>
      </w:r>
      <w:r>
        <w:rPr>
          <w:rFonts w:ascii="Aptos" w:hAnsi="Aptos"/>
        </w:rPr>
        <w:t>Payer evidence-gap matrix.</w:t>
      </w:r>
    </w:p>
    <w:p>
      <w:pPr>
        <w:pStyle w:val="RoadmapBullet"/>
        <w:ind w:left="317" w:hanging="230"/>
      </w:pPr>
      <w:r>
        <w:rPr>
          <w:rFonts w:ascii="Aptos" w:hAnsi="Aptos"/>
          <w:b/>
          <w:color w:val="0C7D80"/>
        </w:rPr>
        <w:t xml:space="preserve">• </w:t>
      </w:r>
      <w:r>
        <w:rPr>
          <w:rFonts w:ascii="Aptos" w:hAnsi="Aptos"/>
        </w:rPr>
        <w:t>Budget-impact model and assumptions book.</w:t>
      </w:r>
    </w:p>
    <w:p>
      <w:pPr>
        <w:pStyle w:val="RoadmapBullet"/>
        <w:ind w:left="317" w:hanging="230"/>
      </w:pPr>
      <w:r>
        <w:rPr>
          <w:rFonts w:ascii="Aptos" w:hAnsi="Aptos"/>
          <w:b/>
          <w:color w:val="0C7D80"/>
        </w:rPr>
        <w:t xml:space="preserve">• </w:t>
      </w:r>
      <w:r>
        <w:rPr>
          <w:rFonts w:ascii="Aptos" w:hAnsi="Aptos"/>
        </w:rPr>
        <w:t>Source/evidence library with version control.</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dossier structure is complete and every section has either evidence, a named gap or a planned source.</w:t>
      </w:r>
    </w:p>
    <w:p>
      <w:pPr>
        <w:pStyle w:val="RoadmapCheck"/>
        <w:ind w:left="317" w:hanging="230"/>
      </w:pPr>
      <w:r>
        <w:rPr>
          <w:rFonts w:ascii="Aptos" w:hAnsi="Aptos"/>
          <w:b/>
          <w:color w:val="2C9468"/>
        </w:rPr>
        <w:t xml:space="preserve">[ ] </w:t>
      </w:r>
      <w:r>
        <w:rPr>
          <w:rFonts w:ascii="Aptos" w:hAnsi="Aptos"/>
        </w:rPr>
        <w:t>All claims are traceable and status-labeled as observed, modeled, preliminary or unknown.</w:t>
      </w:r>
    </w:p>
    <w:p>
      <w:pPr>
        <w:pStyle w:val="RoadmapCheck"/>
        <w:ind w:left="317" w:hanging="230"/>
      </w:pPr>
      <w:r>
        <w:rPr>
          <w:rFonts w:ascii="Aptos" w:hAnsi="Aptos"/>
          <w:b/>
          <w:color w:val="2C9468"/>
        </w:rPr>
        <w:t xml:space="preserve">[ ] </w:t>
      </w:r>
      <w:r>
        <w:rPr>
          <w:rFonts w:ascii="Aptos" w:hAnsi="Aptos"/>
        </w:rPr>
        <w:t>The final-label and final-results update can be completed on a defined timeline after authorization.</w:t>
      </w:r>
    </w:p>
    <w:p>
      <w:pPr>
        <w:spacing w:before="40" w:after="120" w:line="259" w:lineRule="auto"/>
      </w:pPr>
      <w:r>
        <w:rPr>
          <w:rFonts w:ascii="Aptos" w:hAnsi="Aptos"/>
          <w:b/>
          <w:color w:val="A8412F"/>
        </w:rPr>
        <w:t xml:space="preserve">Dependencies / cautions. </w:t>
      </w:r>
      <w:r>
        <w:rPr>
          <w:rFonts w:ascii="Aptos" w:hAnsi="Aptos"/>
          <w:color w:val="54626E"/>
        </w:rPr>
        <w:t>The AMCP format and payer expectations should be confirmed by the reimbursement lead; the dossier is not public marketing and should remain controlled.</w:t>
      </w:r>
    </w:p>
    <w:p>
      <w:pPr>
        <w:spacing w:before="40" w:after="80"/>
        <w:pBdr>
          <w:bottom w:val="single" w:sz="4" w:space="1" w:color="D8E0E6"/>
        </w:pBdr>
      </w:pPr>
    </w:p>
    <w:p>
      <w:pPr>
        <w:pStyle w:val="Heading2"/>
        <w:keepNext/>
      </w:pPr>
      <w:r>
        <w:rPr>
          <w:rFonts w:ascii="Aptos Display" w:hAnsi="Aptos Display"/>
          <w:b/>
          <w:color w:val="0E1822"/>
          <w:sz w:val="28"/>
        </w:rPr>
        <w:t>c2  Conduct lawful pre-approval payer information exchange and evidence research</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an ongoing program</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Access/HEOR; Legal/Regulatory Communications approve; Medical Affairs participates</w:t>
            </w:r>
          </w:p>
        </w:tc>
      </w:tr>
    </w:tbl>
    <w:p>
      <w:pPr>
        <w:spacing w:before="80" w:after="100" w:line="259" w:lineRule="auto"/>
      </w:pPr>
      <w:r>
        <w:rPr>
          <w:rFonts w:ascii="Aptos" w:hAnsi="Aptos"/>
          <w:b/>
          <w:color w:val="0C7D80"/>
        </w:rPr>
        <w:t xml:space="preserve">Objective. </w:t>
      </w:r>
      <w:r>
        <w:rPr>
          <w:rFonts w:ascii="Aptos" w:hAnsi="Aptos"/>
        </w:rPr>
        <w:t>Use payer and health-system feedback to refine evidence, workflow, economic assumptions and launch sequencing without making promotional or misleading claims.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Prioritize stakeholders: national and regional commercial plans, Medicare Advantage, relevant MAC medical directors, integrated delivery networks, hospital finance/value-analysis leaders and remote-care operators.</w:t>
      </w:r>
    </w:p>
    <w:p>
      <w:pPr>
        <w:pStyle w:val="RoadmapBullet"/>
        <w:ind w:left="317" w:hanging="230"/>
      </w:pPr>
      <w:r>
        <w:rPr>
          <w:rFonts w:ascii="Aptos" w:hAnsi="Aptos"/>
          <w:b/>
          <w:color w:val="0C7D80"/>
        </w:rPr>
        <w:t xml:space="preserve">• </w:t>
      </w:r>
      <w:r>
        <w:rPr>
          <w:rFonts w:ascii="Aptos" w:hAnsi="Aptos"/>
        </w:rPr>
        <w:t>Develop a counsel-reviewed discussion guide covering current investigational status, proposed use, evidence plan, anticipated workflow, coding hypotheses, implementation barriers and payer decision criteria.</w:t>
      </w:r>
    </w:p>
    <w:p>
      <w:pPr>
        <w:pStyle w:val="RoadmapBullet"/>
        <w:ind w:left="317" w:hanging="230"/>
      </w:pPr>
      <w:r>
        <w:rPr>
          <w:rFonts w:ascii="Aptos" w:hAnsi="Aptos"/>
          <w:b/>
          <w:color w:val="0C7D80"/>
        </w:rPr>
        <w:t xml:space="preserve">• </w:t>
      </w:r>
      <w:r>
        <w:rPr>
          <w:rFonts w:ascii="Aptos" w:hAnsi="Aptos"/>
        </w:rPr>
        <w:t>Ask structured questions: minimum evidence for coverage, acceptable comparators, target population, outcome duration, utilization-management concerns, site-of-care preferences, economic thresholds, required subgroup data and whether coverage with evidence development would be considered.</w:t>
      </w:r>
    </w:p>
    <w:p>
      <w:pPr>
        <w:pStyle w:val="RoadmapBullet"/>
        <w:ind w:left="317" w:hanging="230"/>
      </w:pPr>
      <w:r>
        <w:rPr>
          <w:rFonts w:ascii="Aptos" w:hAnsi="Aptos"/>
          <w:b/>
          <w:color w:val="0C7D80"/>
        </w:rPr>
        <w:t xml:space="preserve">• </w:t>
      </w:r>
      <w:r>
        <w:rPr>
          <w:rFonts w:ascii="Aptos" w:hAnsi="Aptos"/>
        </w:rPr>
        <w:t>Use qualitative interviews or advisory boards to test the value proposition and budget model assumptions. Record feedback without presenting preliminary performance as established fact.</w:t>
      </w:r>
    </w:p>
    <w:p>
      <w:pPr>
        <w:pStyle w:val="RoadmapBullet"/>
        <w:ind w:left="317" w:hanging="230"/>
      </w:pPr>
      <w:r>
        <w:rPr>
          <w:rFonts w:ascii="Aptos" w:hAnsi="Aptos"/>
          <w:b/>
          <w:color w:val="0C7D80"/>
        </w:rPr>
        <w:t xml:space="preserve">• </w:t>
      </w:r>
      <w:r>
        <w:rPr>
          <w:rFonts w:ascii="Aptos" w:hAnsi="Aptos"/>
        </w:rPr>
        <w:t>Feed results back into protocol amendments, site selection, subgroup plans, workflow design, dossier content and launch prioritization.</w:t>
      </w:r>
    </w:p>
    <w:p>
      <w:pPr>
        <w:pStyle w:val="RoadmapBullet"/>
        <w:ind w:left="317" w:hanging="230"/>
      </w:pPr>
      <w:r>
        <w:rPr>
          <w:rFonts w:ascii="Aptos" w:hAnsi="Aptos"/>
          <w:b/>
          <w:color w:val="0C7D80"/>
        </w:rPr>
        <w:t xml:space="preserve">• </w:t>
      </w:r>
      <w:r>
        <w:rPr>
          <w:rFonts w:ascii="Aptos" w:hAnsi="Aptos"/>
        </w:rPr>
        <w:t>Maintain a contact and interaction log with follow-up commitments and no-promote safeguards.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Payer research plan and target list.</w:t>
      </w:r>
    </w:p>
    <w:p>
      <w:pPr>
        <w:pStyle w:val="RoadmapBullet"/>
        <w:ind w:left="317" w:hanging="230"/>
      </w:pPr>
      <w:r>
        <w:rPr>
          <w:rFonts w:ascii="Aptos" w:hAnsi="Aptos"/>
          <w:b/>
          <w:color w:val="0C7D80"/>
        </w:rPr>
        <w:t xml:space="preserve">• </w:t>
      </w:r>
      <w:r>
        <w:rPr>
          <w:rFonts w:ascii="Aptos" w:hAnsi="Aptos"/>
        </w:rPr>
        <w:t>Approved interview/advisory-board materials.</w:t>
      </w:r>
    </w:p>
    <w:p>
      <w:pPr>
        <w:pStyle w:val="RoadmapBullet"/>
        <w:ind w:left="317" w:hanging="230"/>
      </w:pPr>
      <w:r>
        <w:rPr>
          <w:rFonts w:ascii="Aptos" w:hAnsi="Aptos"/>
          <w:b/>
          <w:color w:val="0C7D80"/>
        </w:rPr>
        <w:t xml:space="preserve">• </w:t>
      </w:r>
      <w:r>
        <w:rPr>
          <w:rFonts w:ascii="Aptos" w:hAnsi="Aptos"/>
        </w:rPr>
        <w:t>De-identified findings report and evidence-priority matrix.</w:t>
      </w:r>
    </w:p>
    <w:p>
      <w:pPr>
        <w:pStyle w:val="RoadmapBullet"/>
        <w:ind w:left="317" w:hanging="230"/>
      </w:pPr>
      <w:r>
        <w:rPr>
          <w:rFonts w:ascii="Aptos" w:hAnsi="Aptos"/>
          <w:b/>
          <w:color w:val="0C7D80"/>
        </w:rPr>
        <w:t xml:space="preserve">• </w:t>
      </w:r>
      <w:r>
        <w:rPr>
          <w:rFonts w:ascii="Aptos" w:hAnsi="Aptos"/>
        </w:rPr>
        <w:t>Updated protocol/dossier/model decisions linked to payer feedback.</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A representative set of payer and health-system perspectives has been captured.</w:t>
      </w:r>
    </w:p>
    <w:p>
      <w:pPr>
        <w:pStyle w:val="RoadmapCheck"/>
        <w:ind w:left="317" w:hanging="230"/>
      </w:pPr>
      <w:r>
        <w:rPr>
          <w:rFonts w:ascii="Aptos" w:hAnsi="Aptos"/>
          <w:b/>
          <w:color w:val="2C9468"/>
        </w:rPr>
        <w:t xml:space="preserve">[ ] </w:t>
      </w:r>
      <w:r>
        <w:rPr>
          <w:rFonts w:ascii="Aptos" w:hAnsi="Aptos"/>
        </w:rPr>
        <w:t>Feedback has produced documented evidence or workflow changes, not just commercial talking points.</w:t>
      </w:r>
    </w:p>
    <w:p>
      <w:pPr>
        <w:pStyle w:val="RoadmapCheck"/>
        <w:ind w:left="317" w:hanging="230"/>
      </w:pPr>
      <w:r>
        <w:rPr>
          <w:rFonts w:ascii="Aptos" w:hAnsi="Aptos"/>
          <w:b/>
          <w:color w:val="2C9468"/>
        </w:rPr>
        <w:t xml:space="preserve">[ ] </w:t>
      </w:r>
      <w:r>
        <w:rPr>
          <w:rFonts w:ascii="Aptos" w:hAnsi="Aptos"/>
        </w:rPr>
        <w:t>All communications are archived and consistent with investigational status.</w:t>
      </w:r>
    </w:p>
    <w:p>
      <w:pPr>
        <w:spacing w:before="40" w:after="120" w:line="259" w:lineRule="auto"/>
      </w:pPr>
      <w:r>
        <w:rPr>
          <w:rFonts w:ascii="Aptos" w:hAnsi="Aptos"/>
          <w:b/>
          <w:color w:val="A8412F"/>
        </w:rPr>
        <w:t xml:space="preserve">Dependencies / cautions. </w:t>
      </w:r>
      <w:r>
        <w:rPr>
          <w:rFonts w:ascii="Aptos" w:hAnsi="Aptos"/>
          <w:color w:val="54626E"/>
        </w:rPr>
        <w:t>Do not promise a code, payment rate, launch date or performance outcome. Confirm current FDA rules for pre-approval information exchange before each campaign.</w:t>
      </w:r>
    </w:p>
    <w:p>
      <w:pPr>
        <w:spacing w:before="40" w:after="80"/>
        <w:pBdr>
          <w:bottom w:val="single" w:sz="4" w:space="1" w:color="D8E0E6"/>
        </w:pBdr>
      </w:pPr>
    </w:p>
    <w:p>
      <w:pPr>
        <w:pStyle w:val="Heading1"/>
      </w:pPr>
      <w:r>
        <w:t>Stage 03 - Coding readiness</w:t>
      </w:r>
    </w:p>
    <w:p>
      <w:pPr>
        <w:pStyle w:val="Heading2"/>
        <w:keepNext/>
      </w:pPr>
      <w:r>
        <w:rPr>
          <w:rFonts w:ascii="Aptos Display" w:hAnsi="Aptos Display"/>
          <w:b/>
          <w:color w:val="0E1822"/>
          <w:sz w:val="28"/>
        </w:rPr>
        <w:t>d0  Complete the RPM code applicability and workflow map</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billing activation is post-authorization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Reimbursement/Coding lead; Clinical Operations, Product and Compliance validate workflow</w:t>
            </w:r>
          </w:p>
        </w:tc>
      </w:tr>
    </w:tbl>
    <w:p>
      <w:pPr>
        <w:spacing w:before="80" w:after="100" w:line="259" w:lineRule="auto"/>
      </w:pPr>
      <w:r>
        <w:rPr>
          <w:rFonts w:ascii="Aptos" w:hAnsi="Aptos"/>
          <w:b/>
          <w:color w:val="0C7D80"/>
        </w:rPr>
        <w:t xml:space="preserve">Objective. </w:t>
      </w:r>
      <w:r>
        <w:rPr>
          <w:rFonts w:ascii="Aptos" w:hAnsi="Aptos"/>
        </w:rPr>
        <w:t>Determine whether SonoHL's first marketed service can satisfy each element of candidate Remote Physiologic Monitoring codes and identify product/workflow changes before submission.</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Analyze the full service, not only the device. Map setup/education, device supply/data transmission, treatment-management time, interactive communication, practitioner roles, consent, documentation and billing frequency.</w:t>
      </w:r>
    </w:p>
    <w:p>
      <w:pPr>
        <w:pStyle w:val="RoadmapBullet"/>
        <w:ind w:left="317" w:hanging="230"/>
      </w:pPr>
      <w:r>
        <w:rPr>
          <w:rFonts w:ascii="Aptos" w:hAnsi="Aptos"/>
          <w:b/>
          <w:color w:val="0C7D80"/>
        </w:rPr>
        <w:t xml:space="preserve">• </w:t>
      </w:r>
      <w:r>
        <w:rPr>
          <w:rFonts w:ascii="Aptos" w:hAnsi="Aptos"/>
        </w:rPr>
        <w:t>Build code-specific workflows for the main and short-duration RPM options identified in the checklist (99453, 99454, 99457, 99458, 99445 and 99470), using the current official descriptors and payer rules at the time of launch.</w:t>
      </w:r>
    </w:p>
    <w:p>
      <w:pPr>
        <w:pStyle w:val="RoadmapBullet"/>
        <w:ind w:left="317" w:hanging="230"/>
      </w:pPr>
      <w:r>
        <w:rPr>
          <w:rFonts w:ascii="Aptos" w:hAnsi="Aptos"/>
          <w:b/>
          <w:color w:val="0C7D80"/>
        </w:rPr>
        <w:t xml:space="preserve">• </w:t>
      </w:r>
      <w:r>
        <w:rPr>
          <w:rFonts w:ascii="Aptos" w:hAnsi="Aptos"/>
        </w:rPr>
        <w:t>Define the physiologic data being monitored and confirm that the device automatically collects and transmits it. Document how acoustic data, derived measures and signal-quality data fit the proposed service.</w:t>
      </w:r>
    </w:p>
    <w:p>
      <w:pPr>
        <w:pStyle w:val="RoadmapBullet"/>
        <w:ind w:left="317" w:hanging="230"/>
      </w:pPr>
      <w:r>
        <w:rPr>
          <w:rFonts w:ascii="Aptos" w:hAnsi="Aptos"/>
          <w:b/>
          <w:color w:val="0C7D80"/>
        </w:rPr>
        <w:t xml:space="preserve">• </w:t>
      </w:r>
      <w:r>
        <w:rPr>
          <w:rFonts w:ascii="Aptos" w:hAnsi="Aptos"/>
        </w:rPr>
        <w:t>Model 30-day and episodic/post-discharge workflows, including data-day thresholds, failed transmissions, duplicate devices, patient transitions and when interactive communication occurs.</w:t>
      </w:r>
    </w:p>
    <w:p>
      <w:pPr>
        <w:pStyle w:val="RoadmapBullet"/>
        <w:ind w:left="317" w:hanging="230"/>
      </w:pPr>
      <w:r>
        <w:rPr>
          <w:rFonts w:ascii="Aptos" w:hAnsi="Aptos"/>
          <w:b/>
          <w:color w:val="0C7D80"/>
        </w:rPr>
        <w:t xml:space="preserve">• </w:t>
      </w:r>
      <w:r>
        <w:rPr>
          <w:rFonts w:ascii="Aptos" w:hAnsi="Aptos"/>
        </w:rPr>
        <w:t>Run mock claims and chart audits with coding counsel or an experienced provider billing team. Identify required EHR documentation, orders, notes, time logs and patient education records.</w:t>
      </w:r>
    </w:p>
    <w:p>
      <w:pPr>
        <w:pStyle w:val="RoadmapBullet"/>
        <w:ind w:left="317" w:hanging="230"/>
      </w:pPr>
      <w:r>
        <w:rPr>
          <w:rFonts w:ascii="Aptos" w:hAnsi="Aptos"/>
          <w:b/>
          <w:color w:val="0C7D80"/>
        </w:rPr>
        <w:t xml:space="preserve">• </w:t>
      </w:r>
      <w:r>
        <w:rPr>
          <w:rFonts w:ascii="Aptos" w:hAnsi="Aptos"/>
        </w:rPr>
        <w:t>Build site-level economics showing provider revenue, staffing, device/service cost, nonbillable work, denial risk and implementation cost.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RPM code applicability memorandum.</w:t>
      </w:r>
    </w:p>
    <w:p>
      <w:pPr>
        <w:pStyle w:val="RoadmapBullet"/>
        <w:ind w:left="317" w:hanging="230"/>
      </w:pPr>
      <w:r>
        <w:rPr>
          <w:rFonts w:ascii="Aptos" w:hAnsi="Aptos"/>
          <w:b/>
          <w:color w:val="0C7D80"/>
        </w:rPr>
        <w:t xml:space="preserve">• </w:t>
      </w:r>
      <w:r>
        <w:rPr>
          <w:rFonts w:ascii="Aptos" w:hAnsi="Aptos"/>
        </w:rPr>
        <w:t>End-to-end clinical/billing workflow diagrams.</w:t>
      </w:r>
    </w:p>
    <w:p>
      <w:pPr>
        <w:pStyle w:val="RoadmapBullet"/>
        <w:ind w:left="317" w:hanging="230"/>
      </w:pPr>
      <w:r>
        <w:rPr>
          <w:rFonts w:ascii="Aptos" w:hAnsi="Aptos"/>
          <w:b/>
          <w:color w:val="0C7D80"/>
        </w:rPr>
        <w:t xml:space="preserve">• </w:t>
      </w:r>
      <w:r>
        <w:rPr>
          <w:rFonts w:ascii="Aptos" w:hAnsi="Aptos"/>
        </w:rPr>
        <w:t>Documentation templates and mock claim/audit results.</w:t>
      </w:r>
    </w:p>
    <w:p>
      <w:pPr>
        <w:pStyle w:val="RoadmapBullet"/>
        <w:ind w:left="317" w:hanging="230"/>
      </w:pPr>
      <w:r>
        <w:rPr>
          <w:rFonts w:ascii="Aptos" w:hAnsi="Aptos"/>
          <w:b/>
          <w:color w:val="0C7D80"/>
        </w:rPr>
        <w:t xml:space="preserve">• </w:t>
      </w:r>
      <w:r>
        <w:rPr>
          <w:rFonts w:ascii="Aptos" w:hAnsi="Aptos"/>
        </w:rPr>
        <w:t>Provider unit-economics model and implementation checklist.</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Each code requirement is marked met, unmet, uncertain or not applicable with supporting evidence.</w:t>
      </w:r>
    </w:p>
    <w:p>
      <w:pPr>
        <w:pStyle w:val="RoadmapCheck"/>
        <w:ind w:left="317" w:hanging="230"/>
      </w:pPr>
      <w:r>
        <w:rPr>
          <w:rFonts w:ascii="Aptos" w:hAnsi="Aptos"/>
          <w:b/>
          <w:color w:val="2C9468"/>
        </w:rPr>
        <w:t xml:space="preserve">[ ] </w:t>
      </w:r>
      <w:r>
        <w:rPr>
          <w:rFonts w:ascii="Aptos" w:hAnsi="Aptos"/>
        </w:rPr>
        <w:t>The intended provider can perform and document the service without inventing workflow solely for billing.</w:t>
      </w:r>
    </w:p>
    <w:p>
      <w:pPr>
        <w:pStyle w:val="RoadmapCheck"/>
        <w:ind w:left="317" w:hanging="230"/>
      </w:pPr>
      <w:r>
        <w:rPr>
          <w:rFonts w:ascii="Aptos" w:hAnsi="Aptos"/>
          <w:b/>
          <w:color w:val="2C9468"/>
        </w:rPr>
        <w:t xml:space="preserve">[ ] </w:t>
      </w:r>
      <w:r>
        <w:rPr>
          <w:rFonts w:ascii="Aptos" w:hAnsi="Aptos"/>
        </w:rPr>
        <w:t>A coding expert signs off on the launch hypothesis, with payer-specific verification still required.</w:t>
      </w:r>
    </w:p>
    <w:p>
      <w:pPr>
        <w:spacing w:before="40" w:after="120" w:line="259" w:lineRule="auto"/>
      </w:pPr>
      <w:r>
        <w:rPr>
          <w:rFonts w:ascii="Aptos" w:hAnsi="Aptos"/>
          <w:b/>
          <w:color w:val="A8412F"/>
        </w:rPr>
        <w:t xml:space="preserve">Dependencies / cautions. </w:t>
      </w:r>
      <w:r>
        <w:rPr>
          <w:rFonts w:ascii="Aptos" w:hAnsi="Aptos"/>
          <w:color w:val="54626E"/>
        </w:rPr>
        <w:t>Existing codes do not automatically cover SonoHL. Device status, service facts, payer policy, patient eligibility and local billing rules must all align after authorization.</w:t>
      </w:r>
    </w:p>
    <w:p>
      <w:pPr>
        <w:spacing w:before="40" w:after="80"/>
        <w:pBdr>
          <w:bottom w:val="single" w:sz="4" w:space="1" w:color="D8E0E6"/>
        </w:pBdr>
      </w:pPr>
    </w:p>
    <w:p>
      <w:pPr>
        <w:pStyle w:val="Heading2"/>
        <w:keepNext/>
      </w:pPr>
      <w:r>
        <w:rPr>
          <w:rFonts w:ascii="Aptos Display" w:hAnsi="Aptos Display"/>
          <w:b/>
          <w:color w:val="0E1822"/>
          <w:sz w:val="28"/>
        </w:rPr>
        <w:t>d1  Evaluate RTM as an adjacent or fallback pathway</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billing activation is post-authorization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Reimbursement/Coding lead with Pulmonary/Clinical Operations input</w:t>
            </w:r>
          </w:p>
        </w:tc>
      </w:tr>
    </w:tbl>
    <w:p>
      <w:pPr>
        <w:spacing w:before="80" w:after="100" w:line="259" w:lineRule="auto"/>
      </w:pPr>
      <w:r>
        <w:rPr>
          <w:rFonts w:ascii="Aptos" w:hAnsi="Aptos"/>
          <w:b/>
          <w:color w:val="0C7D80"/>
        </w:rPr>
        <w:t xml:space="preserve">Objective. </w:t>
      </w:r>
      <w:r>
        <w:rPr>
          <w:rFonts w:ascii="Aptos" w:hAnsi="Aptos"/>
        </w:rPr>
        <w:t>Determine whether a respiratory or therapy-response framing is clinically and legally appropriate, and whether RTM offers a better fit than RPM for any initial use case.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Compare RPM and RTM across data type, eligible condition, device requirements, patient-reported data, practitioner type, therapy-plan rules, supervision, time requirements and payer policy.</w:t>
      </w:r>
    </w:p>
    <w:p>
      <w:pPr>
        <w:pStyle w:val="RoadmapBullet"/>
        <w:ind w:left="317" w:hanging="230"/>
      </w:pPr>
      <w:r>
        <w:rPr>
          <w:rFonts w:ascii="Aptos" w:hAnsi="Aptos"/>
          <w:b/>
          <w:color w:val="0C7D80"/>
        </w:rPr>
        <w:t xml:space="preserve">• </w:t>
      </w:r>
      <w:r>
        <w:rPr>
          <w:rFonts w:ascii="Aptos" w:hAnsi="Aptos"/>
        </w:rPr>
        <w:t>Map the checklist's candidate RTM codes and the complete relevant family to the actual service workflow, using current official descriptors at the time of filing or launch.</w:t>
      </w:r>
    </w:p>
    <w:p>
      <w:pPr>
        <w:pStyle w:val="RoadmapBullet"/>
        <w:ind w:left="317" w:hanging="230"/>
      </w:pPr>
      <w:r>
        <w:rPr>
          <w:rFonts w:ascii="Aptos" w:hAnsi="Aptos"/>
          <w:b/>
          <w:color w:val="0C7D80"/>
        </w:rPr>
        <w:t xml:space="preserve">• </w:t>
      </w:r>
      <w:r>
        <w:rPr>
          <w:rFonts w:ascii="Aptos" w:hAnsi="Aptos"/>
        </w:rPr>
        <w:t>Define whether SonoHL is monitoring a physiologic state, treatment adherence/response, respiratory therapy, symptoms or a combination. Avoid changing the clinical story merely to fit a code.</w:t>
      </w:r>
    </w:p>
    <w:p>
      <w:pPr>
        <w:pStyle w:val="RoadmapBullet"/>
        <w:ind w:left="317" w:hanging="230"/>
      </w:pPr>
      <w:r>
        <w:rPr>
          <w:rFonts w:ascii="Aptos" w:hAnsi="Aptos"/>
          <w:b/>
          <w:color w:val="0C7D80"/>
        </w:rPr>
        <w:t xml:space="preserve">• </w:t>
      </w:r>
      <w:r>
        <w:rPr>
          <w:rFonts w:ascii="Aptos" w:hAnsi="Aptos"/>
        </w:rPr>
        <w:t>Assess whether nurses, therapists, physicians or other qualified professionals would furnish each component and how plan-of-care/modifier rules affect feasibility.</w:t>
      </w:r>
    </w:p>
    <w:p>
      <w:pPr>
        <w:pStyle w:val="RoadmapBullet"/>
        <w:ind w:left="317" w:hanging="230"/>
      </w:pPr>
      <w:r>
        <w:rPr>
          <w:rFonts w:ascii="Aptos" w:hAnsi="Aptos"/>
          <w:b/>
          <w:color w:val="0C7D80"/>
        </w:rPr>
        <w:t xml:space="preserve">• </w:t>
      </w:r>
      <w:r>
        <w:rPr>
          <w:rFonts w:ascii="Aptos" w:hAnsi="Aptos"/>
        </w:rPr>
        <w:t>Perform mock documentation, claim and economics exercises parallel to RPM, then select primary, secondary or no-go status for RTM.</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RPM-versus-RTM decision matrix.</w:t>
      </w:r>
    </w:p>
    <w:p>
      <w:pPr>
        <w:pStyle w:val="RoadmapBullet"/>
        <w:ind w:left="317" w:hanging="230"/>
      </w:pPr>
      <w:r>
        <w:rPr>
          <w:rFonts w:ascii="Aptos" w:hAnsi="Aptos"/>
          <w:b/>
          <w:color w:val="0C7D80"/>
        </w:rPr>
        <w:t xml:space="preserve">• </w:t>
      </w:r>
      <w:r>
        <w:rPr>
          <w:rFonts w:ascii="Aptos" w:hAnsi="Aptos"/>
        </w:rPr>
        <w:t>RTM workflow and documentation package.</w:t>
      </w:r>
    </w:p>
    <w:p>
      <w:pPr>
        <w:pStyle w:val="RoadmapBullet"/>
        <w:ind w:left="317" w:hanging="230"/>
      </w:pPr>
      <w:r>
        <w:rPr>
          <w:rFonts w:ascii="Aptos" w:hAnsi="Aptos"/>
          <w:b/>
          <w:color w:val="0C7D80"/>
        </w:rPr>
        <w:t xml:space="preserve">• </w:t>
      </w:r>
      <w:r>
        <w:rPr>
          <w:rFonts w:ascii="Aptos" w:hAnsi="Aptos"/>
        </w:rPr>
        <w:t>Primary/fallback code strategy and no-go rationale where applicable.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has a defensible clinical reason for using or rejecting RTM.</w:t>
      </w:r>
    </w:p>
    <w:p>
      <w:pPr>
        <w:pStyle w:val="RoadmapCheck"/>
        <w:ind w:left="317" w:hanging="230"/>
      </w:pPr>
      <w:r>
        <w:rPr>
          <w:rFonts w:ascii="Aptos" w:hAnsi="Aptos"/>
          <w:b/>
          <w:color w:val="2C9468"/>
        </w:rPr>
        <w:t xml:space="preserve">[ ] </w:t>
      </w:r>
      <w:r>
        <w:rPr>
          <w:rFonts w:ascii="Aptos" w:hAnsi="Aptos"/>
        </w:rPr>
        <w:t>No product or marketing claim is changed solely to chase reimbursement.</w:t>
      </w:r>
    </w:p>
    <w:p>
      <w:pPr>
        <w:pStyle w:val="RoadmapCheck"/>
        <w:ind w:left="317" w:hanging="230"/>
      </w:pPr>
      <w:r>
        <w:rPr>
          <w:rFonts w:ascii="Aptos" w:hAnsi="Aptos"/>
          <w:b/>
          <w:color w:val="2C9468"/>
        </w:rPr>
        <w:t xml:space="preserve">[ ] </w:t>
      </w:r>
      <w:r>
        <w:rPr>
          <w:rFonts w:ascii="Aptos" w:hAnsi="Aptos"/>
        </w:rPr>
        <w:t>The selected pathway is reflected in product requirements, study endpoints and provider workflow.</w:t>
      </w:r>
    </w:p>
    <w:p>
      <w:pPr>
        <w:spacing w:before="40" w:after="120" w:line="259" w:lineRule="auto"/>
      </w:pPr>
      <w:r>
        <w:rPr>
          <w:rFonts w:ascii="Aptos" w:hAnsi="Aptos"/>
          <w:b/>
          <w:color w:val="A8412F"/>
        </w:rPr>
        <w:t xml:space="preserve">Dependencies / cautions. </w:t>
      </w:r>
      <w:r>
        <w:rPr>
          <w:rFonts w:ascii="Aptos" w:hAnsi="Aptos"/>
          <w:color w:val="54626E"/>
        </w:rPr>
        <w:t>RTM rules and payer coverage vary. Respiratory adjacency alone does not establish code applicability.</w:t>
      </w:r>
    </w:p>
    <w:p>
      <w:pPr>
        <w:spacing w:before="40" w:after="80"/>
        <w:pBdr>
          <w:bottom w:val="single" w:sz="4" w:space="1" w:color="D8E0E6"/>
        </w:pBdr>
      </w:pPr>
    </w:p>
    <w:p>
      <w:pPr>
        <w:pStyle w:val="Heading2"/>
        <w:keepNext/>
      </w:pPr>
      <w:r>
        <w:rPr>
          <w:rFonts w:ascii="Aptos Display" w:hAnsi="Aptos Display"/>
          <w:b/>
          <w:color w:val="0E1822"/>
          <w:sz w:val="28"/>
        </w:rPr>
        <w:t>d2  Develop and, if strategically appropriate, file a Category III CPT application</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 submission-ready package; filing may be possible before 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Coding/Reimbursement lead; Regulatory, Clinical, Medical Affairs and specialty sponsor co-develop</w:t>
            </w:r>
          </w:p>
        </w:tc>
      </w:tr>
    </w:tbl>
    <w:p>
      <w:pPr>
        <w:spacing w:before="80" w:after="100" w:line="259" w:lineRule="auto"/>
      </w:pPr>
      <w:r>
        <w:rPr>
          <w:rFonts w:ascii="Aptos" w:hAnsi="Aptos"/>
          <w:b/>
          <w:color w:val="0C7D80"/>
        </w:rPr>
        <w:t xml:space="preserve">Objective. </w:t>
      </w:r>
      <w:r>
        <w:rPr>
          <w:rFonts w:ascii="Aptos" w:hAnsi="Aptos"/>
        </w:rPr>
        <w:t>Create a service-level code proposal for the novel AI acoustic-analysis and clinician-interpretation work when existing codes do not adequately describe the service.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Confirm through a formal code search that no existing CPT code adequately describes the complete service. Separate the billable professional service from the device, software license and remote-monitoring workflow.</w:t>
      </w:r>
    </w:p>
    <w:p>
      <w:pPr>
        <w:pStyle w:val="RoadmapBullet"/>
        <w:ind w:left="317" w:hanging="230"/>
      </w:pPr>
      <w:r>
        <w:rPr>
          <w:rFonts w:ascii="Aptos" w:hAnsi="Aptos"/>
          <w:b/>
          <w:color w:val="0C7D80"/>
        </w:rPr>
        <w:t xml:space="preserve">• </w:t>
      </w:r>
      <w:r>
        <w:rPr>
          <w:rFonts w:ascii="Aptos" w:hAnsi="Aptos"/>
        </w:rPr>
        <w:t>Define the service using current AMA AI taxonomy: what the algorithm detects/analyzes, what the physician or QHP reviews, interprets and reports, and whether the service is assistive or augmentative.</w:t>
      </w:r>
    </w:p>
    <w:p>
      <w:pPr>
        <w:pStyle w:val="RoadmapBullet"/>
        <w:ind w:left="317" w:hanging="230"/>
      </w:pPr>
      <w:r>
        <w:rPr>
          <w:rFonts w:ascii="Aptos" w:hAnsi="Aptos"/>
          <w:b/>
          <w:color w:val="0C7D80"/>
        </w:rPr>
        <w:t xml:space="preserve">• </w:t>
      </w:r>
      <w:r>
        <w:rPr>
          <w:rFonts w:ascii="Aptos" w:hAnsi="Aptos"/>
        </w:rPr>
        <w:t>Draft a neutral descriptor that matches the intended use and actual workflow. Use SENSORA/0962T as an analog, not as a code SonoHL can bill.</w:t>
      </w:r>
    </w:p>
    <w:p>
      <w:pPr>
        <w:pStyle w:val="RoadmapBullet"/>
        <w:ind w:left="317" w:hanging="230"/>
      </w:pPr>
      <w:r>
        <w:rPr>
          <w:rFonts w:ascii="Aptos" w:hAnsi="Aptos"/>
          <w:b/>
          <w:color w:val="0C7D80"/>
        </w:rPr>
        <w:t xml:space="preserve">• </w:t>
      </w:r>
      <w:r>
        <w:rPr>
          <w:rFonts w:ascii="Aptos" w:hAnsi="Aptos"/>
        </w:rPr>
        <w:t>Compile Category III criteria support: IRB-approved protocol, human use, technical description, clinical vignette, evidence/literature, utilization projections, sites/investigators and specialty support.</w:t>
      </w:r>
    </w:p>
    <w:p>
      <w:pPr>
        <w:pStyle w:val="RoadmapBullet"/>
        <w:ind w:left="317" w:hanging="230"/>
      </w:pPr>
      <w:r>
        <w:rPr>
          <w:rFonts w:ascii="Aptos" w:hAnsi="Aptos"/>
          <w:b/>
          <w:color w:val="0C7D80"/>
        </w:rPr>
        <w:t xml:space="preserve">• </w:t>
      </w:r>
      <w:r>
        <w:rPr>
          <w:rFonts w:ascii="Aptos" w:hAnsi="Aptos"/>
        </w:rPr>
        <w:t>Develop the application timeline around CPT Editorial Panel cycles and AMA requirements. Consider a pre-submission discussion and allow time for society review and revisions.</w:t>
      </w:r>
    </w:p>
    <w:p>
      <w:pPr>
        <w:pStyle w:val="RoadmapBullet"/>
        <w:ind w:left="317" w:hanging="230"/>
      </w:pPr>
      <w:r>
        <w:rPr>
          <w:rFonts w:ascii="Aptos" w:hAnsi="Aptos"/>
          <w:b/>
          <w:color w:val="0C7D80"/>
        </w:rPr>
        <w:t xml:space="preserve">• </w:t>
      </w:r>
      <w:r>
        <w:rPr>
          <w:rFonts w:ascii="Aptos" w:hAnsi="Aptos"/>
        </w:rPr>
        <w:t>Decide whether to file before FDA authorization based on stability of the intended use, evidence, application criteria and counsel advice. A premature descriptor can create future mismatch.</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Code landscape and gap analysis.</w:t>
      </w:r>
    </w:p>
    <w:p>
      <w:pPr>
        <w:pStyle w:val="RoadmapBullet"/>
        <w:ind w:left="317" w:hanging="230"/>
      </w:pPr>
      <w:r>
        <w:rPr>
          <w:rFonts w:ascii="Aptos" w:hAnsi="Aptos"/>
          <w:b/>
          <w:color w:val="0C7D80"/>
        </w:rPr>
        <w:t xml:space="preserve">• </w:t>
      </w:r>
      <w:r>
        <w:rPr>
          <w:rFonts w:ascii="Aptos" w:hAnsi="Aptos"/>
        </w:rPr>
        <w:t>Draft Category III descriptor, rationale, clinical vignette and application.</w:t>
      </w:r>
    </w:p>
    <w:p>
      <w:pPr>
        <w:pStyle w:val="RoadmapBullet"/>
        <w:ind w:left="317" w:hanging="230"/>
      </w:pPr>
      <w:r>
        <w:rPr>
          <w:rFonts w:ascii="Aptos" w:hAnsi="Aptos"/>
          <w:b/>
          <w:color w:val="0C7D80"/>
        </w:rPr>
        <w:t xml:space="preserve">• </w:t>
      </w:r>
      <w:r>
        <w:rPr>
          <w:rFonts w:ascii="Aptos" w:hAnsi="Aptos"/>
        </w:rPr>
        <w:t>Evidence/literature and utilization package.</w:t>
      </w:r>
    </w:p>
    <w:p>
      <w:pPr>
        <w:pStyle w:val="RoadmapBullet"/>
        <w:ind w:left="317" w:hanging="230"/>
      </w:pPr>
      <w:r>
        <w:rPr>
          <w:rFonts w:ascii="Aptos" w:hAnsi="Aptos"/>
          <w:b/>
          <w:color w:val="0C7D80"/>
        </w:rPr>
        <w:t xml:space="preserve">• </w:t>
      </w:r>
      <w:r>
        <w:rPr>
          <w:rFonts w:ascii="Aptos" w:hAnsi="Aptos"/>
        </w:rPr>
        <w:t>Submission calendar, decision memo and AMA correspondence file.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application package is complete enough for specialty-society and counsel review.</w:t>
      </w:r>
    </w:p>
    <w:p>
      <w:pPr>
        <w:pStyle w:val="RoadmapCheck"/>
        <w:ind w:left="317" w:hanging="230"/>
      </w:pPr>
      <w:r>
        <w:rPr>
          <w:rFonts w:ascii="Aptos" w:hAnsi="Aptos"/>
          <w:b/>
          <w:color w:val="2C9468"/>
        </w:rPr>
        <w:t xml:space="preserve">[ ] </w:t>
      </w:r>
      <w:r>
        <w:rPr>
          <w:rFonts w:ascii="Aptos" w:hAnsi="Aptos"/>
        </w:rPr>
        <w:t>The descriptor, clinical workflow and candidate FDA indication use consistent terminology.</w:t>
      </w:r>
    </w:p>
    <w:p>
      <w:pPr>
        <w:pStyle w:val="RoadmapCheck"/>
        <w:ind w:left="317" w:hanging="230"/>
      </w:pPr>
      <w:r>
        <w:rPr>
          <w:rFonts w:ascii="Aptos" w:hAnsi="Aptos"/>
          <w:b/>
          <w:color w:val="2C9468"/>
        </w:rPr>
        <w:t xml:space="preserve">[ ] </w:t>
      </w:r>
      <w:r>
        <w:rPr>
          <w:rFonts w:ascii="Aptos" w:hAnsi="Aptos"/>
        </w:rPr>
        <w:t>A documented decision exists to file now, file at a named milestone, or wait for authorization.</w:t>
      </w:r>
    </w:p>
    <w:p>
      <w:pPr>
        <w:spacing w:before="40" w:after="120" w:line="259" w:lineRule="auto"/>
      </w:pPr>
      <w:r>
        <w:rPr>
          <w:rFonts w:ascii="Aptos" w:hAnsi="Aptos"/>
          <w:b/>
          <w:color w:val="A8412F"/>
        </w:rPr>
        <w:t xml:space="preserve">Dependencies / cautions. </w:t>
      </w:r>
      <w:r>
        <w:rPr>
          <w:rFonts w:ascii="Aptos" w:hAnsi="Aptos"/>
          <w:color w:val="54626E"/>
        </w:rPr>
        <w:t>Category III codes do not guarantee coverage or payment. AMA criteria and application materials should be checked against the current official process.</w:t>
      </w:r>
    </w:p>
    <w:p>
      <w:pPr>
        <w:spacing w:before="40" w:after="80"/>
        <w:pBdr>
          <w:bottom w:val="single" w:sz="4" w:space="1" w:color="D8E0E6"/>
        </w:pBdr>
      </w:pPr>
    </w:p>
    <w:p>
      <w:pPr>
        <w:pStyle w:val="Heading2"/>
        <w:keepNext/>
      </w:pPr>
      <w:r>
        <w:rPr>
          <w:rFonts w:ascii="Aptos Display" w:hAnsi="Aptos Display"/>
          <w:b/>
          <w:color w:val="0E1822"/>
          <w:sz w:val="28"/>
        </w:rPr>
        <w:t>d3  Secure specialty-society and clinical-expert support</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Medical Affairs/Clinical lead; Coding lead manages application needs</w:t>
            </w:r>
          </w:p>
        </w:tc>
      </w:tr>
    </w:tbl>
    <w:p>
      <w:pPr>
        <w:spacing w:before="80" w:after="100" w:line="259" w:lineRule="auto"/>
      </w:pPr>
      <w:r>
        <w:rPr>
          <w:rFonts w:ascii="Aptos" w:hAnsi="Aptos"/>
          <w:b/>
          <w:color w:val="0C7D80"/>
        </w:rPr>
        <w:t xml:space="preserve">Objective. </w:t>
      </w:r>
      <w:r>
        <w:rPr>
          <w:rFonts w:ascii="Aptos" w:hAnsi="Aptos"/>
        </w:rPr>
        <w:t>Build credible clinical sponsorship for the emerging service and ensure the code proposal reflects real physician workflow rather than a manufacturer-only concept.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Identify the specialty most accountable for the proposed service: cardiology, pulmonology, primary care, hospital medicine, remote monitoring or a combination. Prioritize societies whose coding committees review related services.</w:t>
      </w:r>
    </w:p>
    <w:p>
      <w:pPr>
        <w:pStyle w:val="RoadmapBullet"/>
        <w:ind w:left="317" w:hanging="230"/>
      </w:pPr>
      <w:r>
        <w:rPr>
          <w:rFonts w:ascii="Aptos" w:hAnsi="Aptos"/>
          <w:b/>
          <w:color w:val="0C7D80"/>
        </w:rPr>
        <w:t xml:space="preserve">• </w:t>
      </w:r>
      <w:r>
        <w:rPr>
          <w:rFonts w:ascii="Aptos" w:hAnsi="Aptos"/>
        </w:rPr>
        <w:t>Recruit a small external clinical advisory group with intended users, trial investigators, community/remote-care perspectives and coding expertise. Manage conflicts and compensation transparently.</w:t>
      </w:r>
    </w:p>
    <w:p>
      <w:pPr>
        <w:pStyle w:val="RoadmapBullet"/>
        <w:ind w:left="317" w:hanging="230"/>
      </w:pPr>
      <w:r>
        <w:rPr>
          <w:rFonts w:ascii="Aptos" w:hAnsi="Aptos"/>
          <w:b/>
          <w:color w:val="0C7D80"/>
        </w:rPr>
        <w:t xml:space="preserve">• </w:t>
      </w:r>
      <w:r>
        <w:rPr>
          <w:rFonts w:ascii="Aptos" w:hAnsi="Aptos"/>
        </w:rPr>
        <w:t>Provide a non-promotional briefing package: investigational status, intended-use hypothesis, clinical workflow, evidence plan, draft descriptor, physician work, limitations and open questions.</w:t>
      </w:r>
    </w:p>
    <w:p>
      <w:pPr>
        <w:pStyle w:val="RoadmapBullet"/>
        <w:ind w:left="317" w:hanging="230"/>
      </w:pPr>
      <w:r>
        <w:rPr>
          <w:rFonts w:ascii="Aptos" w:hAnsi="Aptos"/>
          <w:b/>
          <w:color w:val="0C7D80"/>
        </w:rPr>
        <w:t xml:space="preserve">• </w:t>
      </w:r>
      <w:r>
        <w:rPr>
          <w:rFonts w:ascii="Aptos" w:hAnsi="Aptos"/>
        </w:rPr>
        <w:t>Ask advisors to test whether the service is clinically distinct, who performs each step, what report is produced, how it changes care and which specialty should sponsor or support the application.</w:t>
      </w:r>
    </w:p>
    <w:p>
      <w:pPr>
        <w:pStyle w:val="RoadmapBullet"/>
        <w:ind w:left="317" w:hanging="230"/>
      </w:pPr>
      <w:r>
        <w:rPr>
          <w:rFonts w:ascii="Aptos" w:hAnsi="Aptos"/>
          <w:b/>
          <w:color w:val="0C7D80"/>
        </w:rPr>
        <w:t xml:space="preserve">• </w:t>
      </w:r>
      <w:r>
        <w:rPr>
          <w:rFonts w:ascii="Aptos" w:hAnsi="Aptos"/>
        </w:rPr>
        <w:t>Secure a written support plan, named reviewers and internal society deadlines; do not wait until the formal AMA deadline to begin outreach.</w:t>
      </w:r>
    </w:p>
    <w:p>
      <w:pPr>
        <w:pStyle w:val="RoadmapBullet"/>
        <w:ind w:left="317" w:hanging="230"/>
      </w:pPr>
      <w:r>
        <w:rPr>
          <w:rFonts w:ascii="Aptos" w:hAnsi="Aptos"/>
          <w:b/>
          <w:color w:val="0C7D80"/>
        </w:rPr>
        <w:t xml:space="preserve">• </w:t>
      </w:r>
      <w:r>
        <w:rPr>
          <w:rFonts w:ascii="Aptos" w:hAnsi="Aptos"/>
        </w:rPr>
        <w:t>Use feedback to revise the clinical vignette, over-read requirements, evidence plan and site network.</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Specialty stakeholder map.</w:t>
      </w:r>
    </w:p>
    <w:p>
      <w:pPr>
        <w:pStyle w:val="RoadmapBullet"/>
        <w:ind w:left="317" w:hanging="230"/>
      </w:pPr>
      <w:r>
        <w:rPr>
          <w:rFonts w:ascii="Aptos" w:hAnsi="Aptos"/>
          <w:b/>
          <w:color w:val="0C7D80"/>
        </w:rPr>
        <w:t xml:space="preserve">• </w:t>
      </w:r>
      <w:r>
        <w:rPr>
          <w:rFonts w:ascii="Aptos" w:hAnsi="Aptos"/>
        </w:rPr>
        <w:t>Advisory group charter, conflict disclosures and meeting record.</w:t>
      </w:r>
    </w:p>
    <w:p>
      <w:pPr>
        <w:pStyle w:val="RoadmapBullet"/>
        <w:ind w:left="317" w:hanging="230"/>
      </w:pPr>
      <w:r>
        <w:rPr>
          <w:rFonts w:ascii="Aptos" w:hAnsi="Aptos"/>
          <w:b/>
          <w:color w:val="0C7D80"/>
        </w:rPr>
        <w:t xml:space="preserve">• </w:t>
      </w:r>
      <w:r>
        <w:rPr>
          <w:rFonts w:ascii="Aptos" w:hAnsi="Aptos"/>
        </w:rPr>
        <w:t>Society engagement plan and support letter/commitment when appropriate.</w:t>
      </w:r>
    </w:p>
    <w:p>
      <w:pPr>
        <w:pStyle w:val="RoadmapBullet"/>
        <w:ind w:left="317" w:hanging="230"/>
      </w:pPr>
      <w:r>
        <w:rPr>
          <w:rFonts w:ascii="Aptos" w:hAnsi="Aptos"/>
          <w:b/>
          <w:color w:val="0C7D80"/>
        </w:rPr>
        <w:t xml:space="preserve">• </w:t>
      </w:r>
      <w:r>
        <w:rPr>
          <w:rFonts w:ascii="Aptos" w:hAnsi="Aptos"/>
        </w:rPr>
        <w:t>Revised descriptor/workflow based on external feedback.</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At least one credible specialty pathway and named clinical champions are engaged.</w:t>
      </w:r>
    </w:p>
    <w:p>
      <w:pPr>
        <w:pStyle w:val="RoadmapCheck"/>
        <w:ind w:left="317" w:hanging="230"/>
      </w:pPr>
      <w:r>
        <w:rPr>
          <w:rFonts w:ascii="Aptos" w:hAnsi="Aptos"/>
          <w:b/>
          <w:color w:val="2C9468"/>
        </w:rPr>
        <w:t xml:space="preserve">[ ] </w:t>
      </w:r>
      <w:r>
        <w:rPr>
          <w:rFonts w:ascii="Aptos" w:hAnsi="Aptos"/>
        </w:rPr>
        <w:t>The proposed service has been challenged by actual intended users.</w:t>
      </w:r>
    </w:p>
    <w:p>
      <w:pPr>
        <w:pStyle w:val="RoadmapCheck"/>
        <w:ind w:left="317" w:hanging="230"/>
      </w:pPr>
      <w:r>
        <w:rPr>
          <w:rFonts w:ascii="Aptos" w:hAnsi="Aptos"/>
          <w:b/>
          <w:color w:val="2C9468"/>
        </w:rPr>
        <w:t xml:space="preserve">[ ] </w:t>
      </w:r>
      <w:r>
        <w:rPr>
          <w:rFonts w:ascii="Aptos" w:hAnsi="Aptos"/>
        </w:rPr>
        <w:t>The application schedule includes society review time and ownership.</w:t>
      </w:r>
    </w:p>
    <w:p>
      <w:pPr>
        <w:spacing w:before="40" w:after="120" w:line="259" w:lineRule="auto"/>
      </w:pPr>
      <w:r>
        <w:rPr>
          <w:rFonts w:ascii="Aptos" w:hAnsi="Aptos"/>
          <w:b/>
          <w:color w:val="A8412F"/>
        </w:rPr>
        <w:t xml:space="preserve">Dependencies / cautions. </w:t>
      </w:r>
      <w:r>
        <w:rPr>
          <w:rFonts w:ascii="Aptos" w:hAnsi="Aptos"/>
          <w:color w:val="54626E"/>
        </w:rPr>
        <w:t>Society support cannot compensate for an unclear service, weak evidence or unstable intended use. Avoid implying endorsement before formal approval.</w:t>
      </w:r>
    </w:p>
    <w:p>
      <w:pPr>
        <w:spacing w:before="40" w:after="80"/>
        <w:pBdr>
          <w:bottom w:val="single" w:sz="4" w:space="1" w:color="D8E0E6"/>
        </w:pBdr>
      </w:pPr>
    </w:p>
    <w:p>
      <w:pPr>
        <w:pStyle w:val="Heading2"/>
        <w:keepNext/>
      </w:pPr>
      <w:r>
        <w:rPr>
          <w:rFonts w:ascii="Aptos Display" w:hAnsi="Aptos Display"/>
          <w:b/>
          <w:color w:val="0E1822"/>
          <w:sz w:val="28"/>
        </w:rPr>
        <w:t>d4  Build the Category I graduation evidence and adoption system</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 long-term measurement plan; Category I eligibility is post-launch</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Medical Affairs/HEOR + Coding; Clinical Operations and Commercial Operations capture data</w:t>
            </w:r>
          </w:p>
        </w:tc>
      </w:tr>
    </w:tbl>
    <w:p>
      <w:pPr>
        <w:spacing w:before="80" w:after="100" w:line="259" w:lineRule="auto"/>
      </w:pPr>
      <w:r>
        <w:rPr>
          <w:rFonts w:ascii="Aptos" w:hAnsi="Aptos"/>
          <w:b/>
          <w:color w:val="0C7D80"/>
        </w:rPr>
        <w:t xml:space="preserve">Objective. </w:t>
      </w:r>
      <w:r>
        <w:rPr>
          <w:rFonts w:ascii="Aptos" w:hAnsi="Aptos"/>
        </w:rPr>
        <w:t>Define now how SonoHL will later demonstrate widespread use, consistent practice and peer-reviewed evidence rather than discovering after launch that required data were never collected.</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the future Category I evidence domains: authorized device status, broad physician adoption, geographic/site diversity, procedure frequency, accepted clinical practice, published efficacy/utility literature and stable service definition.</w:t>
      </w:r>
    </w:p>
    <w:p>
      <w:pPr>
        <w:pStyle w:val="RoadmapBullet"/>
        <w:ind w:left="317" w:hanging="230"/>
      </w:pPr>
      <w:r>
        <w:rPr>
          <w:rFonts w:ascii="Aptos" w:hAnsi="Aptos"/>
          <w:b/>
          <w:color w:val="0C7D80"/>
        </w:rPr>
        <w:t xml:space="preserve">• </w:t>
      </w:r>
      <w:r>
        <w:rPr>
          <w:rFonts w:ascii="Aptos" w:hAnsi="Aptos"/>
        </w:rPr>
        <w:t>Create a post-market utilization registry or data warehouse capturing site, specialty, indication, code used, report type, repeat use, outcomes and denials while protecting privacy.</w:t>
      </w:r>
    </w:p>
    <w:p>
      <w:pPr>
        <w:pStyle w:val="RoadmapBullet"/>
        <w:ind w:left="317" w:hanging="230"/>
      </w:pPr>
      <w:r>
        <w:rPr>
          <w:rFonts w:ascii="Aptos" w:hAnsi="Aptos"/>
          <w:b/>
          <w:color w:val="0C7D80"/>
        </w:rPr>
        <w:t xml:space="preserve">• </w:t>
      </w:r>
      <w:r>
        <w:rPr>
          <w:rFonts w:ascii="Aptos" w:hAnsi="Aptos"/>
        </w:rPr>
        <w:t>Develop a publication plan with validation, utility, workflow, health-equity and economic manuscripts; identify target journals and data cutoffs.</w:t>
      </w:r>
    </w:p>
    <w:p>
      <w:pPr>
        <w:pStyle w:val="RoadmapBullet"/>
        <w:ind w:left="317" w:hanging="230"/>
      </w:pPr>
      <w:r>
        <w:rPr>
          <w:rFonts w:ascii="Aptos" w:hAnsi="Aptos"/>
          <w:b/>
          <w:color w:val="0C7D80"/>
        </w:rPr>
        <w:t xml:space="preserve">• </w:t>
      </w:r>
      <w:r>
        <w:rPr>
          <w:rFonts w:ascii="Aptos" w:hAnsi="Aptos"/>
        </w:rPr>
        <w:t>Create site onboarding standards so the service is performed consistently and generates comparable documentation.</w:t>
      </w:r>
    </w:p>
    <w:p>
      <w:pPr>
        <w:pStyle w:val="RoadmapBullet"/>
        <w:ind w:left="317" w:hanging="230"/>
      </w:pPr>
      <w:r>
        <w:rPr>
          <w:rFonts w:ascii="Aptos" w:hAnsi="Aptos"/>
          <w:b/>
          <w:color w:val="0C7D80"/>
        </w:rPr>
        <w:t xml:space="preserve">• </w:t>
      </w:r>
      <w:r>
        <w:rPr>
          <w:rFonts w:ascii="Aptos" w:hAnsi="Aptos"/>
        </w:rPr>
        <w:t>Define annual graduation readiness metrics and a governance review that decides whether to pursue Category I, extend Category III, revise the code or rely on existing pathways.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Category I readiness scorecard and data dictionary.</w:t>
      </w:r>
    </w:p>
    <w:p>
      <w:pPr>
        <w:pStyle w:val="RoadmapBullet"/>
        <w:ind w:left="317" w:hanging="230"/>
      </w:pPr>
      <w:r>
        <w:rPr>
          <w:rFonts w:ascii="Aptos" w:hAnsi="Aptos"/>
          <w:b/>
          <w:color w:val="0C7D80"/>
        </w:rPr>
        <w:t xml:space="preserve">• </w:t>
      </w:r>
      <w:r>
        <w:rPr>
          <w:rFonts w:ascii="Aptos" w:hAnsi="Aptos"/>
        </w:rPr>
        <w:t>Post-market registry/utilization measurement plan.</w:t>
      </w:r>
    </w:p>
    <w:p>
      <w:pPr>
        <w:pStyle w:val="RoadmapBullet"/>
        <w:ind w:left="317" w:hanging="230"/>
      </w:pPr>
      <w:r>
        <w:rPr>
          <w:rFonts w:ascii="Aptos" w:hAnsi="Aptos"/>
          <w:b/>
          <w:color w:val="0C7D80"/>
        </w:rPr>
        <w:t xml:space="preserve">• </w:t>
      </w:r>
      <w:r>
        <w:rPr>
          <w:rFonts w:ascii="Aptos" w:hAnsi="Aptos"/>
        </w:rPr>
        <w:t>Multi-year publication and evidence plan.</w:t>
      </w:r>
    </w:p>
    <w:p>
      <w:pPr>
        <w:pStyle w:val="RoadmapBullet"/>
        <w:ind w:left="317" w:hanging="230"/>
      </w:pPr>
      <w:r>
        <w:rPr>
          <w:rFonts w:ascii="Aptos" w:hAnsi="Aptos"/>
          <w:b/>
          <w:color w:val="0C7D80"/>
        </w:rPr>
        <w:t xml:space="preserve">• </w:t>
      </w:r>
      <w:r>
        <w:rPr>
          <w:rFonts w:ascii="Aptos" w:hAnsi="Aptos"/>
        </w:rPr>
        <w:t>Annual code-strategy review charter.</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company knows exactly which adoption and evidence measures must be captured from first commercial use.</w:t>
      </w:r>
    </w:p>
    <w:p>
      <w:pPr>
        <w:pStyle w:val="RoadmapCheck"/>
        <w:ind w:left="317" w:hanging="230"/>
      </w:pPr>
      <w:r>
        <w:rPr>
          <w:rFonts w:ascii="Aptos" w:hAnsi="Aptos"/>
          <w:b/>
          <w:color w:val="2C9468"/>
        </w:rPr>
        <w:t xml:space="preserve">[ ] </w:t>
      </w:r>
      <w:r>
        <w:rPr>
          <w:rFonts w:ascii="Aptos" w:hAnsi="Aptos"/>
        </w:rPr>
        <w:t>Contracts, product analytics and clinical workflows permit collection of the needed data.</w:t>
      </w:r>
    </w:p>
    <w:p>
      <w:pPr>
        <w:pStyle w:val="RoadmapCheck"/>
        <w:ind w:left="317" w:hanging="230"/>
      </w:pPr>
      <w:r>
        <w:rPr>
          <w:rFonts w:ascii="Aptos" w:hAnsi="Aptos"/>
          <w:b/>
          <w:color w:val="2C9468"/>
        </w:rPr>
        <w:t xml:space="preserve">[ ] </w:t>
      </w:r>
      <w:r>
        <w:rPr>
          <w:rFonts w:ascii="Aptos" w:hAnsi="Aptos"/>
        </w:rPr>
        <w:t>Category I is treated as a milestone earned through practice and literature, not a date-based assumption.</w:t>
      </w:r>
    </w:p>
    <w:p>
      <w:pPr>
        <w:spacing w:before="40" w:after="120" w:line="259" w:lineRule="auto"/>
      </w:pPr>
      <w:r>
        <w:rPr>
          <w:rFonts w:ascii="Aptos" w:hAnsi="Aptos"/>
          <w:b/>
          <w:color w:val="A8412F"/>
        </w:rPr>
        <w:t xml:space="preserve">Dependencies / cautions. </w:t>
      </w:r>
      <w:r>
        <w:rPr>
          <w:rFonts w:ascii="Aptos" w:hAnsi="Aptos"/>
          <w:color w:val="54626E"/>
        </w:rPr>
        <w:t>Actual Category I criteria must be rechecked when the application is contemplated. Pre-launch plans cannot substitute for widespread real-world use.</w:t>
      </w:r>
    </w:p>
    <w:p>
      <w:pPr>
        <w:spacing w:before="40" w:after="80"/>
        <w:pBdr>
          <w:bottom w:val="single" w:sz="4" w:space="1" w:color="D8E0E6"/>
        </w:pBdr>
      </w:pPr>
    </w:p>
    <w:p>
      <w:pPr>
        <w:pStyle w:val="Heading1"/>
      </w:pPr>
      <w:r>
        <w:t>Stage 04 - Coverage and payment readiness</w:t>
      </w:r>
    </w:p>
    <w:p>
      <w:pPr>
        <w:pStyle w:val="Heading2"/>
        <w:keepNext/>
      </w:pPr>
      <w:r>
        <w:rPr>
          <w:rFonts w:ascii="Aptos Display" w:hAnsi="Aptos Display"/>
          <w:b/>
          <w:color w:val="0E1822"/>
          <w:sz w:val="28"/>
        </w:rPr>
        <w:t>e0  Prepare commercial-payer and Medicare LCD coverage packages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formal coverage decisions are post-authorization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Access/HEOR; Medical Affairs, Clinical and Reimbursement support</w:t>
            </w:r>
          </w:p>
        </w:tc>
      </w:tr>
    </w:tbl>
    <w:p>
      <w:pPr>
        <w:spacing w:before="80" w:after="100" w:line="259" w:lineRule="auto"/>
      </w:pPr>
      <w:r>
        <w:rPr>
          <w:rFonts w:ascii="Aptos" w:hAnsi="Aptos"/>
          <w:b/>
          <w:color w:val="0C7D80"/>
        </w:rPr>
        <w:t xml:space="preserve">Objective. </w:t>
      </w:r>
      <w:r>
        <w:rPr>
          <w:rFonts w:ascii="Aptos" w:hAnsi="Aptos"/>
        </w:rPr>
        <w:t>Know which payers/MACs matter, what evidence each requires, and how to submit a coherent coverage request as soon as the authorized indication and code strategy are stable.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Map priority commercial payers, Medicare Advantage plans, Medicaid programs and MAC jurisdictions based on launch sites, patient population and provider partners.</w:t>
      </w:r>
    </w:p>
    <w:p>
      <w:pPr>
        <w:pStyle w:val="RoadmapBullet"/>
        <w:ind w:left="317" w:hanging="230"/>
      </w:pPr>
      <w:r>
        <w:rPr>
          <w:rFonts w:ascii="Aptos" w:hAnsi="Aptos"/>
          <w:b/>
          <w:color w:val="0C7D80"/>
        </w:rPr>
        <w:t xml:space="preserve">• </w:t>
      </w:r>
      <w:r>
        <w:rPr>
          <w:rFonts w:ascii="Aptos" w:hAnsi="Aptos"/>
        </w:rPr>
        <w:t>Collect current medical policies for adjacent services: digital auscultation, remote monitoring, cardiac/pulmonary diagnostics, AI analysis and relevant imaging/referral pathways.</w:t>
      </w:r>
    </w:p>
    <w:p>
      <w:pPr>
        <w:pStyle w:val="RoadmapBullet"/>
        <w:ind w:left="317" w:hanging="230"/>
      </w:pPr>
      <w:r>
        <w:rPr>
          <w:rFonts w:ascii="Aptos" w:hAnsi="Aptos"/>
          <w:b/>
          <w:color w:val="0C7D80"/>
        </w:rPr>
        <w:t xml:space="preserve">• </w:t>
      </w:r>
      <w:r>
        <w:rPr>
          <w:rFonts w:ascii="Aptos" w:hAnsi="Aptos"/>
        </w:rPr>
        <w:t>Build a payer evidence requirements matrix covering FDA status, code, clinical validity, clinical utility, comparator, guideline/society support, net health outcome, safety, utilization management and economic impact.</w:t>
      </w:r>
    </w:p>
    <w:p>
      <w:pPr>
        <w:pStyle w:val="RoadmapBullet"/>
        <w:ind w:left="317" w:hanging="230"/>
      </w:pPr>
      <w:r>
        <w:rPr>
          <w:rFonts w:ascii="Aptos" w:hAnsi="Aptos"/>
          <w:b/>
          <w:color w:val="0C7D80"/>
        </w:rPr>
        <w:t xml:space="preserve">• </w:t>
      </w:r>
      <w:r>
        <w:rPr>
          <w:rFonts w:ascii="Aptos" w:hAnsi="Aptos"/>
        </w:rPr>
        <w:t>Draft a coverage submission module with placeholders for the final label, results, code and price. Prepare policy-language suggestions, patient criteria, provider qualifications, frequency and documentation.</w:t>
      </w:r>
    </w:p>
    <w:p>
      <w:pPr>
        <w:pStyle w:val="RoadmapBullet"/>
        <w:ind w:left="317" w:hanging="230"/>
      </w:pPr>
      <w:r>
        <w:rPr>
          <w:rFonts w:ascii="Aptos" w:hAnsi="Aptos"/>
          <w:b/>
          <w:color w:val="0C7D80"/>
        </w:rPr>
        <w:t xml:space="preserve">• </w:t>
      </w:r>
      <w:r>
        <w:rPr>
          <w:rFonts w:ascii="Aptos" w:hAnsi="Aptos"/>
        </w:rPr>
        <w:t>Identify pilot health systems and payers willing to conduct evidence-development or value-based arrangements after authorization.</w:t>
      </w:r>
    </w:p>
    <w:p>
      <w:pPr>
        <w:pStyle w:val="RoadmapBullet"/>
        <w:ind w:left="317" w:hanging="230"/>
      </w:pPr>
      <w:r>
        <w:rPr>
          <w:rFonts w:ascii="Aptos" w:hAnsi="Aptos"/>
          <w:b/>
          <w:color w:val="0C7D80"/>
        </w:rPr>
        <w:t xml:space="preserve">• </w:t>
      </w:r>
      <w:r>
        <w:rPr>
          <w:rFonts w:ascii="Aptos" w:hAnsi="Aptos"/>
        </w:rPr>
        <w:t>Develop a denial/appeal evidence package and real-world evidence plan for the first claims.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Payer/MAC priority map and policy landscape.</w:t>
      </w:r>
    </w:p>
    <w:p>
      <w:pPr>
        <w:pStyle w:val="RoadmapBullet"/>
        <w:ind w:left="317" w:hanging="230"/>
      </w:pPr>
      <w:r>
        <w:rPr>
          <w:rFonts w:ascii="Aptos" w:hAnsi="Aptos"/>
          <w:b/>
          <w:color w:val="0C7D80"/>
        </w:rPr>
        <w:t xml:space="preserve">• </w:t>
      </w:r>
      <w:r>
        <w:rPr>
          <w:rFonts w:ascii="Aptos" w:hAnsi="Aptos"/>
        </w:rPr>
        <w:t>Coverage evidence matrix.</w:t>
      </w:r>
    </w:p>
    <w:p>
      <w:pPr>
        <w:pStyle w:val="RoadmapBullet"/>
        <w:ind w:left="317" w:hanging="230"/>
      </w:pPr>
      <w:r>
        <w:rPr>
          <w:rFonts w:ascii="Aptos" w:hAnsi="Aptos"/>
          <w:b/>
          <w:color w:val="0C7D80"/>
        </w:rPr>
        <w:t xml:space="preserve">• </w:t>
      </w:r>
      <w:r>
        <w:rPr>
          <w:rFonts w:ascii="Aptos" w:hAnsi="Aptos"/>
        </w:rPr>
        <w:t>Draft coverage request, policy language and appeal kit.</w:t>
      </w:r>
    </w:p>
    <w:p>
      <w:pPr>
        <w:pStyle w:val="RoadmapBullet"/>
        <w:ind w:left="317" w:hanging="230"/>
      </w:pPr>
      <w:r>
        <w:rPr>
          <w:rFonts w:ascii="Aptos" w:hAnsi="Aptos"/>
          <w:b/>
          <w:color w:val="0C7D80"/>
        </w:rPr>
        <w:t xml:space="preserve">• </w:t>
      </w:r>
      <w:r>
        <w:rPr>
          <w:rFonts w:ascii="Aptos" w:hAnsi="Aptos"/>
        </w:rPr>
        <w:t>Post-authorization engagement calendar and account ownership.</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priority payer has a documented evidence threshold, contact path and next action.</w:t>
      </w:r>
    </w:p>
    <w:p>
      <w:pPr>
        <w:pStyle w:val="RoadmapCheck"/>
        <w:ind w:left="317" w:hanging="230"/>
      </w:pPr>
      <w:r>
        <w:rPr>
          <w:rFonts w:ascii="Aptos" w:hAnsi="Aptos"/>
          <w:b/>
          <w:color w:val="2C9468"/>
        </w:rPr>
        <w:t xml:space="preserve">[ ] </w:t>
      </w:r>
      <w:r>
        <w:rPr>
          <w:rFonts w:ascii="Aptos" w:hAnsi="Aptos"/>
        </w:rPr>
        <w:t>The draft package can be finalized by inserting authorized wording, final data and code status.</w:t>
      </w:r>
    </w:p>
    <w:p>
      <w:pPr>
        <w:pStyle w:val="RoadmapCheck"/>
        <w:ind w:left="317" w:hanging="230"/>
      </w:pPr>
      <w:r>
        <w:rPr>
          <w:rFonts w:ascii="Aptos" w:hAnsi="Aptos"/>
          <w:b/>
          <w:color w:val="2C9468"/>
        </w:rPr>
        <w:t xml:space="preserve">[ ] </w:t>
      </w:r>
      <w:r>
        <w:rPr>
          <w:rFonts w:ascii="Aptos" w:hAnsi="Aptos"/>
        </w:rPr>
        <w:t>Launch-site selection reflects coverage learning opportunities, not only commercial interest.</w:t>
      </w:r>
    </w:p>
    <w:p>
      <w:pPr>
        <w:spacing w:before="40" w:after="120" w:line="259" w:lineRule="auto"/>
      </w:pPr>
      <w:r>
        <w:rPr>
          <w:rFonts w:ascii="Aptos" w:hAnsi="Aptos"/>
          <w:b/>
          <w:color w:val="A8412F"/>
        </w:rPr>
        <w:t xml:space="preserve">Dependencies / cautions. </w:t>
      </w:r>
      <w:r>
        <w:rPr>
          <w:rFonts w:ascii="Aptos" w:hAnsi="Aptos"/>
          <w:color w:val="54626E"/>
        </w:rPr>
        <w:t>LCD and commercial policy timing is outside the company's control. Do not represent a draft submission or positive discussion as coverage.</w:t>
      </w:r>
    </w:p>
    <w:p>
      <w:pPr>
        <w:spacing w:before="40" w:after="80"/>
        <w:pBdr>
          <w:bottom w:val="single" w:sz="4" w:space="1" w:color="D8E0E6"/>
        </w:pBdr>
      </w:pPr>
    </w:p>
    <w:p>
      <w:pPr>
        <w:pStyle w:val="Heading2"/>
        <w:keepNext/>
      </w:pPr>
      <w:r>
        <w:rPr>
          <w:rFonts w:ascii="Aptos Display" w:hAnsi="Aptos Display"/>
          <w:b/>
          <w:color w:val="0E1822"/>
          <w:sz w:val="28"/>
        </w:rPr>
        <w:t>e1  Prepare the conditional NCD/RAPID strategy</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execution depends on Breakthrough/RAPID eligibility and CMS engagement</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 lead + Regulatory lead; Clinical and HEOR align evidence</w:t>
            </w:r>
          </w:p>
        </w:tc>
      </w:tr>
    </w:tbl>
    <w:p>
      <w:pPr>
        <w:spacing w:before="80" w:after="100" w:line="259" w:lineRule="auto"/>
      </w:pPr>
      <w:r>
        <w:rPr>
          <w:rFonts w:ascii="Aptos" w:hAnsi="Aptos"/>
          <w:b/>
          <w:color w:val="0C7D80"/>
        </w:rPr>
        <w:t xml:space="preserve">Objective. </w:t>
      </w:r>
      <w:r>
        <w:rPr>
          <w:rFonts w:ascii="Aptos" w:hAnsi="Aptos"/>
        </w:rPr>
        <w:t>If SonoHL obtains Breakthrough designation and meets pathway requirements, align FDA and Medicare evidence development early enough to avoid duplicative studies and delayed national coverage.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Confirm current RAPID eligibility, TAP participation requirements, Class II/Class III scope, Medicare population relevance and CMS process at the time of planning.</w:t>
      </w:r>
    </w:p>
    <w:p>
      <w:pPr>
        <w:pStyle w:val="RoadmapBullet"/>
        <w:ind w:left="317" w:hanging="230"/>
      </w:pPr>
      <w:r>
        <w:rPr>
          <w:rFonts w:ascii="Aptos" w:hAnsi="Aptos"/>
          <w:b/>
          <w:color w:val="0C7D80"/>
        </w:rPr>
        <w:t xml:space="preserve">• </w:t>
      </w:r>
      <w:r>
        <w:rPr>
          <w:rFonts w:ascii="Aptos" w:hAnsi="Aptos"/>
        </w:rPr>
        <w:t>Assess whether the initial indication addresses a meaningful Medicare population and whether the pivotal/IDE study can enroll representative beneficiaries and capture CMS-relevant outcomes.</w:t>
      </w:r>
    </w:p>
    <w:p>
      <w:pPr>
        <w:pStyle w:val="RoadmapBullet"/>
        <w:ind w:left="317" w:hanging="230"/>
      </w:pPr>
      <w:r>
        <w:rPr>
          <w:rFonts w:ascii="Aptos" w:hAnsi="Aptos"/>
          <w:b/>
          <w:color w:val="0C7D80"/>
        </w:rPr>
        <w:t xml:space="preserve">• </w:t>
      </w:r>
      <w:r>
        <w:rPr>
          <w:rFonts w:ascii="Aptos" w:hAnsi="Aptos"/>
        </w:rPr>
        <w:t>Develop a joint evidence questions list for FDA and CMS: patient population, outcomes, follow-up, comparators, clinical utility, adverse events, subgroup performance and evidence-development commitments.</w:t>
      </w:r>
    </w:p>
    <w:p>
      <w:pPr>
        <w:pStyle w:val="RoadmapBullet"/>
        <w:ind w:left="317" w:hanging="230"/>
      </w:pPr>
      <w:r>
        <w:rPr>
          <w:rFonts w:ascii="Aptos" w:hAnsi="Aptos"/>
          <w:b/>
          <w:color w:val="0C7D80"/>
        </w:rPr>
        <w:t xml:space="preserve">• </w:t>
      </w:r>
      <w:r>
        <w:rPr>
          <w:rFonts w:ascii="Aptos" w:hAnsi="Aptos"/>
        </w:rPr>
        <w:t>Prepare a pathway nomination/engagement package and a standard NCD fallback plan. Identify data needed for coverage with evidence development if permanent coverage is not immediately available.</w:t>
      </w:r>
    </w:p>
    <w:p>
      <w:pPr>
        <w:pStyle w:val="RoadmapBullet"/>
        <w:ind w:left="317" w:hanging="230"/>
      </w:pPr>
      <w:r>
        <w:rPr>
          <w:rFonts w:ascii="Aptos" w:hAnsi="Aptos"/>
          <w:b/>
          <w:color w:val="0C7D80"/>
        </w:rPr>
        <w:t xml:space="preserve">• </w:t>
      </w:r>
      <w:r>
        <w:rPr>
          <w:rFonts w:ascii="Aptos" w:hAnsi="Aptos"/>
        </w:rPr>
        <w:t>Model the operational implications of national coverage versus local/commercial sequencing and ensure the business plan remains viable if RAPID is unavailable or delayed.</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RAPID/NCD eligibility and gap memorandum.</w:t>
      </w:r>
    </w:p>
    <w:p>
      <w:pPr>
        <w:pStyle w:val="RoadmapBullet"/>
        <w:ind w:left="317" w:hanging="230"/>
      </w:pPr>
      <w:r>
        <w:rPr>
          <w:rFonts w:ascii="Aptos" w:hAnsi="Aptos"/>
          <w:b/>
          <w:color w:val="0C7D80"/>
        </w:rPr>
        <w:t xml:space="preserve">• </w:t>
      </w:r>
      <w:r>
        <w:rPr>
          <w:rFonts w:ascii="Aptos" w:hAnsi="Aptos"/>
        </w:rPr>
        <w:t>Medicare evidence alignment plan.</w:t>
      </w:r>
    </w:p>
    <w:p>
      <w:pPr>
        <w:pStyle w:val="RoadmapBullet"/>
        <w:ind w:left="317" w:hanging="230"/>
      </w:pPr>
      <w:r>
        <w:rPr>
          <w:rFonts w:ascii="Aptos" w:hAnsi="Aptos"/>
          <w:b/>
          <w:color w:val="0C7D80"/>
        </w:rPr>
        <w:t xml:space="preserve">• </w:t>
      </w:r>
      <w:r>
        <w:rPr>
          <w:rFonts w:ascii="Aptos" w:hAnsi="Aptos"/>
        </w:rPr>
        <w:t>Draft CMS engagement package and fallback coverage strategy.</w:t>
      </w:r>
    </w:p>
    <w:p>
      <w:pPr>
        <w:pStyle w:val="RoadmapBullet"/>
        <w:ind w:left="317" w:hanging="230"/>
      </w:pPr>
      <w:r>
        <w:rPr>
          <w:rFonts w:ascii="Aptos" w:hAnsi="Aptos"/>
          <w:b/>
          <w:color w:val="0C7D80"/>
        </w:rPr>
        <w:t xml:space="preserve">• </w:t>
      </w:r>
      <w:r>
        <w:rPr>
          <w:rFonts w:ascii="Aptos" w:hAnsi="Aptos"/>
        </w:rPr>
        <w:t>Decision triggers tied to Breakthrough and FDA milestones.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can explain exactly why the product and study do or do not qualify.</w:t>
      </w:r>
    </w:p>
    <w:p>
      <w:pPr>
        <w:pStyle w:val="RoadmapCheck"/>
        <w:ind w:left="317" w:hanging="230"/>
      </w:pPr>
      <w:r>
        <w:rPr>
          <w:rFonts w:ascii="Aptos" w:hAnsi="Aptos"/>
          <w:b/>
          <w:color w:val="2C9468"/>
        </w:rPr>
        <w:t xml:space="preserve">[ ] </w:t>
      </w:r>
      <w:r>
        <w:rPr>
          <w:rFonts w:ascii="Aptos" w:hAnsi="Aptos"/>
        </w:rPr>
        <w:t>CMS-relevant endpoints are integrated before pivotal enrollment where feasible.</w:t>
      </w:r>
    </w:p>
    <w:p>
      <w:pPr>
        <w:pStyle w:val="RoadmapCheck"/>
        <w:ind w:left="317" w:hanging="230"/>
      </w:pPr>
      <w:r>
        <w:rPr>
          <w:rFonts w:ascii="Aptos" w:hAnsi="Aptos"/>
          <w:b/>
          <w:color w:val="2C9468"/>
        </w:rPr>
        <w:t xml:space="preserve">[ ] </w:t>
      </w:r>
      <w:r>
        <w:rPr>
          <w:rFonts w:ascii="Aptos" w:hAnsi="Aptos"/>
        </w:rPr>
        <w:t>The commercial plan does not depend on RAPID as a certainty.</w:t>
      </w:r>
    </w:p>
    <w:p>
      <w:pPr>
        <w:spacing w:before="40" w:after="120" w:line="259" w:lineRule="auto"/>
      </w:pPr>
      <w:r>
        <w:rPr>
          <w:rFonts w:ascii="Aptos" w:hAnsi="Aptos"/>
          <w:b/>
          <w:color w:val="A8412F"/>
        </w:rPr>
        <w:t xml:space="preserve">Dependencies / cautions. </w:t>
      </w:r>
      <w:r>
        <w:rPr>
          <w:rFonts w:ascii="Aptos" w:hAnsi="Aptos"/>
          <w:color w:val="54626E"/>
        </w:rPr>
        <w:t>RAPID is new and evolving. Reconfirm official eligibility and process immediately before engagement.</w:t>
      </w:r>
    </w:p>
    <w:p>
      <w:pPr>
        <w:spacing w:before="40" w:after="80"/>
        <w:pBdr>
          <w:bottom w:val="single" w:sz="4" w:space="1" w:color="D8E0E6"/>
        </w:pBdr>
      </w:pPr>
    </w:p>
    <w:p>
      <w:pPr>
        <w:pStyle w:val="Heading2"/>
        <w:keepNext/>
      </w:pPr>
      <w:r>
        <w:rPr>
          <w:rFonts w:ascii="Aptos Display" w:hAnsi="Aptos Display"/>
          <w:b/>
          <w:color w:val="0E1822"/>
          <w:sz w:val="28"/>
        </w:rPr>
        <w:t>e2  Prepare the hospital outpatient payment and APC/pass-through package</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formal payment requests occur after required authorization/code milestones</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Reimbursement/Market Access; Hospital finance partners and Clinical Operations supply cost/resource data</w:t>
            </w:r>
          </w:p>
        </w:tc>
      </w:tr>
    </w:tbl>
    <w:p>
      <w:pPr>
        <w:spacing w:before="80" w:after="100" w:line="259" w:lineRule="auto"/>
      </w:pPr>
      <w:r>
        <w:rPr>
          <w:rFonts w:ascii="Aptos" w:hAnsi="Aptos"/>
          <w:b/>
          <w:color w:val="0C7D80"/>
        </w:rPr>
        <w:t xml:space="preserve">Objective. </w:t>
      </w:r>
      <w:r>
        <w:rPr>
          <w:rFonts w:ascii="Aptos" w:hAnsi="Aptos"/>
        </w:rPr>
        <w:t>Create the service, cost and resource-use evidence needed to pursue separate outpatient payment or a new-technology pathway if the authorized service is suitable for hospital outpatient billing.</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the hospital outpatient service episode: patient arrival, vest setup, recording, algorithm processing, physician/QHP review, report, follow-up and facility resources.</w:t>
      </w:r>
    </w:p>
    <w:p>
      <w:pPr>
        <w:pStyle w:val="RoadmapBullet"/>
        <w:ind w:left="317" w:hanging="230"/>
      </w:pPr>
      <w:r>
        <w:rPr>
          <w:rFonts w:ascii="Aptos" w:hAnsi="Aptos"/>
          <w:b/>
          <w:color w:val="0C7D80"/>
        </w:rPr>
        <w:t xml:space="preserve">• </w:t>
      </w:r>
      <w:r>
        <w:rPr>
          <w:rFonts w:ascii="Aptos" w:hAnsi="Aptos"/>
        </w:rPr>
        <w:t>Determine whether the primary economic pathway is a professional CPT service, hospital facility APC, device pass-through, New Technology APC, packaged payment or hospital value/cost offset.</w:t>
      </w:r>
    </w:p>
    <w:p>
      <w:pPr>
        <w:pStyle w:val="RoadmapBullet"/>
        <w:ind w:left="317" w:hanging="230"/>
      </w:pPr>
      <w:r>
        <w:rPr>
          <w:rFonts w:ascii="Aptos" w:hAnsi="Aptos"/>
          <w:b/>
          <w:color w:val="0C7D80"/>
        </w:rPr>
        <w:t xml:space="preserve">• </w:t>
      </w:r>
      <w:r>
        <w:rPr>
          <w:rFonts w:ascii="Aptos" w:hAnsi="Aptos"/>
        </w:rPr>
        <w:t>Collect standardized resource-use data from pilot sites: staff type/time, room time, supplies, device depreciation or license allocation, IT integration, failed recordings and overhead.</w:t>
      </w:r>
    </w:p>
    <w:p>
      <w:pPr>
        <w:pStyle w:val="RoadmapBullet"/>
        <w:ind w:left="317" w:hanging="230"/>
      </w:pPr>
      <w:r>
        <w:rPr>
          <w:rFonts w:ascii="Aptos" w:hAnsi="Aptos"/>
          <w:b/>
          <w:color w:val="0C7D80"/>
        </w:rPr>
        <w:t xml:space="preserve">• </w:t>
      </w:r>
      <w:r>
        <w:rPr>
          <w:rFonts w:ascii="Aptos" w:hAnsi="Aptos"/>
        </w:rPr>
        <w:t>Build hospital cost-accounting instructions so claims/cost data are captured consistently and can support rate-setting.</w:t>
      </w:r>
    </w:p>
    <w:p>
      <w:pPr>
        <w:pStyle w:val="RoadmapBullet"/>
        <w:ind w:left="317" w:hanging="230"/>
      </w:pPr>
      <w:r>
        <w:rPr>
          <w:rFonts w:ascii="Aptos" w:hAnsi="Aptos"/>
          <w:b/>
          <w:color w:val="0C7D80"/>
        </w:rPr>
        <w:t xml:space="preserve">• </w:t>
      </w:r>
      <w:r>
        <w:rPr>
          <w:rFonts w:ascii="Aptos" w:hAnsi="Aptos"/>
        </w:rPr>
        <w:t>Prepare a draft application narrative, code/APC analog analysis, clinical benefit evidence, cost data and expected utilization. Use SENSORA/APC 5734 only as an analog and verify current rates/processes.</w:t>
      </w:r>
    </w:p>
    <w:p>
      <w:pPr>
        <w:pStyle w:val="RoadmapBullet"/>
        <w:ind w:left="317" w:hanging="230"/>
      </w:pPr>
      <w:r>
        <w:rPr>
          <w:rFonts w:ascii="Aptos" w:hAnsi="Aptos"/>
          <w:b/>
          <w:color w:val="0C7D80"/>
        </w:rPr>
        <w:t xml:space="preserve">• </w:t>
      </w:r>
      <w:r>
        <w:rPr>
          <w:rFonts w:ascii="Aptos" w:hAnsi="Aptos"/>
        </w:rPr>
        <w:t>Develop a hospital value-analysis package for settings where separate payment is not available, focused on workflow and measurable cost offsets.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Hospital outpatient service and resource map.</w:t>
      </w:r>
    </w:p>
    <w:p>
      <w:pPr>
        <w:pStyle w:val="RoadmapBullet"/>
        <w:ind w:left="317" w:hanging="230"/>
      </w:pPr>
      <w:r>
        <w:rPr>
          <w:rFonts w:ascii="Aptos" w:hAnsi="Aptos"/>
          <w:b/>
          <w:color w:val="0C7D80"/>
        </w:rPr>
        <w:t xml:space="preserve">• </w:t>
      </w:r>
      <w:r>
        <w:rPr>
          <w:rFonts w:ascii="Aptos" w:hAnsi="Aptos"/>
        </w:rPr>
        <w:t>Cost-collection protocol and pilot-site templates.</w:t>
      </w:r>
    </w:p>
    <w:p>
      <w:pPr>
        <w:pStyle w:val="RoadmapBullet"/>
        <w:ind w:left="317" w:hanging="230"/>
      </w:pPr>
      <w:r>
        <w:rPr>
          <w:rFonts w:ascii="Aptos" w:hAnsi="Aptos"/>
          <w:b/>
          <w:color w:val="0C7D80"/>
        </w:rPr>
        <w:t xml:space="preserve">• </w:t>
      </w:r>
      <w:r>
        <w:rPr>
          <w:rFonts w:ascii="Aptos" w:hAnsi="Aptos"/>
        </w:rPr>
        <w:t>Draft APC/pass-through/New Technology payment package.</w:t>
      </w:r>
    </w:p>
    <w:p>
      <w:pPr>
        <w:pStyle w:val="RoadmapBullet"/>
        <w:ind w:left="317" w:hanging="230"/>
      </w:pPr>
      <w:r>
        <w:rPr>
          <w:rFonts w:ascii="Aptos" w:hAnsi="Aptos"/>
          <w:b/>
          <w:color w:val="0C7D80"/>
        </w:rPr>
        <w:t xml:space="preserve">• </w:t>
      </w:r>
      <w:r>
        <w:rPr>
          <w:rFonts w:ascii="Aptos" w:hAnsi="Aptos"/>
        </w:rPr>
        <w:t>Hospital value-analysis and budget model.</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knows which payment mechanism it will pursue in each site of care and why.</w:t>
      </w:r>
    </w:p>
    <w:p>
      <w:pPr>
        <w:pStyle w:val="RoadmapCheck"/>
        <w:ind w:left="317" w:hanging="230"/>
      </w:pPr>
      <w:r>
        <w:rPr>
          <w:rFonts w:ascii="Aptos" w:hAnsi="Aptos"/>
          <w:b/>
          <w:color w:val="2C9468"/>
        </w:rPr>
        <w:t xml:space="preserve">[ ] </w:t>
      </w:r>
      <w:r>
        <w:rPr>
          <w:rFonts w:ascii="Aptos" w:hAnsi="Aptos"/>
        </w:rPr>
        <w:t>Pilot sites can generate auditable resource and cost data.</w:t>
      </w:r>
    </w:p>
    <w:p>
      <w:pPr>
        <w:pStyle w:val="RoadmapCheck"/>
        <w:ind w:left="317" w:hanging="230"/>
      </w:pPr>
      <w:r>
        <w:rPr>
          <w:rFonts w:ascii="Aptos" w:hAnsi="Aptos"/>
          <w:b/>
          <w:color w:val="2C9468"/>
        </w:rPr>
        <w:t xml:space="preserve">[ ] </w:t>
      </w:r>
      <w:r>
        <w:rPr>
          <w:rFonts w:ascii="Aptos" w:hAnsi="Aptos"/>
        </w:rPr>
        <w:t>The package is ready for final code, label, price and evidence insertion.</w:t>
      </w:r>
    </w:p>
    <w:p>
      <w:pPr>
        <w:spacing w:before="40" w:after="120" w:line="259" w:lineRule="auto"/>
      </w:pPr>
      <w:r>
        <w:rPr>
          <w:rFonts w:ascii="Aptos" w:hAnsi="Aptos"/>
          <w:b/>
          <w:color w:val="A8412F"/>
        </w:rPr>
        <w:t xml:space="preserve">Dependencies / cautions. </w:t>
      </w:r>
      <w:r>
        <w:rPr>
          <w:rFonts w:ascii="Aptos" w:hAnsi="Aptos"/>
          <w:color w:val="54626E"/>
        </w:rPr>
        <w:t>APC assignment and pass-through criteria are technical and time-sensitive. Obtain specialized reimbursement counsel before filing.</w:t>
      </w:r>
    </w:p>
    <w:p>
      <w:pPr>
        <w:spacing w:before="40" w:after="80"/>
        <w:pBdr>
          <w:bottom w:val="single" w:sz="4" w:space="1" w:color="D8E0E6"/>
        </w:pBdr>
      </w:pPr>
    </w:p>
    <w:p>
      <w:pPr>
        <w:pStyle w:val="Heading2"/>
        <w:keepNext/>
      </w:pPr>
      <w:r>
        <w:rPr>
          <w:rFonts w:ascii="Aptos Display" w:hAnsi="Aptos Display"/>
          <w:b/>
          <w:color w:val="0E1822"/>
          <w:sz w:val="28"/>
        </w:rPr>
        <w:t>e3  Operate a reimbursement-policy surveillance and comment program</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an ongoing operating process</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Access/Reimbursement lead; Legal/Policy and Finance assess impact</w:t>
            </w:r>
          </w:p>
        </w:tc>
      </w:tr>
    </w:tbl>
    <w:p>
      <w:pPr>
        <w:spacing w:before="80" w:after="100" w:line="259" w:lineRule="auto"/>
      </w:pPr>
      <w:r>
        <w:rPr>
          <w:rFonts w:ascii="Aptos" w:hAnsi="Aptos"/>
          <w:b/>
          <w:color w:val="0C7D80"/>
        </w:rPr>
        <w:t xml:space="preserve">Objective. </w:t>
      </w:r>
      <w:r>
        <w:rPr>
          <w:rFonts w:ascii="Aptos" w:hAnsi="Aptos"/>
        </w:rPr>
        <w:t>Track moving CMS, AMA and legislative rules so the product, evidence and submission strategy are updated before a pathway closes or a new opportunity appears.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 policy tracker for CMS PFS, OPPS, IPPS/NTAP, NCD/LCD changes, RAPID/TCET developments, AMA CPT Panel calendars and Category III releases, relevant HCPCS cycles and federal legislation.</w:t>
      </w:r>
    </w:p>
    <w:p>
      <w:pPr>
        <w:pStyle w:val="RoadmapBullet"/>
        <w:ind w:left="317" w:hanging="230"/>
      </w:pPr>
      <w:r>
        <w:rPr>
          <w:rFonts w:ascii="Aptos" w:hAnsi="Aptos"/>
          <w:b/>
          <w:color w:val="0C7D80"/>
        </w:rPr>
        <w:t xml:space="preserve">• </w:t>
      </w:r>
      <w:r>
        <w:rPr>
          <w:rFonts w:ascii="Aptos" w:hAnsi="Aptos"/>
        </w:rPr>
        <w:t>Assign a named owner, review frequency, source links, comment deadlines, effective dates, affected workstreams and decision thresholds.</w:t>
      </w:r>
    </w:p>
    <w:p>
      <w:pPr>
        <w:pStyle w:val="RoadmapBullet"/>
        <w:ind w:left="317" w:hanging="230"/>
      </w:pPr>
      <w:r>
        <w:rPr>
          <w:rFonts w:ascii="Aptos" w:hAnsi="Aptos"/>
          <w:b/>
          <w:color w:val="0C7D80"/>
        </w:rPr>
        <w:t xml:space="preserve">• </w:t>
      </w:r>
      <w:r>
        <w:rPr>
          <w:rFonts w:ascii="Aptos" w:hAnsi="Aptos"/>
        </w:rPr>
        <w:t>Produce a one-page impact memo for each material proposal/final rule: what changed, confidence level, financial/operational impact, required action and whether assumptions in the roadmap must be revised.</w:t>
      </w:r>
    </w:p>
    <w:p>
      <w:pPr>
        <w:pStyle w:val="RoadmapBullet"/>
        <w:ind w:left="317" w:hanging="230"/>
      </w:pPr>
      <w:r>
        <w:rPr>
          <w:rFonts w:ascii="Aptos" w:hAnsi="Aptos"/>
          <w:b/>
          <w:color w:val="0C7D80"/>
        </w:rPr>
        <w:t xml:space="preserve">• </w:t>
      </w:r>
      <w:r>
        <w:rPr>
          <w:rFonts w:ascii="Aptos" w:hAnsi="Aptos"/>
        </w:rPr>
        <w:t>Join or coordinate with relevant industry/specialty groups for comments where SonoHL has evidence or a meaningful policy position.</w:t>
      </w:r>
    </w:p>
    <w:p>
      <w:pPr>
        <w:pStyle w:val="RoadmapBullet"/>
        <w:ind w:left="317" w:hanging="230"/>
      </w:pPr>
      <w:r>
        <w:rPr>
          <w:rFonts w:ascii="Aptos" w:hAnsi="Aptos"/>
          <w:b/>
          <w:color w:val="0C7D80"/>
        </w:rPr>
        <w:t xml:space="preserve">• </w:t>
      </w:r>
      <w:r>
        <w:rPr>
          <w:rFonts w:ascii="Aptos" w:hAnsi="Aptos"/>
        </w:rPr>
        <w:t>Maintain versioned reimbursement assumptions in the financial model; never hard-code a proposed pathway or payment rate as guaranteed revenue.</w:t>
      </w:r>
    </w:p>
    <w:p>
      <w:pPr>
        <w:pStyle w:val="RoadmapBullet"/>
        <w:ind w:left="317" w:hanging="230"/>
      </w:pPr>
      <w:r>
        <w:rPr>
          <w:rFonts w:ascii="Aptos" w:hAnsi="Aptos"/>
          <w:b/>
          <w:color w:val="0C7D80"/>
        </w:rPr>
        <w:t xml:space="preserve">• </w:t>
      </w:r>
      <w:r>
        <w:rPr>
          <w:rFonts w:ascii="Aptos" w:hAnsi="Aptos"/>
        </w:rPr>
        <w:t>Review the roadmap quarterly and after every material FDA/CMS/AMA development.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Live policy and deadline tracker.</w:t>
      </w:r>
    </w:p>
    <w:p>
      <w:pPr>
        <w:pStyle w:val="RoadmapBullet"/>
        <w:ind w:left="317" w:hanging="230"/>
      </w:pPr>
      <w:r>
        <w:rPr>
          <w:rFonts w:ascii="Aptos" w:hAnsi="Aptos"/>
          <w:b/>
          <w:color w:val="0C7D80"/>
        </w:rPr>
        <w:t xml:space="preserve">• </w:t>
      </w:r>
      <w:r>
        <w:rPr>
          <w:rFonts w:ascii="Aptos" w:hAnsi="Aptos"/>
        </w:rPr>
        <w:t>Standard impact-assessment template and decision log.</w:t>
      </w:r>
    </w:p>
    <w:p>
      <w:pPr>
        <w:pStyle w:val="RoadmapBullet"/>
        <w:ind w:left="317" w:hanging="230"/>
      </w:pPr>
      <w:r>
        <w:rPr>
          <w:rFonts w:ascii="Aptos" w:hAnsi="Aptos"/>
          <w:b/>
          <w:color w:val="0C7D80"/>
        </w:rPr>
        <w:t xml:space="preserve">• </w:t>
      </w:r>
      <w:r>
        <w:rPr>
          <w:rFonts w:ascii="Aptos" w:hAnsi="Aptos"/>
        </w:rPr>
        <w:t>Comment calendar and approved comment letters where appropriate.</w:t>
      </w:r>
    </w:p>
    <w:p>
      <w:pPr>
        <w:pStyle w:val="RoadmapBullet"/>
        <w:ind w:left="317" w:hanging="230"/>
      </w:pPr>
      <w:r>
        <w:rPr>
          <w:rFonts w:ascii="Aptos" w:hAnsi="Aptos"/>
          <w:b/>
          <w:color w:val="0C7D80"/>
        </w:rPr>
        <w:t xml:space="preserve">• </w:t>
      </w:r>
      <w:r>
        <w:rPr>
          <w:rFonts w:ascii="Aptos" w:hAnsi="Aptos"/>
        </w:rPr>
        <w:t>Quarterly reimbursement strategy update.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No material rulemaking or CPT deadline is missed.</w:t>
      </w:r>
    </w:p>
    <w:p>
      <w:pPr>
        <w:pStyle w:val="RoadmapCheck"/>
        <w:ind w:left="317" w:hanging="230"/>
      </w:pPr>
      <w:r>
        <w:rPr>
          <w:rFonts w:ascii="Aptos" w:hAnsi="Aptos"/>
          <w:b/>
          <w:color w:val="2C9468"/>
        </w:rPr>
        <w:t xml:space="preserve">[ ] </w:t>
      </w:r>
      <w:r>
        <w:rPr>
          <w:rFonts w:ascii="Aptos" w:hAnsi="Aptos"/>
        </w:rPr>
        <w:t>Financial and product plans distinguish proposed, final and speculative policy.</w:t>
      </w:r>
    </w:p>
    <w:p>
      <w:pPr>
        <w:pStyle w:val="RoadmapCheck"/>
        <w:ind w:left="317" w:hanging="230"/>
      </w:pPr>
      <w:r>
        <w:rPr>
          <w:rFonts w:ascii="Aptos" w:hAnsi="Aptos"/>
          <w:b/>
          <w:color w:val="2C9468"/>
        </w:rPr>
        <w:t xml:space="preserve">[ ] </w:t>
      </w:r>
      <w:r>
        <w:rPr>
          <w:rFonts w:ascii="Aptos" w:hAnsi="Aptos"/>
        </w:rPr>
        <w:t>Every material change has an owner and documented action.</w:t>
      </w:r>
    </w:p>
    <w:p>
      <w:pPr>
        <w:spacing w:before="40" w:after="120" w:line="259" w:lineRule="auto"/>
      </w:pPr>
      <w:r>
        <w:rPr>
          <w:rFonts w:ascii="Aptos" w:hAnsi="Aptos"/>
          <w:b/>
          <w:color w:val="A8412F"/>
        </w:rPr>
        <w:t xml:space="preserve">Dependencies / cautions. </w:t>
      </w:r>
      <w:r>
        <w:rPr>
          <w:rFonts w:ascii="Aptos" w:hAnsi="Aptos"/>
          <w:color w:val="54626E"/>
        </w:rPr>
        <w:t>The checklist correctly treats RAPID, AI/SaaS payment methods and legislation as moving targets. Monitoring is a permanent capability, not a one-time task.</w:t>
      </w:r>
    </w:p>
    <w:p>
      <w:pPr>
        <w:spacing w:before="40" w:after="80"/>
        <w:pBdr>
          <w:bottom w:val="single" w:sz="4" w:space="1" w:color="D8E0E6"/>
        </w:pBdr>
      </w:pPr>
    </w:p>
    <w:p>
      <w:pPr>
        <w:pStyle w:val="Heading1"/>
      </w:pPr>
      <w:r>
        <w:t>5. Cross-cutting FDA-readiness enablers identified by the whitepaper</w:t>
      </w:r>
    </w:p>
    <w:p>
      <w:r>
        <w:rPr>
          <w:i/>
        </w:rPr>
        <w:t>These are not separate reimbursement-checklist IDs, but they are necessary to make the checklist executable and to support FDA marketing authorization.</w:t>
      </w:r>
    </w:p>
    <w:p>
      <w:pPr>
        <w:pStyle w:val="Heading3"/>
      </w:pPr>
      <w:r>
        <w:t>Technical product dossier</w:t>
      </w:r>
    </w:p>
    <w:p>
      <w:pPr>
        <w:spacing w:before="0" w:after="100" w:line="259" w:lineRule="auto"/>
      </w:pPr>
      <w:r>
        <w:t>Freeze the current vest configuration and document sensor type, channel count/location, synchronization, sampling, analogue front end, filtering, signal-quality metrics, processing latency, connectivity, battery/power, data formats, dashboard functions and version history. Resolve the 16-channel versus 8+/8-sensor inconsistency.</w:t>
      </w:r>
    </w:p>
    <w:p>
      <w:pPr>
        <w:pStyle w:val="Heading3"/>
      </w:pPr>
      <w:r>
        <w:t>Software and AI/ML lifecycle</w:t>
      </w:r>
    </w:p>
    <w:p>
      <w:pPr>
        <w:spacing w:before="0" w:after="100" w:line="259" w:lineRule="auto"/>
      </w:pPr>
      <w:r>
        <w:t>Document intended algorithm function, model architecture, training/validation/test datasets, data provenance, labeling, bias controls, leakage prevention, performance by subgroup, versioning, change controls, inference environment, uncertainty/indeterminate outputs and human oversight.</w:t>
      </w:r>
    </w:p>
    <w:p>
      <w:pPr>
        <w:pStyle w:val="Heading3"/>
      </w:pPr>
      <w:r>
        <w:t>Quality system and design controls</w:t>
      </w:r>
    </w:p>
    <w:p>
      <w:pPr>
        <w:spacing w:before="0" w:after="100" w:line="259" w:lineRule="auto"/>
      </w:pPr>
      <w:r>
        <w:t>Operate design inputs/outputs, reviews, verification, validation, risk management, supplier controls, complaint/CAPA planning, configuration management and document control appropriate to the selected pathway and current FDA quality-system requirements.</w:t>
      </w:r>
    </w:p>
    <w:p>
      <w:pPr>
        <w:pStyle w:val="Heading3"/>
      </w:pPr>
      <w:r>
        <w:t>Safety, usability and human factors</w:t>
      </w:r>
    </w:p>
    <w:p>
      <w:pPr>
        <w:spacing w:before="0" w:after="100" w:line="259" w:lineRule="auto"/>
      </w:pPr>
      <w:r>
        <w:t>Define fitting, placement verification, contraindications, recording duration, cleaning, training, use errors, failed recordings, alarms/alerts, escalation, home/remote use, accessibility and validation with intended users in intended environments.</w:t>
      </w:r>
    </w:p>
    <w:p>
      <w:pPr>
        <w:pStyle w:val="Heading3"/>
      </w:pPr>
      <w:r>
        <w:t>Cybersecurity, privacy and interoperability</w:t>
      </w:r>
    </w:p>
    <w:p>
      <w:pPr>
        <w:spacing w:before="0" w:after="100" w:line="259" w:lineRule="auto"/>
      </w:pPr>
      <w:r>
        <w:t>Create threat models, security architecture, access controls, encryption, update/patch process, SBOM, incident response, data retention/residency, consent, HIPAA responsibilities, interoperability and audit logging.</w:t>
      </w:r>
    </w:p>
    <w:p>
      <w:pPr>
        <w:pStyle w:val="Heading3"/>
      </w:pPr>
      <w:r>
        <w:t>Hardware safety and manufacturing</w:t>
      </w:r>
    </w:p>
    <w:p>
      <w:pPr>
        <w:spacing w:before="0" w:after="100" w:line="259" w:lineRule="auto"/>
      </w:pPr>
      <w:r>
        <w:t>Establish biocompatibility, electrical safety/EMC where applicable, durability, cleaning/disinfection, environmental testing, shipping/storage, calibration, manufacturing controls, supplier qualification and production equivalence to clinical units.</w:t>
      </w:r>
    </w:p>
    <w:p>
      <w:pPr>
        <w:pStyle w:val="Heading3"/>
      </w:pPr>
      <w:r>
        <w:t>Clinical governance and trial transparency</w:t>
      </w:r>
    </w:p>
    <w:p>
      <w:pPr>
        <w:spacing w:before="0" w:after="100" w:line="259" w:lineRule="auto"/>
      </w:pPr>
      <w:r>
        <w:t>Confirm protocol/registration, IRB/ethics status, sponsor, sites, recruitment language, investigator roles, adverse-event handling, endpoint adjudication, publication policy and authority to use affiliations/titles.</w:t>
      </w:r>
    </w:p>
    <w:p>
      <w:pPr>
        <w:pStyle w:val="Heading3"/>
      </w:pPr>
      <w:r>
        <w:t>Evidence-backed whitepaper</w:t>
      </w:r>
    </w:p>
    <w:p>
      <w:pPr>
        <w:spacing w:before="0" w:after="100" w:line="259" w:lineRule="auto"/>
      </w:pPr>
      <w:r>
        <w:t>Convert the website-derived draft into a controlled scientific/product document. Every specification, statistic and benefit claim should have a primary source, verification record or explicit "proposed/investigational" label.</w:t>
      </w:r>
    </w:p>
    <w:p>
      <w:pPr>
        <w:pStyle w:val="Heading1"/>
      </w:pPr>
      <w:r>
        <w:t>6. FDA authorization-day launch pack</w:t>
      </w:r>
    </w:p>
    <w:p>
      <w:pPr>
        <w:pStyle w:val="Heading3"/>
      </w:pPr>
      <w:r>
        <w:t>Within 24 hours</w:t>
      </w:r>
    </w:p>
    <w:p>
      <w:pPr>
        <w:spacing w:before="0" w:after="100" w:line="259" w:lineRule="auto"/>
      </w:pPr>
      <w:r>
        <w:t>Log the FDA letter, final indication, IFU, warnings/limitations and authorized software/device version. Regulatory performs the first crosswalk and issues a controlled "what changed" memo. No external claim is released yet unless pre-approved for the exact final wording.</w:t>
      </w:r>
    </w:p>
    <w:p>
      <w:pPr>
        <w:pStyle w:val="Heading3"/>
      </w:pPr>
      <w:r>
        <w:t>Within 72 hours</w:t>
      </w:r>
    </w:p>
    <w:p>
      <w:pPr>
        <w:spacing w:before="0" w:after="100" w:line="259" w:lineRule="auto"/>
      </w:pPr>
      <w:r>
        <w:t>Update website/whitepaper, partner materials, training, AMCP dossier, code application, payer modules and clinical workflow documents. Retire investigational labels/materials only where appropriate and preserve study-specific requirements.</w:t>
      </w:r>
    </w:p>
    <w:p>
      <w:pPr>
        <w:pStyle w:val="Heading3"/>
      </w:pPr>
      <w:r>
        <w:t>Within 30 days</w:t>
      </w:r>
    </w:p>
    <w:p>
      <w:pPr>
        <w:spacing w:before="0" w:after="100" w:line="259" w:lineRule="auto"/>
      </w:pPr>
      <w:r>
        <w:t>Activate payer/MAC outreach, finalize or file Category III materials as scheduled, initiate RPM/RTM provider pilots only after coding/compliance review, begin hospital cost collection, update Breakthrough/RAPID/NCD actions, and launch post-market evidence/utilization capture.</w:t>
      </w:r>
    </w:p>
    <w:p>
      <w:pPr>
        <w:pStyle w:val="Heading3"/>
      </w:pPr>
      <w:r>
        <w:t>Control point</w:t>
      </w:r>
    </w:p>
    <w:p>
      <w:pPr>
        <w:spacing w:before="0" w:after="100" w:line="259" w:lineRule="auto"/>
      </w:pPr>
      <w:r>
        <w:t>Maintain a single final-label claims matrix. Every public, coding and payer statement must trace to the actual authorized wording and supporting evidence; authorization is not permission to make broader claims.</w:t>
      </w:r>
    </w:p>
    <w:p>
      <w:pPr>
        <w:pStyle w:val="Heading1"/>
      </w:pPr>
      <w:r>
        <w:t>7. Recommended first 90 days</w:t>
      </w:r>
    </w:p>
    <w:tbl>
      <w:tblPr>
        <w:tblW w:type="auto" w:w="0"/>
        <w:jc w:val="center"/>
        <w:tblLayout w:type="fixed"/>
        <w:tblLook w:firstColumn="1" w:firstRow="1" w:lastColumn="0" w:lastRow="0" w:noHBand="0" w:noVBand="1" w:val="04A0"/>
      </w:tblPr>
      <w:tblGrid>
        <w:gridCol w:w="1656"/>
        <w:gridCol w:w="8496"/>
      </w:tblGrid>
      <w:tr>
        <w:trPr>
          <w:tblHeader w:val="true"/>
          <w:cantSplit/>
        </w:trPr>
        <w:tc>
          <w:tcPr>
            <w:tcW w:type="dxa" w:w="5083"/>
            <w:shd w:fill="0E1822"/>
            <w:tcMar>
              <w:top w:w="90" w:type="dxa"/>
              <w:start w:w="90" w:type="dxa"/>
              <w:bottom w:w="90" w:type="dxa"/>
              <w:end w:w="90" w:type="dxa"/>
            </w:tcMar>
          </w:tcPr>
          <w:p>
            <w:r>
              <w:rPr>
                <w:rFonts w:ascii="Aptos" w:hAnsi="Aptos"/>
                <w:b/>
                <w:color w:val="FFFFFF"/>
                <w:sz w:val="17"/>
              </w:rPr>
              <w:t>Window</w:t>
            </w:r>
          </w:p>
        </w:tc>
        <w:tc>
          <w:tcPr>
            <w:tcW w:type="dxa" w:w="5083"/>
            <w:shd w:fill="0E1822"/>
            <w:tcMar>
              <w:top w:w="90" w:type="dxa"/>
              <w:start w:w="90" w:type="dxa"/>
              <w:bottom w:w="90" w:type="dxa"/>
              <w:end w:w="90" w:type="dxa"/>
            </w:tcMar>
          </w:tcPr>
          <w:p>
            <w:r>
              <w:rPr>
                <w:rFonts w:ascii="Aptos" w:hAnsi="Aptos"/>
                <w:b/>
                <w:color w:val="FFFFFF"/>
                <w:sz w:val="17"/>
              </w:rPr>
              <w:t>Priority outputs</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0-15</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Name workstream owners; freeze unreviewed external claims; inventory assets; open claims/evidence register; commission regulatory counsel; resolve who controls the website and whitepaper.</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15-30</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Issue cleaned investigational copy; approve disclaimer; draft intended-use options; start predicate/classification analysis; freeze current hardware/software configuration; open reimbursement requirements traceability.</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31-60</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Hold intended-use/regulatory strategy workshop; draft Pre-Sub questions; complete Breakthrough go/no-go framework; draft integrated evidence strategy and HEOR endpoint list; build AMCP dossier skeleton; begin payer and specialty-society mapping.</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61-90</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Approve the primary regulatory route; lock protocol/SAP inputs before study lock; complete RPM/RTM code maps; draft Category III descriptor/vignette; initiate controlled payer research; establish policy tracker; complete authorization-day tabletop exercise.</w:t>
            </w:r>
          </w:p>
        </w:tc>
      </w:tr>
    </w:tbl>
    <w:p>
      <w:pPr>
        <w:pStyle w:val="Heading1"/>
      </w:pPr>
      <w:r>
        <w:t>8. Program governance and reporting</w:t>
      </w:r>
    </w:p>
    <w:p>
      <w:pPr>
        <w:pStyle w:val="RoadmapBullet"/>
        <w:ind w:left="317" w:hanging="230"/>
      </w:pPr>
      <w:r>
        <w:rPr>
          <w:rFonts w:ascii="Aptos" w:hAnsi="Aptos"/>
          <w:b/>
          <w:color w:val="0C7D80"/>
        </w:rPr>
        <w:t xml:space="preserve">• </w:t>
      </w:r>
      <w:r>
        <w:rPr>
          <w:rFonts w:ascii="Aptos" w:hAnsi="Aptos"/>
        </w:rPr>
        <w:t>Executive steering committee monthly: intended-use changes, pathway decisions, study changes, high-risk claims, payer feedback and policy changes.</w:t>
      </w:r>
    </w:p>
    <w:p>
      <w:pPr>
        <w:pStyle w:val="RoadmapBullet"/>
        <w:ind w:left="317" w:hanging="230"/>
      </w:pPr>
      <w:r>
        <w:rPr>
          <w:rFonts w:ascii="Aptos" w:hAnsi="Aptos"/>
          <w:b/>
          <w:color w:val="0C7D80"/>
        </w:rPr>
        <w:t xml:space="preserve">• </w:t>
      </w:r>
      <w:r>
        <w:rPr>
          <w:rFonts w:ascii="Aptos" w:hAnsi="Aptos"/>
        </w:rPr>
        <w:t>Integrated program team weekly: Regulatory, Quality, Clinical, Engineering/AI, HEOR/Reimbursement, Medical Affairs, Marketing/Communications, Privacy/Security and Program Management.</w:t>
      </w:r>
    </w:p>
    <w:p>
      <w:pPr>
        <w:pStyle w:val="RoadmapBullet"/>
        <w:ind w:left="317" w:hanging="230"/>
      </w:pPr>
      <w:r>
        <w:rPr>
          <w:rFonts w:ascii="Aptos" w:hAnsi="Aptos"/>
          <w:b/>
          <w:color w:val="0C7D80"/>
        </w:rPr>
        <w:t xml:space="preserve">• </w:t>
      </w:r>
      <w:r>
        <w:rPr>
          <w:rFonts w:ascii="Aptos" w:hAnsi="Aptos"/>
        </w:rPr>
        <w:t>Single source of truth: controlled claims register, evidence library, design traceability, protocol/SAP, code map, payer matrix, policy tracker and authorization-day crosswalk.</w:t>
      </w:r>
    </w:p>
    <w:p>
      <w:pPr>
        <w:pStyle w:val="RoadmapBullet"/>
        <w:ind w:left="317" w:hanging="230"/>
      </w:pPr>
      <w:r>
        <w:rPr>
          <w:rFonts w:ascii="Aptos" w:hAnsi="Aptos"/>
          <w:b/>
          <w:color w:val="0C7D80"/>
        </w:rPr>
        <w:t xml:space="preserve">• </w:t>
      </w:r>
      <w:r>
        <w:rPr>
          <w:rFonts w:ascii="Aptos" w:hAnsi="Aptos"/>
        </w:rPr>
        <w:t>Change-control rule: any change to target condition, output, AI role, user, setting, remote workflow, hardware configuration or public claim triggers a documented impact assessment across FDA, clinical evidence, coding, coverage and payment.</w:t>
      </w:r>
    </w:p>
    <w:p>
      <w:pPr>
        <w:pStyle w:val="RoadmapBullet"/>
        <w:ind w:left="317" w:hanging="230"/>
      </w:pPr>
      <w:r>
        <w:rPr>
          <w:rFonts w:ascii="Aptos" w:hAnsi="Aptos"/>
          <w:b/>
          <w:color w:val="0C7D80"/>
        </w:rPr>
        <w:t xml:space="preserve">• </w:t>
      </w:r>
      <w:r>
        <w:rPr>
          <w:rFonts w:ascii="Aptos" w:hAnsi="Aptos"/>
        </w:rPr>
        <w:t>Dashboard metrics: assets audited; claims closed; intended-use open questions; design requirements verified; protocol endpoints locked; dossier completion; payer interviews; code package completion; society support; policy actions; authorization-day readiness.</w:t>
      </w:r>
    </w:p>
    <w:p>
      <w:pPr>
        <w:pStyle w:val="Heading1"/>
      </w:pPr>
      <w:r>
        <w:t>9. Checklist-to-roadmap crosswalk</w:t>
      </w:r>
    </w:p>
    <w:tbl>
      <w:tblPr>
        <w:tblW w:type="auto" w:w="0"/>
        <w:jc w:val="center"/>
        <w:tblLayout w:type="fixed"/>
        <w:tblLook w:firstColumn="1" w:firstRow="1" w:lastColumn="0" w:lastRow="0" w:noHBand="0" w:noVBand="1" w:val="04A0"/>
      </w:tblPr>
      <w:tblGrid>
        <w:gridCol w:w="648"/>
        <w:gridCol w:w="4536"/>
        <w:gridCol w:w="2952"/>
        <w:gridCol w:w="2088"/>
      </w:tblGrid>
      <w:tr>
        <w:trPr>
          <w:tblHeader w:val="true"/>
          <w:cantSplit/>
        </w:trPr>
        <w:tc>
          <w:tcPr>
            <w:tcW w:type="dxa" w:w="2541"/>
            <w:shd w:fill="0E1822"/>
            <w:tcMar>
              <w:top w:w="75" w:type="dxa"/>
              <w:start w:w="75" w:type="dxa"/>
              <w:bottom w:w="75" w:type="dxa"/>
              <w:end w:w="75" w:type="dxa"/>
            </w:tcMar>
          </w:tcPr>
          <w:p>
            <w:r>
              <w:rPr>
                <w:rFonts w:ascii="Aptos" w:hAnsi="Aptos"/>
                <w:b/>
                <w:color w:val="FFFFFF"/>
                <w:sz w:val="16"/>
              </w:rPr>
              <w:t>ID</w:t>
            </w:r>
          </w:p>
        </w:tc>
        <w:tc>
          <w:tcPr>
            <w:tcW w:type="dxa" w:w="2541"/>
            <w:shd w:fill="0E1822"/>
            <w:tcMar>
              <w:top w:w="75" w:type="dxa"/>
              <w:start w:w="75" w:type="dxa"/>
              <w:bottom w:w="75" w:type="dxa"/>
              <w:end w:w="75" w:type="dxa"/>
            </w:tcMar>
          </w:tcPr>
          <w:p>
            <w:r>
              <w:rPr>
                <w:rFonts w:ascii="Aptos" w:hAnsi="Aptos"/>
                <w:b/>
                <w:color w:val="FFFFFF"/>
                <w:sz w:val="16"/>
              </w:rPr>
              <w:t>Checklist item</w:t>
            </w:r>
          </w:p>
        </w:tc>
        <w:tc>
          <w:tcPr>
            <w:tcW w:type="dxa" w:w="2541"/>
            <w:shd w:fill="0E1822"/>
            <w:tcMar>
              <w:top w:w="75" w:type="dxa"/>
              <w:start w:w="75" w:type="dxa"/>
              <w:bottom w:w="75" w:type="dxa"/>
              <w:end w:w="75" w:type="dxa"/>
            </w:tcMar>
          </w:tcPr>
          <w:p>
            <w:r>
              <w:rPr>
                <w:rFonts w:ascii="Aptos" w:hAnsi="Aptos"/>
                <w:b/>
                <w:color w:val="FFFFFF"/>
                <w:sz w:val="16"/>
              </w:rPr>
              <w:t>Pre-authorization target</w:t>
            </w:r>
          </w:p>
        </w:tc>
        <w:tc>
          <w:tcPr>
            <w:tcW w:type="dxa" w:w="2541"/>
            <w:shd w:fill="0E1822"/>
            <w:tcMar>
              <w:top w:w="75" w:type="dxa"/>
              <w:start w:w="75" w:type="dxa"/>
              <w:bottom w:w="75" w:type="dxa"/>
              <w:end w:w="75" w:type="dxa"/>
            </w:tcMar>
          </w:tcPr>
          <w:p>
            <w:r>
              <w:rPr>
                <w:rFonts w:ascii="Aptos" w:hAnsi="Aptos"/>
                <w:b/>
                <w:color w:val="FFFFFF"/>
                <w:sz w:val="16"/>
              </w:rPr>
              <w:t>Accountable role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Audit every website page and all collateral as labeling</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 + legal counsel</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Strip forbidden and unsupported terms from public copy</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Regulatory/Legal approves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Add and control the investigational-device disclaimer</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Regulatory/Quality owns the standard language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Draft a precise candidate intended-use and indications-for-use statement</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a4</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Obtain formal FDA regulatory counsel review</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CEO/Executive sponsor commissions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a5</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Route efficacy-adjacent communications through controlled channels</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Medical Affairs/Regulatory Communications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Choose and document the FDA marketing-authorization route</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Evaluate FDA Breakthrough Device designation</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 + Clinical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Build reimbursement gating requirements into product design and labeling</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Product/Systems Engineering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the authorization-letter and IFU activation process</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Prepare launch pack; close only at authorization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Operations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c0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Design an integrated clinical and health-economic evidence program</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Clinical lead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c1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Build the AMCP-format payer dossier before authorization</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HEOR/Reimbursement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c2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Conduct lawful pre-approval payer information exchange and evidence research</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Access/HEOR</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Complete the RPM code applicability and workflow map</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Reimbursement/Coding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Evaluate RTM as an adjacent or fallback pathway</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Reimbursement/Coding lead with Pulmonary/Clinical Operations input</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Develop and, if strategically appropriate, file a Category III CPT application</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Coding/Reimbursement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Secure specialty-society and clinical-expert support</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Medical Affairs/Clinical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d4</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Build the Category I graduation evidence and adoption system</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Medical Affairs/HEOR + Coding</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commercial-payer and Medicare LCD coverage packages</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Access/HEOR</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the conditional NCD/RAPID strategy</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 lead + Regulatory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the hospital outpatient payment and APC/pass-through package</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Reimbursement/Market Access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Operate a reimbursement-policy surveillance and comment program</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Access/Reimbursement lead</w:t>
            </w:r>
          </w:p>
        </w:tc>
      </w:tr>
    </w:tbl>
    <w:p>
      <w:pPr>
        <w:pStyle w:val="Heading1"/>
      </w:pPr>
      <w:r>
        <w:t>10. Source basis and caveats</w:t>
      </w:r>
    </w:p>
    <w:p>
      <w:pPr>
        <w:pStyle w:val="RoadmapBullet"/>
        <w:ind w:left="317" w:hanging="230"/>
      </w:pPr>
      <w:r>
        <w:rPr>
          <w:rFonts w:ascii="Aptos" w:hAnsi="Aptos"/>
          <w:b/>
          <w:color w:val="0C7D80"/>
        </w:rPr>
        <w:t xml:space="preserve">• </w:t>
      </w:r>
      <w:r>
        <w:rPr>
          <w:rFonts w:ascii="Aptos" w:hAnsi="Aptos"/>
        </w:rPr>
        <w:t>SonoHL - Reimbursement Readiness Checklist (uploaded HTML, version 1): checklist IDs a0-e3, stage sequence, risk flags and candidate code families.</w:t>
      </w:r>
    </w:p>
    <w:p>
      <w:pPr>
        <w:pStyle w:val="RoadmapBullet"/>
        <w:ind w:left="317" w:hanging="230"/>
      </w:pPr>
      <w:r>
        <w:rPr>
          <w:rFonts w:ascii="Aptos" w:hAnsi="Aptos"/>
          <w:b/>
          <w:color w:val="0C7D80"/>
        </w:rPr>
        <w:t xml:space="preserve">• </w:t>
      </w:r>
      <w:r>
        <w:rPr>
          <w:rFonts w:ascii="Aptos" w:hAnsi="Aptos"/>
        </w:rPr>
        <w:t>US Medical Device &amp; Digital-Health Reimbursement: A Working Reference for Making SonoHL Compliant and Reimbursement-Ready (uploaded PDF, 14 pages): reimbursement pathways, evidence distinctions, copy guidance, Eko/SENSORA analog and moving-policy cautions.</w:t>
      </w:r>
    </w:p>
    <w:p>
      <w:pPr>
        <w:pStyle w:val="RoadmapBullet"/>
        <w:ind w:left="317" w:hanging="230"/>
      </w:pPr>
      <w:r>
        <w:rPr>
          <w:rFonts w:ascii="Aptos" w:hAnsi="Aptos"/>
          <w:b/>
          <w:color w:val="0C7D80"/>
        </w:rPr>
        <w:t xml:space="preserve">• </w:t>
      </w:r>
      <w:r>
        <w:rPr>
          <w:rFonts w:ascii="Aptos" w:hAnsi="Aptos"/>
        </w:rPr>
        <w:t>SonoHL Working Product Whitepaper (uploaded DOCX, 13 pages): current product description, proposed workflow, clinical-development state, unresolved claims, technical gaps and evidence requirements.</w:t>
      </w:r>
    </w:p>
    <w:p>
      <w:pPr>
        <w:pStyle w:val="RoadmapBullet"/>
        <w:ind w:left="317" w:hanging="230"/>
      </w:pPr>
      <w:r>
        <w:rPr>
          <w:rFonts w:ascii="Aptos" w:hAnsi="Aptos"/>
          <w:b/>
          <w:color w:val="0C7D80"/>
        </w:rPr>
        <w:t xml:space="preserve">• </w:t>
      </w:r>
      <w:r>
        <w:rPr>
          <w:rFonts w:ascii="Aptos" w:hAnsi="Aptos"/>
        </w:rPr>
        <w:t>Official-source validation used for the operating assumptions: FDA investigational-device promotion responsibilities and payor communications guidance; FDA Breakthrough Devices Program; AMA Category III criteria and Appendix S AI taxonomy; CMS/FDA RAPID announcement; CMS CY2026 PFS materials.</w:t>
      </w:r>
    </w:p>
    <w:p>
      <w:pPr>
        <w:pStyle w:val="RoadmapBullet"/>
        <w:ind w:left="317" w:hanging="230"/>
      </w:pPr>
      <w:r>
        <w:rPr>
          <w:rFonts w:ascii="Aptos" w:hAnsi="Aptos"/>
          <w:b/>
          <w:color w:val="0C7D80"/>
        </w:rPr>
        <w:t xml:space="preserve">• </w:t>
      </w:r>
      <w:r>
        <w:rPr>
          <w:rFonts w:ascii="Aptos" w:hAnsi="Aptos"/>
        </w:rPr>
        <w:t>All code descriptors, payer policies, fee schedules, application deadlines and pathway eligibility must be rechecked at the time of execution. Proposed rules, legislation, analog payment rates and third-party examples should never be entered into revenue forecasts as guaranteed outcomes.</w:t>
      </w:r>
    </w:p>
    <w:p>
      <w:pPr>
        <w:spacing w:before="200"/>
      </w:pPr>
      <w:r>
        <w:rPr>
          <w:rFonts w:ascii="Aptos" w:hAnsi="Aptos"/>
          <w:b/>
          <w:color w:val="0C7D80"/>
        </w:rPr>
        <w:t xml:space="preserve">Final planning principle: </w:t>
      </w:r>
      <w:r>
        <w:rPr>
          <w:rFonts w:ascii="Aptos" w:hAnsi="Aptos"/>
          <w:b/>
          <w:color w:val="0E1822"/>
        </w:rPr>
        <w:t>Before FDA marketing authorization, SonoHL should aim to have no strategic ambiguity left - only external gates. The company should know what it is asking FDA to authorize, what evidence supports that request, how the authorized service could be coded, what payers will require, and exactly which documents and actions will be activated when the final letter and IFU arrive.</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84"/>
      <w:gridCol w:w="3384"/>
      <w:gridCol w:w="3384"/>
    </w:tblGrid>
    <w:tr>
      <w:tc>
        <w:tcPr>
          <w:tcW w:type="dxa" w:w="3384"/>
          <w:tcMar>
            <w:top w:w="0" w:type="dxa"/>
            <w:start w:w="0" w:type="dxa"/>
            <w:bottom w:w="0" w:type="dxa"/>
            <w:end w:w="0" w:type="dxa"/>
          </w:tcMar>
          <w:tcBorders>
            <w:top w:sz="4" w:val="single" w:color="D8E0E6"/>
          </w:tcBorders>
        </w:tcPr>
        <w:p>
          <w:pPr>
            <w:jc w:val="left"/>
          </w:pPr>
          <w:r>
            <w:rPr>
              <w:rFonts w:ascii="Aptos" w:hAnsi="Aptos"/>
              <w:color w:val="54626E"/>
              <w:sz w:val="15"/>
            </w:rPr>
            <w:t>Working plan - not legal or reimbursement advice</w:t>
          </w:r>
        </w:p>
      </w:tc>
      <w:tc>
        <w:tcPr>
          <w:tcW w:type="dxa" w:w="3384"/>
          <w:tcMar>
            <w:top w:w="0" w:type="dxa"/>
            <w:start w:w="0" w:type="dxa"/>
            <w:bottom w:w="0" w:type="dxa"/>
            <w:end w:w="0" w:type="dxa"/>
          </w:tcMar>
          <w:tcBorders>
            <w:top w:sz="4" w:val="single" w:color="D8E0E6"/>
          </w:tcBorders>
        </w:tcPr>
        <w:p>
          <w:pPr>
            <w:jc w:val="center"/>
          </w:pPr>
          <w:r>
            <w:rPr>
              <w:rFonts w:ascii="Aptos" w:hAnsi="Aptos"/>
              <w:color w:val="54626E"/>
              <w:sz w:val="15"/>
            </w:rPr>
            <w:t>Confidential working draft</w:t>
          </w:r>
        </w:p>
      </w:tc>
      <w:tc>
        <w:tcPr>
          <w:tcW w:type="dxa" w:w="3384"/>
          <w:tcMar>
            <w:top w:w="0" w:type="dxa"/>
            <w:start w:w="0" w:type="dxa"/>
            <w:bottom w:w="0" w:type="dxa"/>
            <w:end w:w="0" w:type="dxa"/>
          </w:tcMar>
          <w:tcBorders>
            <w:top w:sz="4" w:val="single" w:color="D8E0E6"/>
          </w:tcBorders>
        </w:tcPr>
        <w:p>
          <w:pPr>
            <w:jc w:val="right"/>
          </w:pPr>
          <w:r>
            <w:rPr>
              <w:rFonts w:ascii="Aptos" w:hAnsi="Aptos"/>
              <w:color w:val="54626E"/>
              <w:sz w:val="15"/>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C7D80"/>
        <w:sz w:val="16"/>
      </w:rPr>
      <w:t>SONOHL  /  PRE-FDA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19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E1822"/>
      <w:sz w:val="3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0E1822"/>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0C7D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0E18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00"/>
    </w:pPr>
    <w:rPr>
      <w:rFonts w:asciiTheme="majorHAnsi" w:eastAsiaTheme="majorEastAsia" w:hAnsiTheme="majorHAnsi" w:cstheme="majorBidi" w:ascii="Aptos Display" w:hAnsi="Aptos Display"/>
      <w:b w:val="0"/>
      <w:i/>
      <w:iCs/>
      <w:color w:val="5462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Bullet">
    <w:name w:val="Roadmap Bullet"/>
    <w:basedOn w:val="Normal"/>
    <w:pPr>
      <w:spacing w:after="50" w:line="250" w:lineRule="auto"/>
      <w:ind w:left="317" w:hanging="230"/>
    </w:pPr>
    <w:rPr>
      <w:rFonts w:ascii="Aptos" w:hAnsi="Aptos"/>
      <w:sz w:val="18"/>
    </w:rPr>
  </w:style>
  <w:style w:type="paragraph" w:customStyle="1" w:styleId="RoadmapCheck">
    <w:name w:val="Roadmap Check"/>
    <w:basedOn w:val="RoadmapBulle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SonoHL Pre-FDA Approval Reimbursement Readiness Roadmap</dc:title>
  <dc:subject>Operational roadmap to complete or prepare every reimbursement-readiness checklist item before FDA marketing authorization</dc:subject>
  <dc:creator>SonoHL working draft</dc:creator>
  <cp:keywords>SonoHL, FDA, reimbursement, roadmap, coding, coverage, payment, RPM, RTM, CPT</cp:keywords>
  <dc:description>generated by python-docx</dc:description>
  <cp:lastModifiedBy/>
  <cp:revision>1</cp:revision>
  <dcterms:created xsi:type="dcterms:W3CDTF">2013-12-23T23:15:00Z</dcterms:created>
  <dcterms:modified xsi:type="dcterms:W3CDTF">2013-12-23T23:15:00Z</dcterms:modified>
  <cp:category/>
</cp:coreProperties>
</file>