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9F228" w14:textId="3C89D4E9" w:rsidR="00B824DA" w:rsidRDefault="00B66BEA" w:rsidP="00B66BEA">
      <w:pPr>
        <w:pStyle w:val="Title"/>
        <w:jc w:val="center"/>
        <w:rPr>
          <w:rFonts w:cs="Times New Roman"/>
        </w:rPr>
      </w:pPr>
      <w:r w:rsidRPr="00B66BEA">
        <w:rPr>
          <w:rFonts w:cs="Times New Roman"/>
        </w:rPr>
        <w:t>Total Internal Reflection</w:t>
      </w:r>
    </w:p>
    <w:p w14:paraId="6780B0BF" w14:textId="64A2B777" w:rsidR="00B66BEA" w:rsidRDefault="00B66BEA" w:rsidP="00B66BEA">
      <w:pPr>
        <w:jc w:val="center"/>
      </w:pPr>
      <w:r>
        <w:t>Daksh Khandelwal</w:t>
      </w:r>
    </w:p>
    <w:p w14:paraId="34504094" w14:textId="1236FA00" w:rsidR="00B66BEA" w:rsidRDefault="00B66BEA" w:rsidP="00B66BEA">
      <w:pPr>
        <w:jc w:val="center"/>
      </w:pPr>
      <w:r>
        <w:t>March 28, 2026</w:t>
      </w:r>
    </w:p>
    <w:p w14:paraId="3BFEC000" w14:textId="4500C838" w:rsidR="00B66BEA" w:rsidRDefault="00B66BEA" w:rsidP="00B66BEA">
      <w:pPr>
        <w:jc w:val="center"/>
      </w:pPr>
    </w:p>
    <w:p w14:paraId="114A5600" w14:textId="5AB5AF9E" w:rsidR="00B66BEA" w:rsidRDefault="00B66BEA" w:rsidP="00B66BEA">
      <w:pPr>
        <w:pStyle w:val="Heading1"/>
        <w:jc w:val="center"/>
      </w:pPr>
      <w:r>
        <w:t>Abstract</w:t>
      </w:r>
    </w:p>
    <w:p w14:paraId="2CA95B21" w14:textId="2EF4D600" w:rsidR="00B66BEA" w:rsidRDefault="00B66BEA" w:rsidP="00B66BEA">
      <w:pPr>
        <w:jc w:val="center"/>
      </w:pPr>
      <w:r>
        <w:t xml:space="preserve">The critical angle and refractive index of a rhombic acrylic block are investigated to verify the principles of Snell’s Law. By systematically measuring the angles of refraction for various incident angles of light, the refractive relationship between acrylic and air is analyzed. The experimental data yields an estimated critical angle of </w:t>
      </w:r>
      <m:oMath>
        <m:r>
          <w:rPr>
            <w:rFonts w:ascii="Cambria Math" w:hAnsi="Cambria Math"/>
          </w:rPr>
          <m:t>61.62°</m:t>
        </m:r>
      </m:oMath>
      <w:r>
        <w:t>. Discrepancies between this result and the theoretical expectations for acrylic are attributed to the lack of measurements approaching the critical boundary, resulting in extrapolation errors.</w:t>
      </w:r>
    </w:p>
    <w:p w14:paraId="2164A37C" w14:textId="77777777" w:rsidR="00B66BEA" w:rsidRDefault="00B66BEA" w:rsidP="00B66BEA">
      <w:pPr>
        <w:jc w:val="center"/>
      </w:pPr>
    </w:p>
    <w:p w14:paraId="40CA63D5" w14:textId="437562A3" w:rsidR="00B66BEA" w:rsidRDefault="00632627" w:rsidP="00632627">
      <w:pPr>
        <w:pStyle w:val="Heading1"/>
      </w:pPr>
      <w:r>
        <w:t>Introduction</w:t>
      </w:r>
    </w:p>
    <w:p w14:paraId="40DDEE48" w14:textId="337E3EAC" w:rsidR="00632627" w:rsidRDefault="00632627" w:rsidP="00632627">
      <w:r w:rsidRPr="00632627">
        <w:t>The refractive index of a medium dictates the phase velocity of light through that medium relative to a vacuum. When light passes from a medium with a higher refractive index to one with a lower refractive index, the relationship between the incident angle</w:t>
      </w:r>
      <w:r>
        <w:t xml:space="preserve"> </w:t>
      </w:r>
      <m:oMath>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oMath>
      <w:r>
        <w:t xml:space="preserve"> and refracted angle </w:t>
      </w:r>
      <m:oMath>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oMath>
      <w:r>
        <w:t xml:space="preserve"> is governed by Snell’s Law. Total </w:t>
      </w:r>
      <w:r w:rsidR="004A00FF">
        <w:t xml:space="preserve">internal reflection occurs when the incident angle exceeds a specific critical angle </w:t>
      </w:r>
      <m:oMath>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c</m:t>
            </m:r>
          </m:sub>
        </m:sSub>
        <m:r>
          <w:rPr>
            <w:rFonts w:ascii="Cambria Math" w:hAnsi="Cambria Math"/>
          </w:rPr>
          <m:t>)</m:t>
        </m:r>
      </m:oMath>
      <w:r w:rsidR="004A00FF">
        <w:t xml:space="preserve">, causing the light to refract at </w:t>
      </w:r>
      <m:oMath>
        <m:r>
          <w:rPr>
            <w:rFonts w:ascii="Cambria Math" w:hAnsi="Cambria Math"/>
          </w:rPr>
          <m:t>90°</m:t>
        </m:r>
      </m:oMath>
      <w:r w:rsidR="004A00FF">
        <w:t xml:space="preserve"> and reflect entirely within the first medium. A complete derivation of the critical angle prediction is referenced and included in Appendix A.</w:t>
      </w:r>
    </w:p>
    <w:p w14:paraId="1C1DB0C9" w14:textId="066EA014" w:rsidR="002D2181" w:rsidRDefault="002D2181" w:rsidP="002D2181">
      <w:pPr>
        <w:pStyle w:val="Heading1"/>
      </w:pPr>
      <w:r>
        <w:t>Experiment</w:t>
      </w:r>
    </w:p>
    <w:p w14:paraId="5BA98730" w14:textId="3E406E11" w:rsidR="002D2181" w:rsidRDefault="002D2181" w:rsidP="002D2181">
      <w:r w:rsidRPr="002D2181">
        <w:t>The apparatus consisted of a rhombic acrylic block, a directed light source, and a protractor ruled to</w:t>
      </w:r>
      <w:r>
        <w:t xml:space="preserve"> </w:t>
      </w:r>
      <m:oMath>
        <m:r>
          <w:rPr>
            <w:rFonts w:ascii="Cambria Math" w:hAnsi="Cambria Math"/>
          </w:rPr>
          <m:t>1°</m:t>
        </m:r>
      </m:oMath>
      <w:r w:rsidR="00651F2A">
        <w:t xml:space="preserve"> for angular measurements. The experiment was configured to direct the light source from inside the acrylic block into the surrounding air to observe refraction at the boundary.</w:t>
      </w:r>
    </w:p>
    <w:p w14:paraId="396B3B98" w14:textId="17C7D55C" w:rsidR="00651F2A" w:rsidRDefault="00651F2A" w:rsidP="002D2181">
      <w:r>
        <w:t xml:space="preserve">The angle of incidence was systematically varied from </w:t>
      </w:r>
      <m:oMath>
        <m:r>
          <w:rPr>
            <w:rFonts w:ascii="Cambria Math" w:hAnsi="Cambria Math"/>
          </w:rPr>
          <m:t>0°</m:t>
        </m:r>
      </m:oMath>
      <w:r>
        <w:t xml:space="preserve"> to </w:t>
      </w:r>
      <m:oMath>
        <m:r>
          <w:rPr>
            <w:rFonts w:ascii="Cambria Math" w:hAnsi="Cambria Math"/>
          </w:rPr>
          <m:t>40°</m:t>
        </m:r>
      </m:oMath>
      <w:r>
        <w:t xml:space="preserve"> in </w:t>
      </w:r>
      <m:oMath>
        <m:r>
          <w:rPr>
            <w:rFonts w:ascii="Cambria Math" w:hAnsi="Cambria Math"/>
          </w:rPr>
          <m:t>10°</m:t>
        </m:r>
      </m:oMath>
      <w:r>
        <w:t xml:space="preserve"> increments. For each incident angle, the corresponding refracted angle exiting into air was measured and recorded. </w:t>
      </w:r>
    </w:p>
    <w:p w14:paraId="07E41792" w14:textId="51E67144" w:rsidR="00C440F6" w:rsidRDefault="00C440F6">
      <w:r>
        <w:br w:type="page"/>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610"/>
        <w:gridCol w:w="5750"/>
      </w:tblGrid>
      <w:tr w:rsidR="001B53F8" w14:paraId="6CC468C8" w14:textId="77777777" w:rsidTr="001B53F8">
        <w:tc>
          <w:tcPr>
            <w:tcW w:w="4675" w:type="dxa"/>
            <w:vAlign w:val="center"/>
          </w:tcPr>
          <w:p w14:paraId="0F744A36" w14:textId="18209432" w:rsidR="001B53F8" w:rsidRDefault="00C440F6" w:rsidP="001B53F8">
            <w:pPr>
              <w:jc w:val="center"/>
            </w:pPr>
            <w:r>
              <w:lastRenderedPageBreak/>
              <w:t>Figure 1a:</w:t>
            </w:r>
          </w:p>
          <w:p w14:paraId="7DEF53B5" w14:textId="6B469FFB" w:rsidR="00C440F6" w:rsidRDefault="00C440F6" w:rsidP="001B53F8">
            <w:pPr>
              <w:jc w:val="center"/>
            </w:pPr>
            <w:r w:rsidRPr="00C440F6">
              <w:t>Experimental configuration at an incident angle of</w:t>
            </w:r>
            <w:r>
              <w:t xml:space="preserve"> </w:t>
            </w:r>
            <m:oMath>
              <m:r>
                <w:rPr>
                  <w:rFonts w:ascii="Cambria Math" w:hAnsi="Cambria Math"/>
                </w:rPr>
                <m:t>0°</m:t>
              </m:r>
            </m:oMath>
            <w:r>
              <w:t xml:space="preserve">. </w:t>
            </w:r>
            <w:r w:rsidRPr="00C440F6">
              <w:t>The laser light source is aligned with the</w:t>
            </w:r>
            <w:r>
              <w:t xml:space="preserve"> </w:t>
            </w:r>
            <m:oMath>
              <m:r>
                <w:rPr>
                  <w:rFonts w:ascii="Cambria Math" w:hAnsi="Cambria Math"/>
                </w:rPr>
                <m:t>0°</m:t>
              </m:r>
            </m:oMath>
            <w:r>
              <w:t xml:space="preserve"> </w:t>
            </w:r>
            <w:r w:rsidRPr="00C440F6">
              <w:t>mark on the circular protractor template. The beam passes through the rhombic acrylic prism and refracts at the air-acrylic boundary, emerging at a measured angle of</w:t>
            </w:r>
            <w:r>
              <w:t xml:space="preserve"> </w:t>
            </w:r>
            <m:oMath>
              <m:r>
                <w:rPr>
                  <w:rFonts w:ascii="Cambria Math" w:hAnsi="Cambria Math"/>
                </w:rPr>
                <m:t>26°</m:t>
              </m:r>
            </m:oMath>
            <w:r w:rsidRPr="00C440F6">
              <w:t xml:space="preserve">. At this shallow angle of incidence, </w:t>
            </w:r>
            <w:proofErr w:type="gramStart"/>
            <w:r w:rsidRPr="00C440F6">
              <w:t>the majority of</w:t>
            </w:r>
            <w:proofErr w:type="gramEnd"/>
            <w:r w:rsidRPr="00C440F6">
              <w:t xml:space="preserve"> the light intensity is transmitted through the boundary as a refracted beam, with very little internal reflection.</w:t>
            </w:r>
          </w:p>
        </w:tc>
        <w:tc>
          <w:tcPr>
            <w:tcW w:w="4675" w:type="dxa"/>
            <w:vAlign w:val="center"/>
          </w:tcPr>
          <w:p w14:paraId="32F09795" w14:textId="77777777" w:rsidR="001B53F8" w:rsidRDefault="001B53F8" w:rsidP="001B53F8">
            <w:pPr>
              <w:jc w:val="center"/>
            </w:pPr>
          </w:p>
          <w:p w14:paraId="75B5B306" w14:textId="77777777" w:rsidR="00C440F6" w:rsidRDefault="00C440F6" w:rsidP="001B53F8">
            <w:pPr>
              <w:jc w:val="center"/>
            </w:pPr>
            <w:r>
              <w:rPr>
                <w:noProof/>
              </w:rPr>
              <w:drawing>
                <wp:inline distT="0" distB="0" distL="0" distR="0" wp14:anchorId="1FA62345" wp14:editId="24734DFC">
                  <wp:extent cx="3514476" cy="3514476"/>
                  <wp:effectExtent l="0" t="0" r="0" b="0"/>
                  <wp:docPr id="3750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4107" name="Picture 37504107"/>
                          <pic:cNvPicPr/>
                        </pic:nvPicPr>
                        <pic:blipFill rotWithShape="1">
                          <a:blip r:embed="rId4" cstate="print">
                            <a:extLst>
                              <a:ext uri="{28A0092B-C50C-407E-A947-70E740481C1C}">
                                <a14:useLocalDpi xmlns:a14="http://schemas.microsoft.com/office/drawing/2010/main" val="0"/>
                              </a:ext>
                            </a:extLst>
                          </a:blip>
                          <a:srcRect l="16896" t="27554" r="20995" b="25865"/>
                          <a:stretch>
                            <a:fillRect/>
                          </a:stretch>
                        </pic:blipFill>
                        <pic:spPr bwMode="auto">
                          <a:xfrm>
                            <a:off x="0" y="0"/>
                            <a:ext cx="3524274" cy="3524274"/>
                          </a:xfrm>
                          <a:prstGeom prst="rect">
                            <a:avLst/>
                          </a:prstGeom>
                          <a:ln>
                            <a:noFill/>
                          </a:ln>
                          <a:extLst>
                            <a:ext uri="{53640926-AAD7-44D8-BBD7-CCE9431645EC}">
                              <a14:shadowObscured xmlns:a14="http://schemas.microsoft.com/office/drawing/2010/main"/>
                            </a:ext>
                          </a:extLst>
                        </pic:spPr>
                      </pic:pic>
                    </a:graphicData>
                  </a:graphic>
                </wp:inline>
              </w:drawing>
            </w:r>
          </w:p>
          <w:p w14:paraId="616B4F0C" w14:textId="761C337F" w:rsidR="001B53F8" w:rsidRDefault="001B53F8" w:rsidP="001B53F8">
            <w:pPr>
              <w:jc w:val="center"/>
            </w:pPr>
          </w:p>
        </w:tc>
      </w:tr>
      <w:tr w:rsidR="00C440F6" w14:paraId="7FB40449" w14:textId="77777777" w:rsidTr="001B53F8">
        <w:tc>
          <w:tcPr>
            <w:tcW w:w="4675" w:type="dxa"/>
            <w:vAlign w:val="center"/>
          </w:tcPr>
          <w:p w14:paraId="1D3A93D9" w14:textId="34E1FF28" w:rsidR="001B53F8" w:rsidRDefault="00C440F6" w:rsidP="001B53F8">
            <w:pPr>
              <w:jc w:val="center"/>
            </w:pPr>
            <w:r>
              <w:t>Figure 1b:</w:t>
            </w:r>
          </w:p>
          <w:p w14:paraId="2F78F25B" w14:textId="128BEE1D" w:rsidR="00C440F6" w:rsidRDefault="00C440F6" w:rsidP="001B53F8">
            <w:pPr>
              <w:jc w:val="center"/>
            </w:pPr>
            <w:r w:rsidRPr="00C440F6">
              <w:t>Experimental configuration at the maximum tested incident angle of</w:t>
            </w:r>
            <w:r>
              <w:t xml:space="preserve"> </w:t>
            </w:r>
            <m:oMath>
              <m:r>
                <w:rPr>
                  <w:rFonts w:ascii="Cambria Math" w:hAnsi="Cambria Math"/>
                </w:rPr>
                <m:t>40°</m:t>
              </m:r>
            </m:oMath>
            <w:r>
              <w:t xml:space="preserve">. At this steeper angle, the refracted beam is bent significantly further, emerging at </w:t>
            </w:r>
            <m:oMath>
              <m:r>
                <w:rPr>
                  <w:rFonts w:ascii="Cambria Math" w:hAnsi="Cambria Math"/>
                </w:rPr>
                <m:t>83°</m:t>
              </m:r>
            </m:oMath>
            <w:r>
              <w:t xml:space="preserve">. Because this angle of refraction is closely approaching </w:t>
            </w:r>
            <m:oMath>
              <m:r>
                <w:rPr>
                  <w:rFonts w:ascii="Cambria Math" w:hAnsi="Cambria Math"/>
                </w:rPr>
                <m:t>90°</m:t>
              </m:r>
            </m:oMath>
            <w:r>
              <w:t xml:space="preserve">, </w:t>
            </w:r>
            <w:r w:rsidR="001B53F8" w:rsidRPr="001B53F8">
              <w:t xml:space="preserve">the exiting light can be seen skimming just above the flat edge of the prism. Additionally, the internally reflected beam within the acrylic is visibly brighter compared to the </w:t>
            </w:r>
            <m:oMath>
              <m:r>
                <w:rPr>
                  <w:rFonts w:ascii="Cambria Math" w:hAnsi="Cambria Math"/>
                </w:rPr>
                <m:t>0°</m:t>
              </m:r>
            </m:oMath>
            <w:r w:rsidR="001B53F8">
              <w:t xml:space="preserve"> </w:t>
            </w:r>
            <w:r w:rsidR="001B53F8" w:rsidRPr="001B53F8">
              <w:t>setup, demonstrating that the system is closely approaching the critical angle for total internal reflection.</w:t>
            </w:r>
          </w:p>
        </w:tc>
        <w:tc>
          <w:tcPr>
            <w:tcW w:w="4675" w:type="dxa"/>
            <w:vAlign w:val="center"/>
          </w:tcPr>
          <w:p w14:paraId="3AD2C1D7" w14:textId="77777777" w:rsidR="001B53F8" w:rsidRDefault="001B53F8" w:rsidP="001B53F8">
            <w:pPr>
              <w:jc w:val="center"/>
              <w:rPr>
                <w:noProof/>
              </w:rPr>
            </w:pPr>
          </w:p>
          <w:p w14:paraId="7057DF3E" w14:textId="77777777" w:rsidR="00C440F6" w:rsidRDefault="00C440F6" w:rsidP="001B53F8">
            <w:pPr>
              <w:jc w:val="center"/>
              <w:rPr>
                <w:noProof/>
              </w:rPr>
            </w:pPr>
            <w:r>
              <w:rPr>
                <w:noProof/>
              </w:rPr>
              <w:drawing>
                <wp:inline distT="0" distB="0" distL="0" distR="0" wp14:anchorId="6022E17E" wp14:editId="49CEFAAB">
                  <wp:extent cx="3464725" cy="3601941"/>
                  <wp:effectExtent l="0" t="0" r="2540" b="0"/>
                  <wp:docPr id="295844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44724" name="Picture 295844724"/>
                          <pic:cNvPicPr/>
                        </pic:nvPicPr>
                        <pic:blipFill rotWithShape="1">
                          <a:blip r:embed="rId5" cstate="print">
                            <a:extLst>
                              <a:ext uri="{28A0092B-C50C-407E-A947-70E740481C1C}">
                                <a14:useLocalDpi xmlns:a14="http://schemas.microsoft.com/office/drawing/2010/main" val="0"/>
                              </a:ext>
                            </a:extLst>
                          </a:blip>
                          <a:srcRect l="17274" t="23243" r="18896" b="26988"/>
                          <a:stretch>
                            <a:fillRect/>
                          </a:stretch>
                        </pic:blipFill>
                        <pic:spPr bwMode="auto">
                          <a:xfrm>
                            <a:off x="0" y="0"/>
                            <a:ext cx="3491200" cy="3629465"/>
                          </a:xfrm>
                          <a:prstGeom prst="rect">
                            <a:avLst/>
                          </a:prstGeom>
                          <a:ln>
                            <a:noFill/>
                          </a:ln>
                          <a:extLst>
                            <a:ext uri="{53640926-AAD7-44D8-BBD7-CCE9431645EC}">
                              <a14:shadowObscured xmlns:a14="http://schemas.microsoft.com/office/drawing/2010/main"/>
                            </a:ext>
                          </a:extLst>
                        </pic:spPr>
                      </pic:pic>
                    </a:graphicData>
                  </a:graphic>
                </wp:inline>
              </w:drawing>
            </w:r>
          </w:p>
          <w:p w14:paraId="4DF65F54" w14:textId="7B4FADFD" w:rsidR="001B53F8" w:rsidRDefault="001B53F8" w:rsidP="001B53F8">
            <w:pPr>
              <w:jc w:val="center"/>
              <w:rPr>
                <w:noProof/>
              </w:rPr>
            </w:pPr>
          </w:p>
        </w:tc>
      </w:tr>
    </w:tbl>
    <w:p w14:paraId="63A2F4C7" w14:textId="27C963FE" w:rsidR="00C440F6" w:rsidRDefault="00C440F6">
      <w:pPr>
        <w:rPr>
          <w:rFonts w:eastAsiaTheme="majorEastAsia" w:cstheme="majorBidi"/>
          <w:color w:val="0F4761" w:themeColor="accent1" w:themeShade="BF"/>
          <w:sz w:val="40"/>
          <w:szCs w:val="40"/>
        </w:rPr>
      </w:pPr>
    </w:p>
    <w:p w14:paraId="66852930" w14:textId="067F7B1E" w:rsidR="00651F2A" w:rsidRDefault="00FC4E03" w:rsidP="00FC4E03">
      <w:pPr>
        <w:pStyle w:val="Heading1"/>
      </w:pPr>
      <w:r>
        <w:lastRenderedPageBreak/>
        <w:t>Data and Analysis</w:t>
      </w:r>
    </w:p>
    <w:p w14:paraId="03292A12" w14:textId="584194CC" w:rsidR="00FC4E03" w:rsidRDefault="00FC4E03" w:rsidP="002D2181">
      <w:r>
        <w:t xml:space="preserve">Table 1 displays the measured incident and refracted angles alongside calculated sine values. </w:t>
      </w:r>
    </w:p>
    <w:p w14:paraId="3D421F68" w14:textId="77777777" w:rsidR="00FC4E03" w:rsidRDefault="00FC4E03" w:rsidP="00FC4E03">
      <w:pPr>
        <w:jc w:val="center"/>
      </w:pPr>
    </w:p>
    <w:p w14:paraId="0F0FFE24" w14:textId="0A10B025" w:rsidR="00FC4E03" w:rsidRDefault="00FC4E03" w:rsidP="00FC4E03">
      <w:pPr>
        <w:jc w:val="center"/>
      </w:pPr>
      <w:r>
        <w:t>Table 1: Measured angles and their sine values with uncertainty</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B2095A" w:rsidRPr="00B2095A" w14:paraId="6D1BE3A2" w14:textId="77777777" w:rsidTr="00B2095A">
        <w:tc>
          <w:tcPr>
            <w:tcW w:w="1558" w:type="dxa"/>
            <w:vAlign w:val="center"/>
          </w:tcPr>
          <w:p w14:paraId="78A69632" w14:textId="1325939D" w:rsidR="00B2095A" w:rsidRPr="00B2095A" w:rsidRDefault="00B2095A" w:rsidP="00B2095A">
            <w:pPr>
              <w:jc w:val="center"/>
              <w:rPr>
                <w:sz w:val="21"/>
                <w:szCs w:val="21"/>
              </w:rPr>
            </w:pPr>
            <w:r w:rsidRPr="00B2095A">
              <w:rPr>
                <w:sz w:val="21"/>
                <w:szCs w:val="21"/>
              </w:rPr>
              <w:t xml:space="preserve">Incident Angle </w:t>
            </w:r>
            <m:oMath>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θ</m:t>
                  </m:r>
                </m:e>
                <m:sub>
                  <m:r>
                    <w:rPr>
                      <w:rFonts w:ascii="Cambria Math" w:hAnsi="Cambria Math"/>
                      <w:sz w:val="21"/>
                      <w:szCs w:val="21"/>
                    </w:rPr>
                    <m:t>1</m:t>
                  </m:r>
                </m:sub>
              </m:sSub>
              <m:r>
                <w:rPr>
                  <w:rFonts w:ascii="Cambria Math" w:hAnsi="Cambria Math"/>
                  <w:sz w:val="21"/>
                  <w:szCs w:val="21"/>
                </w:rPr>
                <m:t>)</m:t>
              </m:r>
            </m:oMath>
          </w:p>
        </w:tc>
        <w:tc>
          <w:tcPr>
            <w:tcW w:w="1558" w:type="dxa"/>
            <w:vAlign w:val="center"/>
          </w:tcPr>
          <w:p w14:paraId="29DCE8A9" w14:textId="5F4A8706" w:rsidR="00B2095A" w:rsidRPr="00B2095A" w:rsidRDefault="00B2095A" w:rsidP="00B2095A">
            <w:pPr>
              <w:jc w:val="center"/>
              <w:rPr>
                <w:sz w:val="21"/>
                <w:szCs w:val="21"/>
              </w:rPr>
            </w:pPr>
            <w:r w:rsidRPr="00B2095A">
              <w:rPr>
                <w:sz w:val="21"/>
                <w:szCs w:val="21"/>
              </w:rPr>
              <w:t xml:space="preserve">Refracted Angle </w:t>
            </w:r>
            <m:oMath>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θ</m:t>
                  </m:r>
                </m:e>
                <m:sub>
                  <m:r>
                    <w:rPr>
                      <w:rFonts w:ascii="Cambria Math" w:hAnsi="Cambria Math"/>
                      <w:sz w:val="21"/>
                      <w:szCs w:val="21"/>
                    </w:rPr>
                    <m:t>2</m:t>
                  </m:r>
                </m:sub>
              </m:sSub>
              <m:r>
                <w:rPr>
                  <w:rFonts w:ascii="Cambria Math" w:hAnsi="Cambria Math"/>
                  <w:sz w:val="21"/>
                  <w:szCs w:val="21"/>
                </w:rPr>
                <m:t>)</m:t>
              </m:r>
            </m:oMath>
          </w:p>
        </w:tc>
        <w:tc>
          <w:tcPr>
            <w:tcW w:w="1558" w:type="dxa"/>
            <w:vAlign w:val="center"/>
          </w:tcPr>
          <w:p w14:paraId="1AD675D6" w14:textId="1CD2329C" w:rsidR="00B2095A" w:rsidRPr="00B2095A" w:rsidRDefault="00B2095A" w:rsidP="00B2095A">
            <w:pPr>
              <w:jc w:val="center"/>
              <w:rPr>
                <w:sz w:val="21"/>
                <w:szCs w:val="21"/>
              </w:rPr>
            </w:pPr>
            <m:oMathPara>
              <m:oMath>
                <m:func>
                  <m:funcPr>
                    <m:ctrlPr>
                      <w:rPr>
                        <w:rFonts w:ascii="Cambria Math" w:hAnsi="Cambria Math"/>
                        <w:i/>
                        <w:sz w:val="21"/>
                        <w:szCs w:val="21"/>
                      </w:rPr>
                    </m:ctrlPr>
                  </m:funcPr>
                  <m:fName>
                    <m:r>
                      <m:rPr>
                        <m:sty m:val="p"/>
                      </m:rPr>
                      <w:rPr>
                        <w:rFonts w:ascii="Cambria Math" w:hAnsi="Cambria Math"/>
                        <w:sz w:val="21"/>
                        <w:szCs w:val="21"/>
                      </w:rPr>
                      <m:t>sin</m:t>
                    </m:r>
                  </m:fName>
                  <m:e>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θ</m:t>
                        </m:r>
                      </m:e>
                      <m:sub>
                        <m:r>
                          <w:rPr>
                            <w:rFonts w:ascii="Cambria Math" w:hAnsi="Cambria Math"/>
                            <w:sz w:val="21"/>
                            <w:szCs w:val="21"/>
                          </w:rPr>
                          <m:t>1</m:t>
                        </m:r>
                      </m:sub>
                    </m:sSub>
                    <m:r>
                      <w:rPr>
                        <w:rFonts w:ascii="Cambria Math" w:hAnsi="Cambria Math"/>
                        <w:sz w:val="21"/>
                        <w:szCs w:val="21"/>
                      </w:rPr>
                      <m:t>)</m:t>
                    </m:r>
                  </m:e>
                </m:func>
              </m:oMath>
            </m:oMathPara>
          </w:p>
        </w:tc>
        <w:tc>
          <w:tcPr>
            <w:tcW w:w="1558" w:type="dxa"/>
            <w:vAlign w:val="center"/>
          </w:tcPr>
          <w:p w14:paraId="30734F6F" w14:textId="52922F02" w:rsidR="00B2095A" w:rsidRPr="00B2095A" w:rsidRDefault="00B2095A" w:rsidP="00B2095A">
            <w:pPr>
              <w:jc w:val="center"/>
              <w:rPr>
                <w:sz w:val="21"/>
                <w:szCs w:val="21"/>
              </w:rPr>
            </w:pPr>
            <w:r w:rsidRPr="00B2095A">
              <w:rPr>
                <w:sz w:val="21"/>
                <w:szCs w:val="21"/>
              </w:rPr>
              <w:t xml:space="preserve">Uncertainty </w:t>
            </w:r>
            <m:oMath>
              <m:sSub>
                <m:sSubPr>
                  <m:ctrlPr>
                    <w:rPr>
                      <w:rFonts w:ascii="Cambria Math" w:hAnsi="Cambria Math"/>
                      <w:i/>
                      <w:sz w:val="21"/>
                      <w:szCs w:val="21"/>
                    </w:rPr>
                  </m:ctrlPr>
                </m:sSubPr>
                <m:e>
                  <m:r>
                    <w:rPr>
                      <w:rFonts w:ascii="Cambria Math" w:hAnsi="Cambria Math"/>
                      <w:sz w:val="21"/>
                      <w:szCs w:val="21"/>
                    </w:rPr>
                    <m:t>s</m:t>
                  </m:r>
                </m:e>
                <m:sub>
                  <m:func>
                    <m:funcPr>
                      <m:ctrlPr>
                        <w:rPr>
                          <w:rFonts w:ascii="Cambria Math" w:hAnsi="Cambria Math"/>
                          <w:i/>
                          <w:sz w:val="21"/>
                          <w:szCs w:val="21"/>
                        </w:rPr>
                      </m:ctrlPr>
                    </m:funcPr>
                    <m:fName>
                      <m:r>
                        <m:rPr>
                          <m:sty m:val="p"/>
                        </m:rPr>
                        <w:rPr>
                          <w:rFonts w:ascii="Cambria Math" w:hAnsi="Cambria Math"/>
                          <w:sz w:val="21"/>
                          <w:szCs w:val="21"/>
                        </w:rPr>
                        <m:t>sin</m:t>
                      </m:r>
                    </m:fName>
                    <m:e>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θ</m:t>
                          </m:r>
                        </m:e>
                        <m:sub>
                          <m:r>
                            <w:rPr>
                              <w:rFonts w:ascii="Cambria Math" w:hAnsi="Cambria Math"/>
                              <w:sz w:val="21"/>
                              <w:szCs w:val="21"/>
                            </w:rPr>
                            <m:t>1</m:t>
                          </m:r>
                        </m:sub>
                      </m:sSub>
                      <m:r>
                        <w:rPr>
                          <w:rFonts w:ascii="Cambria Math" w:hAnsi="Cambria Math"/>
                          <w:sz w:val="21"/>
                          <w:szCs w:val="21"/>
                        </w:rPr>
                        <m:t>)</m:t>
                      </m:r>
                    </m:e>
                  </m:func>
                </m:sub>
              </m:sSub>
            </m:oMath>
          </w:p>
        </w:tc>
        <w:tc>
          <w:tcPr>
            <w:tcW w:w="1559" w:type="dxa"/>
            <w:vAlign w:val="center"/>
          </w:tcPr>
          <w:p w14:paraId="52BB341C" w14:textId="649306CA" w:rsidR="00B2095A" w:rsidRPr="00B2095A" w:rsidRDefault="00B2095A" w:rsidP="00B2095A">
            <w:pPr>
              <w:jc w:val="center"/>
              <w:rPr>
                <w:sz w:val="21"/>
                <w:szCs w:val="21"/>
              </w:rPr>
            </w:pPr>
            <m:oMathPara>
              <m:oMath>
                <m:r>
                  <m:rPr>
                    <m:sty m:val="p"/>
                  </m:rPr>
                  <w:rPr>
                    <w:rFonts w:ascii="Cambria Math" w:hAnsi="Cambria Math"/>
                    <w:sz w:val="21"/>
                    <w:szCs w:val="21"/>
                  </w:rPr>
                  <m:t>sin⁡</m:t>
                </m:r>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θ</m:t>
                    </m:r>
                  </m:e>
                  <m:sub>
                    <m:r>
                      <w:rPr>
                        <w:rFonts w:ascii="Cambria Math" w:hAnsi="Cambria Math"/>
                        <w:sz w:val="21"/>
                        <w:szCs w:val="21"/>
                      </w:rPr>
                      <m:t>2</m:t>
                    </m:r>
                  </m:sub>
                </m:sSub>
                <m:r>
                  <w:rPr>
                    <w:rFonts w:ascii="Cambria Math" w:hAnsi="Cambria Math"/>
                    <w:sz w:val="21"/>
                    <w:szCs w:val="21"/>
                  </w:rPr>
                  <m:t>)</m:t>
                </m:r>
              </m:oMath>
            </m:oMathPara>
          </w:p>
        </w:tc>
        <w:tc>
          <w:tcPr>
            <w:tcW w:w="1559" w:type="dxa"/>
            <w:vAlign w:val="center"/>
          </w:tcPr>
          <w:p w14:paraId="0657F378" w14:textId="77777777" w:rsidR="00B2095A" w:rsidRDefault="00B2095A" w:rsidP="00B2095A">
            <w:pPr>
              <w:jc w:val="center"/>
              <w:rPr>
                <w:sz w:val="21"/>
                <w:szCs w:val="21"/>
              </w:rPr>
            </w:pPr>
            <w:r w:rsidRPr="00B2095A">
              <w:rPr>
                <w:sz w:val="21"/>
                <w:szCs w:val="21"/>
              </w:rPr>
              <w:t xml:space="preserve">Uncertainty </w:t>
            </w:r>
          </w:p>
          <w:p w14:paraId="72CAE764" w14:textId="56D1F997" w:rsidR="00B2095A" w:rsidRPr="00B2095A" w:rsidRDefault="00B2095A" w:rsidP="00B2095A">
            <w:pPr>
              <w:jc w:val="center"/>
              <w:rPr>
                <w:sz w:val="21"/>
                <w:szCs w:val="21"/>
              </w:rPr>
            </w:pPr>
            <m:oMathPara>
              <m:oMath>
                <m:sSub>
                  <m:sSubPr>
                    <m:ctrlPr>
                      <w:rPr>
                        <w:rFonts w:ascii="Cambria Math" w:hAnsi="Cambria Math"/>
                        <w:i/>
                        <w:sz w:val="21"/>
                        <w:szCs w:val="21"/>
                      </w:rPr>
                    </m:ctrlPr>
                  </m:sSubPr>
                  <m:e>
                    <m:r>
                      <w:rPr>
                        <w:rFonts w:ascii="Cambria Math" w:hAnsi="Cambria Math"/>
                        <w:sz w:val="21"/>
                        <w:szCs w:val="21"/>
                      </w:rPr>
                      <m:t>s</m:t>
                    </m:r>
                  </m:e>
                  <m:sub>
                    <m:func>
                      <m:funcPr>
                        <m:ctrlPr>
                          <w:rPr>
                            <w:rFonts w:ascii="Cambria Math" w:hAnsi="Cambria Math"/>
                            <w:i/>
                            <w:sz w:val="21"/>
                            <w:szCs w:val="21"/>
                          </w:rPr>
                        </m:ctrlPr>
                      </m:funcPr>
                      <m:fName>
                        <m:r>
                          <m:rPr>
                            <m:sty m:val="p"/>
                          </m:rPr>
                          <w:rPr>
                            <w:rFonts w:ascii="Cambria Math" w:hAnsi="Cambria Math"/>
                            <w:sz w:val="21"/>
                            <w:szCs w:val="21"/>
                          </w:rPr>
                          <m:t>sin</m:t>
                        </m:r>
                      </m:fName>
                      <m:e>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θ</m:t>
                                </m:r>
                              </m:e>
                              <m:sub>
                                <m:r>
                                  <w:rPr>
                                    <w:rFonts w:ascii="Cambria Math" w:hAnsi="Cambria Math"/>
                                    <w:sz w:val="21"/>
                                    <w:szCs w:val="21"/>
                                  </w:rPr>
                                  <m:t>2</m:t>
                                </m:r>
                              </m:sub>
                            </m:sSub>
                          </m:e>
                        </m:d>
                      </m:e>
                    </m:func>
                  </m:sub>
                </m:sSub>
              </m:oMath>
            </m:oMathPara>
          </w:p>
        </w:tc>
      </w:tr>
      <w:tr w:rsidR="00B2095A" w:rsidRPr="00B2095A" w14:paraId="77DEE0E4" w14:textId="77777777" w:rsidTr="00B2095A">
        <w:tc>
          <w:tcPr>
            <w:tcW w:w="1558" w:type="dxa"/>
            <w:vAlign w:val="center"/>
          </w:tcPr>
          <w:p w14:paraId="206D9774" w14:textId="2B47E456" w:rsidR="00B2095A" w:rsidRPr="00B2095A" w:rsidRDefault="00B2095A" w:rsidP="00B2095A">
            <w:pPr>
              <w:jc w:val="center"/>
              <w:rPr>
                <w:sz w:val="21"/>
                <w:szCs w:val="21"/>
              </w:rPr>
            </w:pPr>
            <m:oMathPara>
              <m:oMath>
                <m:r>
                  <w:rPr>
                    <w:rFonts w:ascii="Cambria Math" w:hAnsi="Cambria Math"/>
                    <w:sz w:val="21"/>
                    <w:szCs w:val="21"/>
                  </w:rPr>
                  <m:t>0°</m:t>
                </m:r>
              </m:oMath>
            </m:oMathPara>
          </w:p>
        </w:tc>
        <w:tc>
          <w:tcPr>
            <w:tcW w:w="1558" w:type="dxa"/>
            <w:vAlign w:val="center"/>
          </w:tcPr>
          <w:p w14:paraId="275804C6" w14:textId="1CE20BE4" w:rsidR="00B2095A" w:rsidRPr="00B2095A" w:rsidRDefault="00B2095A" w:rsidP="00B2095A">
            <w:pPr>
              <w:jc w:val="center"/>
              <w:rPr>
                <w:sz w:val="21"/>
                <w:szCs w:val="21"/>
              </w:rPr>
            </w:pPr>
            <m:oMathPara>
              <m:oMath>
                <m:r>
                  <w:rPr>
                    <w:rFonts w:ascii="Cambria Math" w:hAnsi="Cambria Math"/>
                    <w:sz w:val="21"/>
                    <w:szCs w:val="21"/>
                  </w:rPr>
                  <m:t>26°</m:t>
                </m:r>
              </m:oMath>
            </m:oMathPara>
          </w:p>
        </w:tc>
        <w:tc>
          <w:tcPr>
            <w:tcW w:w="1558" w:type="dxa"/>
            <w:vAlign w:val="center"/>
          </w:tcPr>
          <w:p w14:paraId="76BBEC47" w14:textId="34543ADB" w:rsidR="00B2095A" w:rsidRPr="00B2095A" w:rsidRDefault="00B2095A" w:rsidP="00B2095A">
            <w:pPr>
              <w:jc w:val="center"/>
              <w:rPr>
                <w:rFonts w:eastAsia="Yu Mincho" w:cs="Times New Roman"/>
                <w:sz w:val="21"/>
                <w:szCs w:val="21"/>
              </w:rPr>
            </w:pPr>
            <m:oMathPara>
              <m:oMath>
                <m:r>
                  <w:rPr>
                    <w:rFonts w:ascii="Cambria Math" w:eastAsia="Yu Mincho" w:hAnsi="Cambria Math" w:cs="Times New Roman"/>
                    <w:sz w:val="21"/>
                    <w:szCs w:val="21"/>
                  </w:rPr>
                  <m:t>0.0000</m:t>
                </m:r>
              </m:oMath>
            </m:oMathPara>
          </w:p>
        </w:tc>
        <w:tc>
          <w:tcPr>
            <w:tcW w:w="1558" w:type="dxa"/>
            <w:vAlign w:val="center"/>
          </w:tcPr>
          <w:p w14:paraId="22646385" w14:textId="219EEDED" w:rsidR="00B2095A" w:rsidRPr="00B2095A" w:rsidRDefault="00B2095A" w:rsidP="00B2095A">
            <w:pPr>
              <w:jc w:val="center"/>
              <w:rPr>
                <w:sz w:val="21"/>
                <w:szCs w:val="21"/>
              </w:rPr>
            </w:pPr>
            <m:oMathPara>
              <m:oMath>
                <m:r>
                  <w:rPr>
                    <w:rFonts w:ascii="Cambria Math" w:hAnsi="Cambria Math"/>
                    <w:sz w:val="21"/>
                    <w:szCs w:val="21"/>
                  </w:rPr>
                  <m:t>0.0174</m:t>
                </m:r>
              </m:oMath>
            </m:oMathPara>
          </w:p>
        </w:tc>
        <w:tc>
          <w:tcPr>
            <w:tcW w:w="1559" w:type="dxa"/>
            <w:vAlign w:val="center"/>
          </w:tcPr>
          <w:p w14:paraId="004AA562" w14:textId="7B812414" w:rsidR="00B2095A" w:rsidRPr="00B2095A" w:rsidRDefault="00B2095A" w:rsidP="00B2095A">
            <w:pPr>
              <w:jc w:val="center"/>
              <w:rPr>
                <w:rFonts w:eastAsia="Yu Mincho" w:cs="Times New Roman"/>
                <w:sz w:val="21"/>
                <w:szCs w:val="21"/>
              </w:rPr>
            </w:pPr>
            <w:r w:rsidRPr="00B2095A">
              <w:rPr>
                <w:rFonts w:eastAsia="Yu Mincho" w:cs="Times New Roman"/>
                <w:sz w:val="21"/>
                <w:szCs w:val="21"/>
              </w:rPr>
              <w:t>0.4384</w:t>
            </w:r>
          </w:p>
        </w:tc>
        <w:tc>
          <w:tcPr>
            <w:tcW w:w="1559" w:type="dxa"/>
            <w:vAlign w:val="center"/>
          </w:tcPr>
          <w:p w14:paraId="4AB75FB1" w14:textId="34069B7B" w:rsidR="00B2095A" w:rsidRPr="00B2095A" w:rsidRDefault="00B2095A" w:rsidP="00B2095A">
            <w:pPr>
              <w:jc w:val="center"/>
              <w:rPr>
                <w:sz w:val="21"/>
                <w:szCs w:val="21"/>
              </w:rPr>
            </w:pPr>
            <w:r w:rsidRPr="00B2095A">
              <w:rPr>
                <w:sz w:val="21"/>
                <w:szCs w:val="21"/>
              </w:rPr>
              <w:t>0.0157</w:t>
            </w:r>
          </w:p>
        </w:tc>
      </w:tr>
      <w:tr w:rsidR="00B2095A" w:rsidRPr="00B2095A" w14:paraId="5FEE893D" w14:textId="77777777" w:rsidTr="00B2095A">
        <w:tc>
          <w:tcPr>
            <w:tcW w:w="1558" w:type="dxa"/>
            <w:vAlign w:val="center"/>
          </w:tcPr>
          <w:p w14:paraId="6AA7E64D" w14:textId="1EFD5273" w:rsidR="00B2095A" w:rsidRDefault="00B2095A" w:rsidP="00B2095A">
            <w:pPr>
              <w:jc w:val="center"/>
              <w:rPr>
                <w:rFonts w:eastAsia="Yu Mincho" w:cs="Times New Roman"/>
                <w:sz w:val="21"/>
                <w:szCs w:val="21"/>
              </w:rPr>
            </w:pPr>
            <m:oMathPara>
              <m:oMath>
                <m:r>
                  <w:rPr>
                    <w:rFonts w:ascii="Cambria Math" w:eastAsia="Yu Mincho" w:hAnsi="Cambria Math" w:cs="Times New Roman"/>
                    <w:sz w:val="21"/>
                    <w:szCs w:val="21"/>
                  </w:rPr>
                  <m:t>10°</m:t>
                </m:r>
              </m:oMath>
            </m:oMathPara>
          </w:p>
        </w:tc>
        <w:tc>
          <w:tcPr>
            <w:tcW w:w="1558" w:type="dxa"/>
            <w:vAlign w:val="center"/>
          </w:tcPr>
          <w:p w14:paraId="463B0704" w14:textId="79A8BAEB" w:rsidR="00B2095A" w:rsidRDefault="00B2095A" w:rsidP="00B2095A">
            <w:pPr>
              <w:jc w:val="center"/>
              <w:rPr>
                <w:rFonts w:eastAsia="Yu Mincho" w:cs="Times New Roman"/>
                <w:sz w:val="21"/>
                <w:szCs w:val="21"/>
              </w:rPr>
            </w:pPr>
            <m:oMathPara>
              <m:oMath>
                <m:r>
                  <w:rPr>
                    <w:rFonts w:ascii="Cambria Math" w:eastAsia="Yu Mincho" w:hAnsi="Cambria Math" w:cs="Times New Roman"/>
                    <w:sz w:val="21"/>
                    <w:szCs w:val="21"/>
                  </w:rPr>
                  <m:t>34°</m:t>
                </m:r>
              </m:oMath>
            </m:oMathPara>
          </w:p>
        </w:tc>
        <w:tc>
          <w:tcPr>
            <w:tcW w:w="1558" w:type="dxa"/>
            <w:vAlign w:val="center"/>
          </w:tcPr>
          <w:p w14:paraId="618905A2" w14:textId="02C3C482" w:rsidR="00B2095A" w:rsidRDefault="00B2095A" w:rsidP="00B2095A">
            <w:pPr>
              <w:jc w:val="center"/>
              <w:rPr>
                <w:rFonts w:eastAsia="Yu Mincho" w:cs="Times New Roman"/>
                <w:sz w:val="21"/>
                <w:szCs w:val="21"/>
              </w:rPr>
            </w:pPr>
            <w:r w:rsidRPr="00B2095A">
              <w:rPr>
                <w:rFonts w:eastAsia="Yu Mincho" w:cs="Times New Roman"/>
                <w:sz w:val="21"/>
                <w:szCs w:val="21"/>
              </w:rPr>
              <w:t>0.1736</w:t>
            </w:r>
          </w:p>
        </w:tc>
        <w:tc>
          <w:tcPr>
            <w:tcW w:w="1558" w:type="dxa"/>
            <w:vAlign w:val="center"/>
          </w:tcPr>
          <w:p w14:paraId="60AA083E" w14:textId="7778B56C" w:rsidR="00B2095A" w:rsidRDefault="00B2095A" w:rsidP="00B2095A">
            <w:pPr>
              <w:jc w:val="center"/>
              <w:rPr>
                <w:rFonts w:eastAsia="Yu Mincho" w:cs="Times New Roman"/>
                <w:sz w:val="21"/>
                <w:szCs w:val="21"/>
              </w:rPr>
            </w:pPr>
            <w:r w:rsidRPr="00B2095A">
              <w:rPr>
                <w:rFonts w:eastAsia="Yu Mincho" w:cs="Times New Roman"/>
                <w:sz w:val="21"/>
                <w:szCs w:val="21"/>
              </w:rPr>
              <w:t>0.0172</w:t>
            </w:r>
          </w:p>
        </w:tc>
        <w:tc>
          <w:tcPr>
            <w:tcW w:w="1559" w:type="dxa"/>
            <w:vAlign w:val="center"/>
          </w:tcPr>
          <w:p w14:paraId="760B1E0B" w14:textId="63C30C99" w:rsidR="00B2095A" w:rsidRPr="00B2095A" w:rsidRDefault="00B2095A" w:rsidP="00B2095A">
            <w:pPr>
              <w:jc w:val="center"/>
              <w:rPr>
                <w:rFonts w:eastAsia="Yu Mincho" w:cs="Times New Roman"/>
                <w:sz w:val="21"/>
                <w:szCs w:val="21"/>
              </w:rPr>
            </w:pPr>
            <w:r w:rsidRPr="00B2095A">
              <w:rPr>
                <w:rFonts w:eastAsia="Yu Mincho" w:cs="Times New Roman"/>
                <w:sz w:val="21"/>
                <w:szCs w:val="21"/>
              </w:rPr>
              <w:t>0.5592</w:t>
            </w:r>
          </w:p>
        </w:tc>
        <w:tc>
          <w:tcPr>
            <w:tcW w:w="1559" w:type="dxa"/>
            <w:vAlign w:val="center"/>
          </w:tcPr>
          <w:p w14:paraId="238C7EF0" w14:textId="24819D01" w:rsidR="00B2095A" w:rsidRPr="00B2095A" w:rsidRDefault="00B2095A" w:rsidP="00B2095A">
            <w:pPr>
              <w:jc w:val="center"/>
              <w:rPr>
                <w:sz w:val="21"/>
                <w:szCs w:val="21"/>
              </w:rPr>
            </w:pPr>
            <w:r w:rsidRPr="00B2095A">
              <w:rPr>
                <w:sz w:val="21"/>
                <w:szCs w:val="21"/>
              </w:rPr>
              <w:t>0.0145</w:t>
            </w:r>
          </w:p>
        </w:tc>
      </w:tr>
      <w:tr w:rsidR="00B2095A" w:rsidRPr="00B2095A" w14:paraId="0164A5BC" w14:textId="77777777" w:rsidTr="00B2095A">
        <w:tc>
          <w:tcPr>
            <w:tcW w:w="1558" w:type="dxa"/>
            <w:vAlign w:val="center"/>
          </w:tcPr>
          <w:p w14:paraId="560E15F1" w14:textId="7707A112" w:rsidR="00B2095A" w:rsidRDefault="00B2095A" w:rsidP="00B2095A">
            <w:pPr>
              <w:jc w:val="center"/>
              <w:rPr>
                <w:rFonts w:eastAsia="Yu Mincho" w:cs="Times New Roman"/>
                <w:sz w:val="21"/>
                <w:szCs w:val="21"/>
              </w:rPr>
            </w:pPr>
            <m:oMathPara>
              <m:oMath>
                <m:r>
                  <w:rPr>
                    <w:rFonts w:ascii="Cambria Math" w:eastAsia="Yu Mincho" w:hAnsi="Cambria Math" w:cs="Times New Roman"/>
                    <w:sz w:val="21"/>
                    <w:szCs w:val="21"/>
                  </w:rPr>
                  <m:t>20°</m:t>
                </m:r>
              </m:oMath>
            </m:oMathPara>
          </w:p>
        </w:tc>
        <w:tc>
          <w:tcPr>
            <w:tcW w:w="1558" w:type="dxa"/>
            <w:vAlign w:val="center"/>
          </w:tcPr>
          <w:p w14:paraId="756C9564" w14:textId="1F9FFC5E" w:rsidR="00B2095A" w:rsidRDefault="00B2095A" w:rsidP="00B2095A">
            <w:pPr>
              <w:jc w:val="center"/>
              <w:rPr>
                <w:rFonts w:eastAsia="Yu Mincho" w:cs="Times New Roman"/>
                <w:sz w:val="21"/>
                <w:szCs w:val="21"/>
              </w:rPr>
            </w:pPr>
            <m:oMathPara>
              <m:oMath>
                <m:r>
                  <w:rPr>
                    <w:rFonts w:ascii="Cambria Math" w:eastAsia="Yu Mincho" w:hAnsi="Cambria Math" w:cs="Times New Roman"/>
                    <w:sz w:val="21"/>
                    <w:szCs w:val="21"/>
                  </w:rPr>
                  <m:t>47°</m:t>
                </m:r>
              </m:oMath>
            </m:oMathPara>
          </w:p>
        </w:tc>
        <w:tc>
          <w:tcPr>
            <w:tcW w:w="1558" w:type="dxa"/>
            <w:vAlign w:val="center"/>
          </w:tcPr>
          <w:p w14:paraId="61AC0B2C" w14:textId="1D08DE25" w:rsidR="00B2095A" w:rsidRDefault="00B2095A" w:rsidP="00B2095A">
            <w:pPr>
              <w:jc w:val="center"/>
              <w:rPr>
                <w:rFonts w:eastAsia="Yu Mincho" w:cs="Times New Roman"/>
                <w:sz w:val="21"/>
                <w:szCs w:val="21"/>
              </w:rPr>
            </w:pPr>
            <w:r w:rsidRPr="00B2095A">
              <w:rPr>
                <w:rFonts w:eastAsia="Yu Mincho" w:cs="Times New Roman"/>
                <w:sz w:val="21"/>
                <w:szCs w:val="21"/>
              </w:rPr>
              <w:t>0.3420</w:t>
            </w:r>
          </w:p>
        </w:tc>
        <w:tc>
          <w:tcPr>
            <w:tcW w:w="1558" w:type="dxa"/>
            <w:vAlign w:val="center"/>
          </w:tcPr>
          <w:p w14:paraId="20357BEA" w14:textId="69B160EA" w:rsidR="00B2095A" w:rsidRDefault="00B2095A" w:rsidP="00B2095A">
            <w:pPr>
              <w:jc w:val="center"/>
              <w:rPr>
                <w:rFonts w:eastAsia="Yu Mincho" w:cs="Times New Roman"/>
                <w:sz w:val="21"/>
                <w:szCs w:val="21"/>
              </w:rPr>
            </w:pPr>
            <w:r w:rsidRPr="00B2095A">
              <w:rPr>
                <w:rFonts w:eastAsia="Yu Mincho" w:cs="Times New Roman"/>
                <w:sz w:val="21"/>
                <w:szCs w:val="21"/>
              </w:rPr>
              <w:t>0.0164</w:t>
            </w:r>
          </w:p>
        </w:tc>
        <w:tc>
          <w:tcPr>
            <w:tcW w:w="1559" w:type="dxa"/>
            <w:vAlign w:val="center"/>
          </w:tcPr>
          <w:p w14:paraId="3EDF8D2F" w14:textId="018B7EB8" w:rsidR="00B2095A" w:rsidRPr="00B2095A" w:rsidRDefault="00B2095A" w:rsidP="00B2095A">
            <w:pPr>
              <w:jc w:val="center"/>
              <w:rPr>
                <w:rFonts w:eastAsia="Yu Mincho" w:cs="Times New Roman"/>
                <w:sz w:val="21"/>
                <w:szCs w:val="21"/>
              </w:rPr>
            </w:pPr>
            <w:r w:rsidRPr="00B2095A">
              <w:rPr>
                <w:rFonts w:eastAsia="Yu Mincho" w:cs="Times New Roman"/>
                <w:sz w:val="21"/>
                <w:szCs w:val="21"/>
              </w:rPr>
              <w:t>0.7314</w:t>
            </w:r>
          </w:p>
        </w:tc>
        <w:tc>
          <w:tcPr>
            <w:tcW w:w="1559" w:type="dxa"/>
            <w:vAlign w:val="center"/>
          </w:tcPr>
          <w:p w14:paraId="2138215D" w14:textId="6E46265E" w:rsidR="00B2095A" w:rsidRPr="00B2095A" w:rsidRDefault="00B2095A" w:rsidP="00B2095A">
            <w:pPr>
              <w:jc w:val="center"/>
              <w:rPr>
                <w:sz w:val="21"/>
                <w:szCs w:val="21"/>
              </w:rPr>
            </w:pPr>
            <w:r w:rsidRPr="00B2095A">
              <w:rPr>
                <w:sz w:val="21"/>
                <w:szCs w:val="21"/>
              </w:rPr>
              <w:t>0.0119</w:t>
            </w:r>
          </w:p>
        </w:tc>
      </w:tr>
      <w:tr w:rsidR="00B2095A" w:rsidRPr="00B2095A" w14:paraId="37C103D8" w14:textId="77777777" w:rsidTr="00B2095A">
        <w:tc>
          <w:tcPr>
            <w:tcW w:w="1558" w:type="dxa"/>
            <w:vAlign w:val="center"/>
          </w:tcPr>
          <w:p w14:paraId="6F9A5679" w14:textId="2C5E78F1" w:rsidR="00B2095A" w:rsidRDefault="00B2095A" w:rsidP="00B2095A">
            <w:pPr>
              <w:jc w:val="center"/>
              <w:rPr>
                <w:rFonts w:eastAsia="Yu Mincho" w:cs="Times New Roman"/>
                <w:sz w:val="21"/>
                <w:szCs w:val="21"/>
              </w:rPr>
            </w:pPr>
            <m:oMathPara>
              <m:oMath>
                <m:r>
                  <w:rPr>
                    <w:rFonts w:ascii="Cambria Math" w:eastAsia="Yu Mincho" w:hAnsi="Cambria Math" w:cs="Times New Roman"/>
                    <w:sz w:val="21"/>
                    <w:szCs w:val="21"/>
                  </w:rPr>
                  <m:t>30°</m:t>
                </m:r>
              </m:oMath>
            </m:oMathPara>
          </w:p>
        </w:tc>
        <w:tc>
          <w:tcPr>
            <w:tcW w:w="1558" w:type="dxa"/>
            <w:vAlign w:val="center"/>
          </w:tcPr>
          <w:p w14:paraId="0EF4426B" w14:textId="3A4244C9" w:rsidR="00B2095A" w:rsidRDefault="00B2095A" w:rsidP="00B2095A">
            <w:pPr>
              <w:jc w:val="center"/>
              <w:rPr>
                <w:rFonts w:eastAsia="Yu Mincho" w:cs="Times New Roman"/>
                <w:sz w:val="21"/>
                <w:szCs w:val="21"/>
              </w:rPr>
            </w:pPr>
            <m:oMathPara>
              <m:oMath>
                <m:r>
                  <w:rPr>
                    <w:rFonts w:ascii="Cambria Math" w:eastAsia="Yu Mincho" w:hAnsi="Cambria Math" w:cs="Times New Roman"/>
                    <w:sz w:val="21"/>
                    <w:szCs w:val="21"/>
                  </w:rPr>
                  <m:t>60°</m:t>
                </m:r>
              </m:oMath>
            </m:oMathPara>
          </w:p>
        </w:tc>
        <w:tc>
          <w:tcPr>
            <w:tcW w:w="1558" w:type="dxa"/>
            <w:vAlign w:val="center"/>
          </w:tcPr>
          <w:p w14:paraId="4BA4AA0F" w14:textId="0BACC706" w:rsidR="00B2095A" w:rsidRDefault="00B2095A" w:rsidP="00B2095A">
            <w:pPr>
              <w:jc w:val="center"/>
              <w:rPr>
                <w:rFonts w:eastAsia="Yu Mincho" w:cs="Times New Roman"/>
                <w:sz w:val="21"/>
                <w:szCs w:val="21"/>
              </w:rPr>
            </w:pPr>
            <w:r w:rsidRPr="00B2095A">
              <w:rPr>
                <w:rFonts w:eastAsia="Yu Mincho" w:cs="Times New Roman"/>
                <w:sz w:val="21"/>
                <w:szCs w:val="21"/>
              </w:rPr>
              <w:t>0.5000</w:t>
            </w:r>
          </w:p>
        </w:tc>
        <w:tc>
          <w:tcPr>
            <w:tcW w:w="1558" w:type="dxa"/>
            <w:vAlign w:val="center"/>
          </w:tcPr>
          <w:p w14:paraId="071CDB38" w14:textId="27A7FCAC" w:rsidR="00B2095A" w:rsidRDefault="00B2095A" w:rsidP="00B2095A">
            <w:pPr>
              <w:jc w:val="center"/>
              <w:rPr>
                <w:rFonts w:eastAsia="Yu Mincho" w:cs="Times New Roman"/>
                <w:sz w:val="21"/>
                <w:szCs w:val="21"/>
              </w:rPr>
            </w:pPr>
            <w:r w:rsidRPr="00B2095A">
              <w:rPr>
                <w:rFonts w:eastAsia="Yu Mincho" w:cs="Times New Roman"/>
                <w:sz w:val="21"/>
                <w:szCs w:val="21"/>
              </w:rPr>
              <w:t>0.0151</w:t>
            </w:r>
          </w:p>
        </w:tc>
        <w:tc>
          <w:tcPr>
            <w:tcW w:w="1559" w:type="dxa"/>
            <w:vAlign w:val="center"/>
          </w:tcPr>
          <w:p w14:paraId="791297AE" w14:textId="6CC3E593" w:rsidR="00B2095A" w:rsidRPr="00B2095A" w:rsidRDefault="00B2095A" w:rsidP="00B2095A">
            <w:pPr>
              <w:jc w:val="center"/>
              <w:rPr>
                <w:rFonts w:eastAsia="Yu Mincho" w:cs="Times New Roman"/>
                <w:sz w:val="21"/>
                <w:szCs w:val="21"/>
              </w:rPr>
            </w:pPr>
            <w:r w:rsidRPr="00B2095A">
              <w:rPr>
                <w:rFonts w:eastAsia="Yu Mincho" w:cs="Times New Roman"/>
                <w:sz w:val="21"/>
                <w:szCs w:val="21"/>
              </w:rPr>
              <w:t>0.8660</w:t>
            </w:r>
          </w:p>
        </w:tc>
        <w:tc>
          <w:tcPr>
            <w:tcW w:w="1559" w:type="dxa"/>
            <w:vAlign w:val="center"/>
          </w:tcPr>
          <w:p w14:paraId="5951F215" w14:textId="2B7C462F" w:rsidR="00B2095A" w:rsidRPr="00B2095A" w:rsidRDefault="00B2095A" w:rsidP="00B2095A">
            <w:pPr>
              <w:jc w:val="center"/>
              <w:rPr>
                <w:sz w:val="21"/>
                <w:szCs w:val="21"/>
              </w:rPr>
            </w:pPr>
            <w:r w:rsidRPr="00B2095A">
              <w:rPr>
                <w:sz w:val="21"/>
                <w:szCs w:val="21"/>
              </w:rPr>
              <w:t>0.0087</w:t>
            </w:r>
          </w:p>
        </w:tc>
      </w:tr>
      <w:tr w:rsidR="00B2095A" w:rsidRPr="00B2095A" w14:paraId="22D8B11C" w14:textId="77777777" w:rsidTr="00B2095A">
        <w:tc>
          <w:tcPr>
            <w:tcW w:w="1558" w:type="dxa"/>
            <w:vAlign w:val="center"/>
          </w:tcPr>
          <w:p w14:paraId="7A723C18" w14:textId="070AD719" w:rsidR="00B2095A" w:rsidRDefault="00B2095A" w:rsidP="00B2095A">
            <w:pPr>
              <w:jc w:val="center"/>
              <w:rPr>
                <w:rFonts w:eastAsia="Yu Mincho" w:cs="Times New Roman"/>
                <w:sz w:val="21"/>
                <w:szCs w:val="21"/>
              </w:rPr>
            </w:pPr>
            <m:oMathPara>
              <m:oMath>
                <m:r>
                  <w:rPr>
                    <w:rFonts w:ascii="Cambria Math" w:eastAsia="Yu Mincho" w:hAnsi="Cambria Math" w:cs="Times New Roman"/>
                    <w:sz w:val="21"/>
                    <w:szCs w:val="21"/>
                  </w:rPr>
                  <m:t>40°</m:t>
                </m:r>
              </m:oMath>
            </m:oMathPara>
          </w:p>
        </w:tc>
        <w:tc>
          <w:tcPr>
            <w:tcW w:w="1558" w:type="dxa"/>
            <w:vAlign w:val="center"/>
          </w:tcPr>
          <w:p w14:paraId="0B785604" w14:textId="1AD9CDD7" w:rsidR="00B2095A" w:rsidRDefault="00B2095A" w:rsidP="00B2095A">
            <w:pPr>
              <w:jc w:val="center"/>
              <w:rPr>
                <w:rFonts w:eastAsia="Yu Mincho" w:cs="Times New Roman"/>
                <w:sz w:val="21"/>
                <w:szCs w:val="21"/>
              </w:rPr>
            </w:pPr>
            <m:oMathPara>
              <m:oMath>
                <m:r>
                  <w:rPr>
                    <w:rFonts w:ascii="Cambria Math" w:eastAsia="Yu Mincho" w:hAnsi="Cambria Math" w:cs="Times New Roman"/>
                    <w:sz w:val="21"/>
                    <w:szCs w:val="21"/>
                  </w:rPr>
                  <m:t>83°</m:t>
                </m:r>
              </m:oMath>
            </m:oMathPara>
          </w:p>
        </w:tc>
        <w:tc>
          <w:tcPr>
            <w:tcW w:w="1558" w:type="dxa"/>
            <w:vAlign w:val="center"/>
          </w:tcPr>
          <w:p w14:paraId="22887D25" w14:textId="598582BA" w:rsidR="00B2095A" w:rsidRDefault="00B2095A" w:rsidP="00B2095A">
            <w:pPr>
              <w:jc w:val="center"/>
              <w:rPr>
                <w:rFonts w:eastAsia="Yu Mincho" w:cs="Times New Roman"/>
                <w:sz w:val="21"/>
                <w:szCs w:val="21"/>
              </w:rPr>
            </w:pPr>
            <w:r w:rsidRPr="00B2095A">
              <w:rPr>
                <w:rFonts w:eastAsia="Yu Mincho" w:cs="Times New Roman"/>
                <w:sz w:val="21"/>
                <w:szCs w:val="21"/>
              </w:rPr>
              <w:t>0.6428</w:t>
            </w:r>
          </w:p>
        </w:tc>
        <w:tc>
          <w:tcPr>
            <w:tcW w:w="1558" w:type="dxa"/>
            <w:vAlign w:val="center"/>
          </w:tcPr>
          <w:p w14:paraId="6935B5ED" w14:textId="63A35075" w:rsidR="00B2095A" w:rsidRDefault="00B2095A" w:rsidP="00B2095A">
            <w:pPr>
              <w:jc w:val="center"/>
              <w:rPr>
                <w:rFonts w:eastAsia="Yu Mincho" w:cs="Times New Roman"/>
                <w:sz w:val="21"/>
                <w:szCs w:val="21"/>
              </w:rPr>
            </w:pPr>
            <w:r w:rsidRPr="00B2095A">
              <w:rPr>
                <w:rFonts w:eastAsia="Yu Mincho" w:cs="Times New Roman"/>
                <w:sz w:val="21"/>
                <w:szCs w:val="21"/>
              </w:rPr>
              <w:t>0.0134</w:t>
            </w:r>
          </w:p>
        </w:tc>
        <w:tc>
          <w:tcPr>
            <w:tcW w:w="1559" w:type="dxa"/>
            <w:vAlign w:val="center"/>
          </w:tcPr>
          <w:p w14:paraId="4C913BDC" w14:textId="6AC38706" w:rsidR="00B2095A" w:rsidRPr="00B2095A" w:rsidRDefault="00B2095A" w:rsidP="00B2095A">
            <w:pPr>
              <w:jc w:val="center"/>
              <w:rPr>
                <w:rFonts w:eastAsia="Yu Mincho" w:cs="Times New Roman"/>
                <w:sz w:val="21"/>
                <w:szCs w:val="21"/>
              </w:rPr>
            </w:pPr>
            <w:r w:rsidRPr="00B2095A">
              <w:rPr>
                <w:rFonts w:eastAsia="Yu Mincho" w:cs="Times New Roman"/>
                <w:sz w:val="21"/>
                <w:szCs w:val="21"/>
              </w:rPr>
              <w:t>0.9925</w:t>
            </w:r>
          </w:p>
        </w:tc>
        <w:tc>
          <w:tcPr>
            <w:tcW w:w="1559" w:type="dxa"/>
            <w:vAlign w:val="center"/>
          </w:tcPr>
          <w:p w14:paraId="7AB23CF0" w14:textId="123345C2" w:rsidR="00B2095A" w:rsidRPr="00B2095A" w:rsidRDefault="00B2095A" w:rsidP="00B2095A">
            <w:pPr>
              <w:jc w:val="center"/>
              <w:rPr>
                <w:sz w:val="21"/>
                <w:szCs w:val="21"/>
              </w:rPr>
            </w:pPr>
            <w:r w:rsidRPr="00B2095A">
              <w:rPr>
                <w:sz w:val="21"/>
                <w:szCs w:val="21"/>
              </w:rPr>
              <w:t>0.0021</w:t>
            </w:r>
          </w:p>
        </w:tc>
      </w:tr>
    </w:tbl>
    <w:p w14:paraId="38D44305" w14:textId="77777777" w:rsidR="00FC4E03" w:rsidRDefault="00FC4E03" w:rsidP="00FC4E03">
      <w:pPr>
        <w:jc w:val="center"/>
      </w:pPr>
    </w:p>
    <w:p w14:paraId="19CABBF2" w14:textId="57395082" w:rsidR="00B71DFA" w:rsidRDefault="00B71DFA" w:rsidP="00B71DFA">
      <w:r>
        <w:t xml:space="preserve">Individual angle measurements carried and absolute uncertainty of </w:t>
      </w:r>
      <m:oMath>
        <m:r>
          <w:rPr>
            <w:rFonts w:ascii="Cambria Math" w:hAnsi="Cambria Math"/>
          </w:rPr>
          <m:t>±1°</m:t>
        </m:r>
      </m:oMath>
      <w:r>
        <w:t xml:space="preserve">. The uncertainties for the trigonometric function </w:t>
      </w:r>
      <m:oMath>
        <m:r>
          <m:rPr>
            <m:sty m:val="p"/>
          </m:rPr>
          <w:rPr>
            <w:rFonts w:ascii="Cambria Math" w:hAnsi="Cambria Math"/>
          </w:rPr>
          <m:t>sin⁡</m:t>
        </m:r>
        <m:r>
          <w:rPr>
            <w:rFonts w:ascii="Cambria Math" w:hAnsi="Cambria Math"/>
          </w:rPr>
          <m:t>(θ)</m:t>
        </m:r>
      </m:oMath>
      <w:r>
        <w:t xml:space="preserve"> were mathematically manipulated using the half-difference method. Sample calculations for these uncertainties are referenced and included in Appendix B</w:t>
      </w:r>
      <w:r w:rsidR="0032578C">
        <w:t>.</w:t>
      </w:r>
    </w:p>
    <w:p w14:paraId="42D47CCC" w14:textId="77777777" w:rsidR="0032578C" w:rsidRDefault="0032578C" w:rsidP="00B71DFA"/>
    <w:p w14:paraId="4A9EBB67" w14:textId="13207120" w:rsidR="0032578C" w:rsidRDefault="0032578C" w:rsidP="00B71DFA">
      <w:r>
        <w:t xml:space="preserve">Figure 1 shows </w:t>
      </w: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e>
            </m:d>
          </m:e>
        </m:func>
      </m:oMath>
      <w:r>
        <w:t xml:space="preserve"> vs </w:t>
      </w: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e>
            </m:d>
          </m:e>
        </m:func>
      </m:oMath>
      <w:r>
        <w:t>, which demonstrates a highly linear relationship. A linear regression was applied to the dataset to extract the slope, which directly correlated to the refractive index of the acrylic block</w:t>
      </w:r>
      <w:r w:rsidR="002E5C74">
        <w:t xml:space="preserve">. </w:t>
      </w:r>
    </w:p>
    <w:p w14:paraId="035D2D26" w14:textId="37938B66" w:rsidR="00D163FA" w:rsidRDefault="00D163FA" w:rsidP="00B71DFA">
      <w:r>
        <w:t xml:space="preserve">Figure </w:t>
      </w:r>
      <w:r w:rsidR="00C440F6">
        <w:t>3</w:t>
      </w:r>
      <w:r>
        <w:t xml:space="preserve">: Scatter plot of </w:t>
      </w: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e>
            </m:d>
          </m:e>
        </m:func>
      </m:oMath>
      <w:r>
        <w:t xml:space="preserve"> versus </w:t>
      </w: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e>
            </m:d>
          </m:e>
        </m:func>
      </m:oMath>
      <w:r>
        <w:t xml:space="preserve">. Note that the linear fit utilizes data strictly </w:t>
      </w:r>
      <m:oMath>
        <m:r>
          <w:rPr>
            <w:rFonts w:ascii="Cambria Math" w:hAnsi="Cambria Math"/>
          </w:rPr>
          <m:t>≤40°</m:t>
        </m:r>
      </m:oMath>
      <w:r>
        <w:t>.</w:t>
      </w:r>
    </w:p>
    <w:p w14:paraId="646F70B5" w14:textId="3E74EABD" w:rsidR="002741D5" w:rsidRDefault="002741D5" w:rsidP="002741D5">
      <w:pPr>
        <w:jc w:val="center"/>
      </w:pPr>
      <w:r w:rsidRPr="002741D5">
        <w:drawing>
          <wp:inline distT="0" distB="0" distL="0" distR="0" wp14:anchorId="1B80F2F9" wp14:editId="3D2D7EC1">
            <wp:extent cx="3956050" cy="3120039"/>
            <wp:effectExtent l="0" t="0" r="6350" b="4445"/>
            <wp:docPr id="159285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50968" name=""/>
                    <pic:cNvPicPr/>
                  </pic:nvPicPr>
                  <pic:blipFill>
                    <a:blip r:embed="rId6"/>
                    <a:stretch>
                      <a:fillRect/>
                    </a:stretch>
                  </pic:blipFill>
                  <pic:spPr>
                    <a:xfrm>
                      <a:off x="0" y="0"/>
                      <a:ext cx="3961203" cy="3124103"/>
                    </a:xfrm>
                    <a:prstGeom prst="rect">
                      <a:avLst/>
                    </a:prstGeom>
                  </pic:spPr>
                </pic:pic>
              </a:graphicData>
            </a:graphic>
          </wp:inline>
        </w:drawing>
      </w:r>
    </w:p>
    <w:p w14:paraId="265E3193" w14:textId="7BBF246C" w:rsidR="002741D5" w:rsidRDefault="002741D5" w:rsidP="002741D5">
      <w:pPr>
        <w:pStyle w:val="Heading1"/>
      </w:pPr>
      <w:r>
        <w:lastRenderedPageBreak/>
        <w:t>Results</w:t>
      </w:r>
    </w:p>
    <w:p w14:paraId="12B3BEF2" w14:textId="04BC0964" w:rsidR="002741D5" w:rsidRDefault="002741D5" w:rsidP="002741D5">
      <w:r>
        <w:t xml:space="preserve">Based on the linear analysis of the collected data, the experimental critical angle was calculated to be </w:t>
      </w:r>
      <m:oMath>
        <m:r>
          <w:rPr>
            <w:rFonts w:ascii="Cambria Math" w:hAnsi="Cambria Math"/>
          </w:rPr>
          <m:t>61.62°</m:t>
        </m:r>
      </m:oMath>
      <w:r>
        <w:t xml:space="preserve">. The accepted theoretical refractive index for standard acrylic is approximately 1.49, corresponds to an accepted critical angle of roughly </w:t>
      </w:r>
      <m:oMath>
        <m:r>
          <w:rPr>
            <w:rFonts w:ascii="Cambria Math" w:hAnsi="Cambria Math"/>
          </w:rPr>
          <m:t>42.15°</m:t>
        </m:r>
      </m:oMath>
      <w:r>
        <w:t>.</w:t>
      </w:r>
    </w:p>
    <w:p w14:paraId="5045E279" w14:textId="77777777" w:rsidR="002741D5" w:rsidRDefault="002741D5" w:rsidP="002741D5"/>
    <w:p w14:paraId="4ECB1DB9" w14:textId="58138BCE" w:rsidR="002741D5" w:rsidRDefault="002741D5" w:rsidP="002741D5">
      <w:pPr>
        <w:pStyle w:val="Heading1"/>
      </w:pPr>
      <w:r>
        <w:t>Discussion</w:t>
      </w:r>
    </w:p>
    <w:p w14:paraId="5E6A3901" w14:textId="5341D78A" w:rsidR="00AD3167" w:rsidRDefault="002741D5" w:rsidP="002741D5">
      <w:r w:rsidRPr="002741D5">
        <w:t xml:space="preserve">The analysis successfully demonstrates the linear relationship predicted by Snell's Law. However, the calculated critical angle of </w:t>
      </w:r>
      <m:oMath>
        <m:r>
          <w:rPr>
            <w:rFonts w:ascii="Cambria Math" w:hAnsi="Cambria Math"/>
          </w:rPr>
          <m:t>61.62°</m:t>
        </m:r>
      </m:oMath>
      <w:r>
        <w:t xml:space="preserve">. </w:t>
      </w:r>
      <w:r w:rsidRPr="002741D5">
        <w:t xml:space="preserve">deviates significantly from the accepted theoretical value of </w:t>
      </w:r>
      <m:oMath>
        <m:r>
          <w:rPr>
            <w:rFonts w:ascii="Cambria Math" w:hAnsi="Cambria Math"/>
          </w:rPr>
          <m:t>42.15°</m:t>
        </m:r>
        <m:r>
          <w:rPr>
            <w:rFonts w:ascii="Cambria Math" w:hAnsi="Cambria Math"/>
          </w:rPr>
          <m:t>.</m:t>
        </m:r>
      </m:oMath>
      <w:r w:rsidRPr="002741D5">
        <w:t xml:space="preserve"> </w:t>
      </w:r>
      <w:r w:rsidR="00AD3167" w:rsidRPr="00AD3167">
        <w:t>While the data analysis quantified the propagated measurement uncertainties</w:t>
      </w:r>
      <w:r w:rsidR="00AD3167">
        <w:t xml:space="preserve"> (</w:t>
      </w:r>
      <m:oMath>
        <m:sSub>
          <m:sSubPr>
            <m:ctrlPr>
              <w:rPr>
                <w:rFonts w:ascii="Cambria Math" w:hAnsi="Cambria Math"/>
                <w:i/>
              </w:rPr>
            </m:ctrlPr>
          </m:sSubPr>
          <m:e>
            <m:r>
              <w:rPr>
                <w:rFonts w:ascii="Cambria Math" w:hAnsi="Cambria Math"/>
              </w:rPr>
              <m:t>s</m:t>
            </m:r>
          </m:e>
          <m:sub>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sub>
        </m:sSub>
        <m:r>
          <w:rPr>
            <w:rFonts w:ascii="Cambria Math" w:hAnsi="Cambria Math"/>
          </w:rPr>
          <m:t>)</m:t>
        </m:r>
      </m:oMath>
      <w:r w:rsidR="00AD3167">
        <w:t xml:space="preserve">, </w:t>
      </w:r>
      <w:r w:rsidR="00AD3167" w:rsidRPr="00AD3167">
        <w:t>these values were exceptionally small (ranging from 0.002 to 0.017). Consequently, the random measurement uncertainty of</w:t>
      </w:r>
      <w:r w:rsidR="00AD3167">
        <w:t xml:space="preserve"> </w:t>
      </w:r>
      <m:oMath>
        <m:r>
          <w:rPr>
            <w:rFonts w:ascii="Cambria Math" w:hAnsi="Cambria Math"/>
          </w:rPr>
          <m:t>±1°</m:t>
        </m:r>
      </m:oMath>
      <w:r w:rsidR="00AD3167">
        <w:t xml:space="preserve"> </w:t>
      </w:r>
      <w:r w:rsidR="00AD3167" w:rsidRPr="00AD3167">
        <w:t>is negligible and cannot account for this large deviation.</w:t>
      </w:r>
    </w:p>
    <w:p w14:paraId="73DE7FD1" w14:textId="77777777" w:rsidR="00AD3167" w:rsidRDefault="00AD3167" w:rsidP="002741D5"/>
    <w:p w14:paraId="1CFD9B3D" w14:textId="412CED77" w:rsidR="002741D5" w:rsidRPr="002741D5" w:rsidRDefault="00AD3167" w:rsidP="002741D5">
      <w:r>
        <w:t>Instead, t</w:t>
      </w:r>
      <w:r w:rsidR="002741D5" w:rsidRPr="002741D5">
        <w:t>his discrepancy is directly supported by the experimental data limitations: the highest measured incident angle was</w:t>
      </w:r>
      <w:r w:rsidR="002741D5">
        <w:t xml:space="preserve"> </w:t>
      </w:r>
      <m:oMath>
        <m:r>
          <w:rPr>
            <w:rFonts w:ascii="Cambria Math" w:hAnsi="Cambria Math"/>
          </w:rPr>
          <m:t>40°</m:t>
        </m:r>
      </m:oMath>
      <w:r w:rsidR="002741D5" w:rsidRPr="002741D5">
        <w:t xml:space="preserve">. Without data points closer to the actual critical boundary, the linear fit extrapolates the slope based solely on the flatter, early portion of the sine curve. Further investigation incorporating measurements between </w:t>
      </w:r>
      <m:oMath>
        <m:r>
          <w:rPr>
            <w:rFonts w:ascii="Cambria Math" w:hAnsi="Cambria Math"/>
          </w:rPr>
          <m:t>40°</m:t>
        </m:r>
      </m:oMath>
      <w:r w:rsidR="002741D5" w:rsidRPr="002741D5">
        <w:t xml:space="preserve"> and the expected critical angle is necessary to determine a precise and accurate refractive index.</w:t>
      </w:r>
    </w:p>
    <w:p w14:paraId="47A9201B" w14:textId="1E8D8041" w:rsidR="004C4A39" w:rsidRDefault="004C4A39">
      <w:r>
        <w:br w:type="page"/>
      </w:r>
    </w:p>
    <w:p w14:paraId="357E10C9" w14:textId="77777777" w:rsidR="002741D5" w:rsidRPr="002741D5" w:rsidRDefault="002741D5" w:rsidP="002741D5"/>
    <w:p w14:paraId="1BB3B867" w14:textId="61B25295" w:rsidR="00AD3167" w:rsidRDefault="00AD3167" w:rsidP="00AD3167">
      <w:pPr>
        <w:pStyle w:val="Heading1"/>
      </w:pPr>
      <w:r>
        <w:t>Appendix A: Derivations</w:t>
      </w:r>
    </w:p>
    <w:p w14:paraId="0557FF66" w14:textId="7663F603" w:rsidR="00AD3167" w:rsidRDefault="00AD3167" w:rsidP="00AD3167">
      <w:r>
        <w:t>Derivation of Critical Angle:</w:t>
      </w:r>
    </w:p>
    <w:p w14:paraId="36AE9872" w14:textId="77777777" w:rsidR="00AD3167" w:rsidRDefault="00AD3167" w:rsidP="00AD3167"/>
    <w:p w14:paraId="229E4738" w14:textId="2BB31E45" w:rsidR="00AD3167" w:rsidRDefault="00AD3167" w:rsidP="00AD3167">
      <w:r>
        <w:t>Starting with Snell’s Law:</w:t>
      </w:r>
    </w:p>
    <w:p w14:paraId="4F401996" w14:textId="004D7027" w:rsidR="00AD3167" w:rsidRPr="00AD3167" w:rsidRDefault="00AD3167" w:rsidP="00AD3167">
      <m:oMathPara>
        <m:oMath>
          <m:sSub>
            <m:sSubPr>
              <m:ctrlPr>
                <w:rPr>
                  <w:rFonts w:ascii="Cambria Math" w:hAnsi="Cambria Math"/>
                  <w:i/>
                </w:rPr>
              </m:ctrlPr>
            </m:sSubPr>
            <m:e>
              <m:r>
                <w:rPr>
                  <w:rFonts w:ascii="Cambria Math" w:hAnsi="Cambria Math"/>
                </w:rPr>
                <m:t>n</m:t>
              </m:r>
            </m:e>
            <m:sub>
              <m:r>
                <w:rPr>
                  <w:rFonts w:ascii="Cambria Math" w:hAnsi="Cambria Math"/>
                </w:rPr>
                <m:t>1</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e>
              </m:d>
            </m:e>
          </m:func>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e>
              </m:d>
            </m:e>
          </m:func>
        </m:oMath>
      </m:oMathPara>
    </w:p>
    <w:p w14:paraId="40121E97" w14:textId="2A89BFA0" w:rsidR="00AD3167" w:rsidRDefault="00AD3167" w:rsidP="00AD3167">
      <w:r>
        <w:t xml:space="preserve">Defining the critical condition where the angle of refraction </w:t>
      </w:r>
      <m:oMath>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oMath>
      <w:r>
        <w:t xml:space="preserve"> is exactly </w:t>
      </w:r>
      <m:oMath>
        <m:r>
          <w:rPr>
            <w:rFonts w:ascii="Cambria Math" w:hAnsi="Cambria Math"/>
          </w:rPr>
          <m:t>90°</m:t>
        </m:r>
      </m:oMath>
      <w:r>
        <w:t>:</w:t>
      </w:r>
    </w:p>
    <w:p w14:paraId="07A6F810" w14:textId="22375C62" w:rsidR="00AD3167" w:rsidRPr="00AD3167" w:rsidRDefault="00AD3167" w:rsidP="00AD3167">
      <m:oMathPara>
        <m:oMath>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c</m:t>
              </m:r>
            </m:sub>
          </m:sSub>
        </m:oMath>
      </m:oMathPara>
    </w:p>
    <w:p w14:paraId="45ECDCB4" w14:textId="2E8332B0" w:rsidR="00AD3167" w:rsidRPr="00AD3167" w:rsidRDefault="00AD3167" w:rsidP="00AD3167">
      <m:oMathPara>
        <m:oMath>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=90°</m:t>
          </m:r>
        </m:oMath>
      </m:oMathPara>
    </w:p>
    <w:p w14:paraId="776E2639" w14:textId="35A9F60F" w:rsidR="00AD3167" w:rsidRDefault="00AD3167" w:rsidP="00AD3167">
      <w:r>
        <w:t xml:space="preserve">Substituting the values (where </w:t>
      </w: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90°</m:t>
                </m:r>
              </m:e>
            </m:d>
          </m:e>
        </m:func>
        <m:r>
          <w:rPr>
            <w:rFonts w:ascii="Cambria Math" w:hAnsi="Cambria Math"/>
          </w:rPr>
          <m:t>=1</m:t>
        </m:r>
      </m:oMath>
      <w:r>
        <w:t xml:space="preserve"> and </w:t>
      </w:r>
      <m:oMath>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≈1</m:t>
        </m:r>
      </m:oMath>
      <w:r>
        <w:t xml:space="preserve"> for air):</w:t>
      </w:r>
    </w:p>
    <w:p w14:paraId="5557182C" w14:textId="74E12801" w:rsidR="00AD3167" w:rsidRPr="00AD3167" w:rsidRDefault="00AD3167" w:rsidP="00AD3167">
      <m:oMathPara>
        <m:oMath>
          <m:sSub>
            <m:sSubPr>
              <m:ctrlPr>
                <w:rPr>
                  <w:rFonts w:ascii="Cambria Math" w:hAnsi="Cambria Math"/>
                  <w:i/>
                </w:rPr>
              </m:ctrlPr>
            </m:sSubPr>
            <m:e>
              <m:r>
                <w:rPr>
                  <w:rFonts w:ascii="Cambria Math" w:hAnsi="Cambria Math"/>
                </w:rPr>
                <m:t>n</m:t>
              </m:r>
            </m:e>
            <m:sub>
              <m:r>
                <w:rPr>
                  <w:rFonts w:ascii="Cambria Math" w:hAnsi="Cambria Math"/>
                </w:rPr>
                <m:t>1</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c</m:t>
                      </m:r>
                    </m:sub>
                  </m:sSub>
                </m:e>
              </m:d>
            </m:e>
          </m:func>
          <m:r>
            <w:rPr>
              <w:rFonts w:ascii="Cambria Math" w:hAnsi="Cambria Math"/>
            </w:rPr>
            <m:t>=1(1)</m:t>
          </m:r>
        </m:oMath>
      </m:oMathPara>
    </w:p>
    <w:p w14:paraId="4669CA33" w14:textId="6E53AB38" w:rsidR="00AD3167" w:rsidRDefault="00AD3167" w:rsidP="00AD3167">
      <w:r>
        <w:t>Solving for the relationship:</w:t>
      </w:r>
    </w:p>
    <w:p w14:paraId="13E6DAB4" w14:textId="76159164" w:rsidR="00AD3167" w:rsidRPr="00AD3167" w:rsidRDefault="00AD3167" w:rsidP="00AD3167">
      <m:oMathPara>
        <m:oMath>
          <m:sSub>
            <m:sSubPr>
              <m:ctrlPr>
                <w:rPr>
                  <w:rFonts w:ascii="Cambria Math" w:hAnsi="Cambria Math"/>
                  <w:i/>
                </w:rPr>
              </m:ctrlPr>
            </m:sSubPr>
            <m:e>
              <m:r>
                <w:rPr>
                  <w:rFonts w:ascii="Cambria Math" w:hAnsi="Cambria Math"/>
                </w:rPr>
                <m:t>θ</m:t>
              </m:r>
            </m:e>
            <m:sub>
              <m:r>
                <w:rPr>
                  <w:rFonts w:ascii="Cambria Math" w:hAnsi="Cambria Math"/>
                </w:rPr>
                <m:t>c</m:t>
              </m:r>
            </m:sub>
          </m:sSub>
          <m:r>
            <w:rPr>
              <w:rFonts w:ascii="Cambria Math" w:hAnsi="Cambria Math"/>
            </w:rPr>
            <m:t>=</m:t>
          </m:r>
          <m:func>
            <m:funcPr>
              <m:ctrlPr>
                <w:rPr>
                  <w:rFonts w:ascii="Cambria Math" w:hAnsi="Cambria Math"/>
                  <w:i/>
                </w:rPr>
              </m:ctrlPr>
            </m:funcPr>
            <m:fName>
              <m:r>
                <m:rPr>
                  <m:sty m:val="p"/>
                </m:rPr>
                <w:rPr>
                  <w:rFonts w:ascii="Cambria Math" w:hAnsi="Cambria Math"/>
                </w:rPr>
                <m:t>arcsin</m:t>
              </m:r>
            </m:fName>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1</m:t>
                          </m:r>
                        </m:sub>
                      </m:sSub>
                    </m:den>
                  </m:f>
                </m:e>
              </m:d>
            </m:e>
          </m:func>
        </m:oMath>
      </m:oMathPara>
    </w:p>
    <w:p w14:paraId="4CA015D2" w14:textId="7CCD9A5E" w:rsidR="00AD3167" w:rsidRDefault="00AD3167" w:rsidP="00AD3167"/>
    <w:p w14:paraId="61EFDE6C" w14:textId="77777777" w:rsidR="00AD3167" w:rsidRDefault="00AD3167" w:rsidP="004C4A39">
      <w:pPr>
        <w:pStyle w:val="Heading1"/>
      </w:pPr>
      <w:r>
        <w:t>Appendix B: Sample Calculations</w:t>
      </w:r>
    </w:p>
    <w:p w14:paraId="14D65027" w14:textId="5AEB66B8" w:rsidR="00AD3167" w:rsidRDefault="00AD3167" w:rsidP="00AD3167">
      <w:r>
        <w:t xml:space="preserve">Half Difference Uncertainty Calculation for </w:t>
      </w: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30°</m:t>
                </m:r>
              </m:e>
            </m:d>
          </m:e>
        </m:func>
      </m:oMath>
      <w:r>
        <w:t>:</w:t>
      </w:r>
    </w:p>
    <w:p w14:paraId="444C4BB7" w14:textId="5DAD865F" w:rsidR="00AD3167" w:rsidRPr="00AD3167" w:rsidRDefault="00AD3167" w:rsidP="00AD3167">
      <m:oMathPara>
        <m:oMath>
          <m:sSub>
            <m:sSubPr>
              <m:ctrlPr>
                <w:rPr>
                  <w:rFonts w:ascii="Cambria Math" w:hAnsi="Cambria Math"/>
                  <w:i/>
                </w:rPr>
              </m:ctrlPr>
            </m:sSubPr>
            <m:e>
              <m:r>
                <w:rPr>
                  <w:rFonts w:ascii="Cambria Math" w:hAnsi="Cambria Math"/>
                </w:rPr>
                <m:t>s</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30°+1°</m:t>
                      </m:r>
                    </m:e>
                  </m:d>
                </m:e>
              </m:func>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30°-1°</m:t>
                      </m:r>
                    </m:e>
                  </m:d>
                </m:e>
              </m:func>
            </m:e>
          </m:d>
        </m:oMath>
      </m:oMathPara>
    </w:p>
    <w:p w14:paraId="49E271A3" w14:textId="53D2A1B4" w:rsidR="00AD3167" w:rsidRPr="00AD3167" w:rsidRDefault="00AD3167" w:rsidP="00AD3167">
      <m:oMathPara>
        <m:oMath>
          <m:sSub>
            <m:sSubPr>
              <m:ctrlPr>
                <w:rPr>
                  <w:rFonts w:ascii="Cambria Math" w:hAnsi="Cambria Math"/>
                  <w:i/>
                </w:rPr>
              </m:ctrlPr>
            </m:sSubPr>
            <m:e>
              <m:r>
                <w:rPr>
                  <w:rFonts w:ascii="Cambria Math" w:hAnsi="Cambria Math"/>
                </w:rPr>
                <m:t>s</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31°</m:t>
                      </m:r>
                    </m:e>
                  </m:d>
                </m:e>
              </m:func>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29°</m:t>
                      </m:r>
                    </m:e>
                  </m:d>
                </m:e>
              </m:func>
            </m:e>
          </m:d>
        </m:oMath>
      </m:oMathPara>
    </w:p>
    <w:p w14:paraId="3D3E72C5" w14:textId="345DE08E" w:rsidR="00AD3167" w:rsidRPr="002D2181" w:rsidRDefault="00AD3167" w:rsidP="00AD3167">
      <m:oMathPara>
        <m:oMath>
          <m:sSub>
            <m:sSubPr>
              <m:ctrlPr>
                <w:rPr>
                  <w:rFonts w:ascii="Cambria Math" w:hAnsi="Cambria Math"/>
                  <w:i/>
                </w:rPr>
              </m:ctrlPr>
            </m:sSubPr>
            <m:e>
              <m:r>
                <w:rPr>
                  <w:rFonts w:ascii="Cambria Math" w:hAnsi="Cambria Math"/>
                </w:rPr>
                <m:t>s</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r>
                <w:rPr>
                  <w:rFonts w:ascii="Cambria Math" w:hAnsi="Cambria Math"/>
                </w:rPr>
                <m:t>0.5150-0.4848</m:t>
              </m:r>
            </m:e>
          </m:d>
          <m:r>
            <w:rPr>
              <w:rFonts w:ascii="Cambria Math" w:hAnsi="Cambria Math"/>
            </w:rPr>
            <m:t>=0.0151</m:t>
          </m:r>
        </m:oMath>
      </m:oMathPara>
    </w:p>
    <w:sectPr w:rsidR="00AD3167" w:rsidRPr="002D21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6E6"/>
    <w:rsid w:val="00023927"/>
    <w:rsid w:val="001B53F8"/>
    <w:rsid w:val="002741D5"/>
    <w:rsid w:val="002D2181"/>
    <w:rsid w:val="002E5C74"/>
    <w:rsid w:val="0032578C"/>
    <w:rsid w:val="004A00FF"/>
    <w:rsid w:val="004C4A39"/>
    <w:rsid w:val="00632627"/>
    <w:rsid w:val="00651F2A"/>
    <w:rsid w:val="008F46E6"/>
    <w:rsid w:val="0095766A"/>
    <w:rsid w:val="00A40734"/>
    <w:rsid w:val="00AC53C2"/>
    <w:rsid w:val="00AD3167"/>
    <w:rsid w:val="00B2095A"/>
    <w:rsid w:val="00B66BEA"/>
    <w:rsid w:val="00B71DFA"/>
    <w:rsid w:val="00B824DA"/>
    <w:rsid w:val="00C440F6"/>
    <w:rsid w:val="00D163FA"/>
    <w:rsid w:val="00D200E0"/>
    <w:rsid w:val="00FA235F"/>
    <w:rsid w:val="00FC4E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E63D4"/>
  <w15:chartTrackingRefBased/>
  <w15:docId w15:val="{1253BFF8-A464-4464-A23D-99CBC10A8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BEA"/>
    <w:rPr>
      <w:rFonts w:ascii="Times New Roman" w:hAnsi="Times New Roman"/>
    </w:rPr>
  </w:style>
  <w:style w:type="paragraph" w:styleId="Heading1">
    <w:name w:val="heading 1"/>
    <w:basedOn w:val="Normal"/>
    <w:next w:val="Normal"/>
    <w:link w:val="Heading1Char"/>
    <w:uiPriority w:val="9"/>
    <w:qFormat/>
    <w:rsid w:val="00B66BEA"/>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BEA"/>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6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6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6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6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6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6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6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BE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BEA"/>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6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6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6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6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6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6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6E6"/>
    <w:rPr>
      <w:rFonts w:eastAsiaTheme="majorEastAsia" w:cstheme="majorBidi"/>
      <w:color w:val="272727" w:themeColor="text1" w:themeTint="D8"/>
    </w:rPr>
  </w:style>
  <w:style w:type="paragraph" w:styleId="Title">
    <w:name w:val="Title"/>
    <w:basedOn w:val="Normal"/>
    <w:next w:val="Normal"/>
    <w:link w:val="TitleChar"/>
    <w:uiPriority w:val="10"/>
    <w:qFormat/>
    <w:rsid w:val="00B66BEA"/>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B66BEA"/>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8F46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6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6E6"/>
    <w:pPr>
      <w:spacing w:before="160"/>
      <w:jc w:val="center"/>
    </w:pPr>
    <w:rPr>
      <w:i/>
      <w:iCs/>
      <w:color w:val="404040" w:themeColor="text1" w:themeTint="BF"/>
    </w:rPr>
  </w:style>
  <w:style w:type="character" w:customStyle="1" w:styleId="QuoteChar">
    <w:name w:val="Quote Char"/>
    <w:basedOn w:val="DefaultParagraphFont"/>
    <w:link w:val="Quote"/>
    <w:uiPriority w:val="29"/>
    <w:rsid w:val="008F46E6"/>
    <w:rPr>
      <w:i/>
      <w:iCs/>
      <w:color w:val="404040" w:themeColor="text1" w:themeTint="BF"/>
    </w:rPr>
  </w:style>
  <w:style w:type="paragraph" w:styleId="ListParagraph">
    <w:name w:val="List Paragraph"/>
    <w:basedOn w:val="Normal"/>
    <w:uiPriority w:val="34"/>
    <w:qFormat/>
    <w:rsid w:val="008F46E6"/>
    <w:pPr>
      <w:ind w:left="720"/>
      <w:contextualSpacing/>
    </w:pPr>
  </w:style>
  <w:style w:type="character" w:styleId="IntenseEmphasis">
    <w:name w:val="Intense Emphasis"/>
    <w:basedOn w:val="DefaultParagraphFont"/>
    <w:uiPriority w:val="21"/>
    <w:qFormat/>
    <w:rsid w:val="008F46E6"/>
    <w:rPr>
      <w:i/>
      <w:iCs/>
      <w:color w:val="0F4761" w:themeColor="accent1" w:themeShade="BF"/>
    </w:rPr>
  </w:style>
  <w:style w:type="paragraph" w:styleId="IntenseQuote">
    <w:name w:val="Intense Quote"/>
    <w:basedOn w:val="Normal"/>
    <w:next w:val="Normal"/>
    <w:link w:val="IntenseQuoteChar"/>
    <w:uiPriority w:val="30"/>
    <w:qFormat/>
    <w:rsid w:val="008F4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6E6"/>
    <w:rPr>
      <w:i/>
      <w:iCs/>
      <w:color w:val="0F4761" w:themeColor="accent1" w:themeShade="BF"/>
    </w:rPr>
  </w:style>
  <w:style w:type="character" w:styleId="IntenseReference">
    <w:name w:val="Intense Reference"/>
    <w:basedOn w:val="DefaultParagraphFont"/>
    <w:uiPriority w:val="32"/>
    <w:qFormat/>
    <w:rsid w:val="008F46E6"/>
    <w:rPr>
      <w:b/>
      <w:bCs/>
      <w:smallCaps/>
      <w:color w:val="0F4761" w:themeColor="accent1" w:themeShade="BF"/>
      <w:spacing w:val="5"/>
    </w:rPr>
  </w:style>
  <w:style w:type="paragraph" w:styleId="Date">
    <w:name w:val="Date"/>
    <w:basedOn w:val="Normal"/>
    <w:next w:val="Normal"/>
    <w:link w:val="DateChar"/>
    <w:uiPriority w:val="99"/>
    <w:semiHidden/>
    <w:unhideWhenUsed/>
    <w:rsid w:val="00B66BEA"/>
  </w:style>
  <w:style w:type="character" w:customStyle="1" w:styleId="DateChar">
    <w:name w:val="Date Char"/>
    <w:basedOn w:val="DefaultParagraphFont"/>
    <w:link w:val="Date"/>
    <w:uiPriority w:val="99"/>
    <w:semiHidden/>
    <w:rsid w:val="00B66BEA"/>
    <w:rPr>
      <w:rFonts w:ascii="Times New Roman" w:hAnsi="Times New Roman"/>
    </w:rPr>
  </w:style>
  <w:style w:type="character" w:styleId="PlaceholderText">
    <w:name w:val="Placeholder Text"/>
    <w:basedOn w:val="DefaultParagraphFont"/>
    <w:uiPriority w:val="99"/>
    <w:semiHidden/>
    <w:rsid w:val="00B66BEA"/>
    <w:rPr>
      <w:color w:val="666666"/>
    </w:rPr>
  </w:style>
  <w:style w:type="table" w:styleId="TableGrid">
    <w:name w:val="Table Grid"/>
    <w:basedOn w:val="TableNormal"/>
    <w:uiPriority w:val="39"/>
    <w:rsid w:val="00B209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311</TotalTime>
  <Pages>5</Pages>
  <Words>846</Words>
  <Characters>4823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Daksh Khandelwal</dc:creator>
  <cp:keywords/>
  <dc:description/>
  <cp:lastModifiedBy>Daksh Khandelwal</cp:lastModifiedBy>
  <cp:revision>12</cp:revision>
  <dcterms:created xsi:type="dcterms:W3CDTF">2026-03-28T14:56:00Z</dcterms:created>
  <dcterms:modified xsi:type="dcterms:W3CDTF">2026-03-28T20:07:00Z</dcterms:modified>
</cp:coreProperties>
</file>