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15A5C" w14:textId="1C0925CE" w:rsidR="0010795C" w:rsidRDefault="001960DB" w:rsidP="001960DB">
      <w:pPr>
        <w:pStyle w:val="Title"/>
      </w:pPr>
      <w:r>
        <w:t>Pre Lab 5: Measuring a Refractive Index</w:t>
      </w:r>
    </w:p>
    <w:p w14:paraId="4F8DEBF1" w14:textId="77777777" w:rsidR="001960DB" w:rsidRDefault="001960DB" w:rsidP="001960DB"/>
    <w:p w14:paraId="5350C26E" w14:textId="07699A33" w:rsidR="001960DB" w:rsidRDefault="001960DB" w:rsidP="001960DB">
      <w:pPr>
        <w:pStyle w:val="Heading1"/>
        <w:numPr>
          <w:ilvl w:val="0"/>
          <w:numId w:val="2"/>
        </w:numPr>
      </w:pPr>
      <w:r>
        <w:t>The Refractive Index</w:t>
      </w:r>
    </w:p>
    <w:p w14:paraId="7F70ED5B" w14:textId="67A73DD2" w:rsidR="00C3021B" w:rsidRDefault="00C3021B" w:rsidP="001960DB">
      <w:r>
        <w:t xml:space="preserve">The refractive index is a dimensionless value that describes how much the speed of light is reduced </w:t>
      </w:r>
      <w:r w:rsidR="005F0C86">
        <w:t xml:space="preserve">in a </w:t>
      </w:r>
      <w:r>
        <w:t>material compared to a vacuum.</w:t>
      </w:r>
      <w:r w:rsidR="005F0C86">
        <w:t xml:space="preserve"> It is defined by the equation</w:t>
      </w:r>
    </w:p>
    <w:p w14:paraId="576BDA33" w14:textId="438647A7" w:rsidR="005F0C86" w:rsidRPr="005F0C86" w:rsidRDefault="005F0C86" w:rsidP="001960DB">
      <m:oMathPara>
        <m:oMath>
          <m:r>
            <w:rPr>
              <w:rFonts w:ascii="Cambria Math" w:hAnsi="Cambria Math"/>
            </w:rPr>
            <m:t>n=</m:t>
          </m:r>
          <m:f>
            <m:fPr>
              <m:ctrlPr>
                <w:rPr>
                  <w:rFonts w:ascii="Cambria Math" w:hAnsi="Cambria Math"/>
                  <w:i/>
                </w:rPr>
              </m:ctrlPr>
            </m:fPr>
            <m:num>
              <m:r>
                <w:rPr>
                  <w:rFonts w:ascii="Cambria Math" w:hAnsi="Cambria Math"/>
                </w:rPr>
                <m:t>c</m:t>
              </m:r>
            </m:num>
            <m:den>
              <m:r>
                <w:rPr>
                  <w:rFonts w:ascii="Cambria Math" w:hAnsi="Cambria Math"/>
                </w:rPr>
                <m:t>v</m:t>
              </m:r>
            </m:den>
          </m:f>
        </m:oMath>
      </m:oMathPara>
    </w:p>
    <w:p w14:paraId="789C1597" w14:textId="79CAED8C" w:rsidR="005F0C86" w:rsidRDefault="005F0C86" w:rsidP="001960DB">
      <w:r>
        <w:t xml:space="preserve">Where </w:t>
      </w:r>
      <m:oMath>
        <m:r>
          <w:rPr>
            <w:rFonts w:ascii="Cambria Math" w:hAnsi="Cambria Math"/>
          </w:rPr>
          <m:t>c</m:t>
        </m:r>
      </m:oMath>
      <w:r>
        <w:t xml:space="preserve"> is the speed of light in a vacuum, and </w:t>
      </w:r>
      <m:oMath>
        <m:r>
          <w:rPr>
            <w:rFonts w:ascii="Cambria Math" w:hAnsi="Cambria Math"/>
          </w:rPr>
          <m:t>v</m:t>
        </m:r>
      </m:oMath>
      <w:r>
        <w:t xml:space="preserve"> is the speed of light in a material. This also means that the value of </w:t>
      </w:r>
      <m:oMath>
        <m:r>
          <w:rPr>
            <w:rFonts w:ascii="Cambria Math" w:hAnsi="Cambria Math"/>
          </w:rPr>
          <m:t>n≥1</m:t>
        </m:r>
      </m:oMath>
      <w:r>
        <w:t>.</w:t>
      </w:r>
      <w:r w:rsidR="0007515F">
        <w:t xml:space="preserve"> </w:t>
      </w:r>
    </w:p>
    <w:p w14:paraId="27445924" w14:textId="57DAEF98" w:rsidR="0007515F" w:rsidRDefault="0007515F" w:rsidP="001960DB">
      <w:r>
        <w:t xml:space="preserve">It is used by Snell’s Law, </w:t>
      </w:r>
      <m:oMath>
        <m:sSub>
          <m:sSubPr>
            <m:ctrlPr>
              <w:rPr>
                <w:rFonts w:ascii="Cambria Math" w:hAnsi="Cambria Math"/>
                <w:i/>
              </w:rPr>
            </m:ctrlPr>
          </m:sSubPr>
          <m:e>
            <m:r>
              <w:rPr>
                <w:rFonts w:ascii="Cambria Math" w:hAnsi="Cambria Math"/>
              </w:rPr>
              <m:t>n</m:t>
            </m:r>
          </m:e>
          <m:sub>
            <m:r>
              <w:rPr>
                <w:rFonts w:ascii="Cambria Math" w:hAnsi="Cambria Math"/>
              </w:rPr>
              <m:t>1</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e>
            </m:d>
          </m:e>
        </m:func>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e>
            </m:d>
          </m:e>
        </m:func>
      </m:oMath>
      <w:r>
        <w:t>, to calculate the angle of refraction at an interface between two media, as well as the critical angle for total internal reflection.</w:t>
      </w:r>
    </w:p>
    <w:p w14:paraId="5017A340" w14:textId="6E7A2922" w:rsidR="008E0207" w:rsidRDefault="005126A9" w:rsidP="001960DB">
      <w:r>
        <w:t>This property doesn’t just apply to visible light, but also relevant to electromagnetic signals in general.</w:t>
      </w:r>
    </w:p>
    <w:p w14:paraId="3BA669B8" w14:textId="5166A416" w:rsidR="008E0207" w:rsidRDefault="008E0207" w:rsidP="008E0207">
      <w:pPr>
        <w:pStyle w:val="Heading1"/>
        <w:numPr>
          <w:ilvl w:val="0"/>
          <w:numId w:val="2"/>
        </w:numPr>
      </w:pPr>
      <w:r>
        <w:t>Solid Polyethylene</w:t>
      </w:r>
    </w:p>
    <w:p w14:paraId="60F6C046" w14:textId="0A4CEC8C" w:rsidR="008E0207" w:rsidRDefault="008E0207" w:rsidP="008E0207">
      <w:r>
        <w:t xml:space="preserve">The refractive index of solid polyethylene is </w:t>
      </w:r>
      <m:oMath>
        <m:r>
          <w:rPr>
            <w:rFonts w:ascii="Cambria Math" w:hAnsi="Cambria Math"/>
          </w:rPr>
          <m:t>n≈1.5</m:t>
        </m:r>
      </m:oMath>
    </w:p>
    <w:p w14:paraId="220469E9" w14:textId="2CF59C2E" w:rsidR="008E0207" w:rsidRDefault="008E0207" w:rsidP="008E0207">
      <w:pPr>
        <w:pStyle w:val="Heading1"/>
        <w:numPr>
          <w:ilvl w:val="0"/>
          <w:numId w:val="2"/>
        </w:numPr>
      </w:pPr>
      <w:r>
        <w:t>The RG-58 Coaxial Cable</w:t>
      </w:r>
    </w:p>
    <w:p w14:paraId="365CC646" w14:textId="77777777" w:rsidR="008C7B41" w:rsidRPr="008C7B41" w:rsidRDefault="008C7B41" w:rsidP="008C7B41">
      <w:pPr>
        <w:pStyle w:val="font-claude-response-body"/>
        <w:rPr>
          <w:rFonts w:asciiTheme="minorHAnsi" w:hAnsiTheme="minorHAnsi"/>
        </w:rPr>
      </w:pPr>
      <w:r w:rsidRPr="008C7B41">
        <w:rPr>
          <w:rFonts w:asciiTheme="minorHAnsi" w:hAnsiTheme="minorHAnsi"/>
        </w:rPr>
        <w:t>RG-58 is a common 50-ohm coaxial cable with four concentric layers from inside out:</w:t>
      </w:r>
    </w:p>
    <w:p w14:paraId="202F3A7B" w14:textId="0790673F" w:rsidR="008C7B41" w:rsidRPr="008C7B41" w:rsidRDefault="008C7B41" w:rsidP="008C7B41">
      <w:pPr>
        <w:pStyle w:val="whitespace-normal"/>
        <w:numPr>
          <w:ilvl w:val="0"/>
          <w:numId w:val="3"/>
        </w:numPr>
        <w:rPr>
          <w:rFonts w:asciiTheme="minorHAnsi" w:hAnsiTheme="minorHAnsi"/>
        </w:rPr>
      </w:pPr>
      <w:r w:rsidRPr="00F97FEB">
        <w:rPr>
          <w:rStyle w:val="Strong"/>
          <w:rFonts w:asciiTheme="minorHAnsi" w:eastAsiaTheme="majorEastAsia" w:hAnsiTheme="minorHAnsi"/>
          <w:b w:val="0"/>
          <w:bCs w:val="0"/>
        </w:rPr>
        <w:t>Center conductor</w:t>
      </w:r>
      <w:r w:rsidR="00F97FEB">
        <w:rPr>
          <w:rFonts w:asciiTheme="minorHAnsi" w:hAnsiTheme="minorHAnsi"/>
        </w:rPr>
        <w:t xml:space="preserve">: </w:t>
      </w:r>
      <w:r w:rsidRPr="008C7B41">
        <w:rPr>
          <w:rFonts w:asciiTheme="minorHAnsi" w:hAnsiTheme="minorHAnsi"/>
        </w:rPr>
        <w:t>a solid or stranded copper wire (~0.9 mm diameter) that carries the signal.</w:t>
      </w:r>
    </w:p>
    <w:p w14:paraId="4EE34C5C" w14:textId="0BAB9CC1" w:rsidR="008C7B41" w:rsidRPr="008C7B41" w:rsidRDefault="008C7B41" w:rsidP="008C7B41">
      <w:pPr>
        <w:pStyle w:val="whitespace-normal"/>
        <w:numPr>
          <w:ilvl w:val="0"/>
          <w:numId w:val="3"/>
        </w:numPr>
        <w:rPr>
          <w:rFonts w:asciiTheme="minorHAnsi" w:hAnsiTheme="minorHAnsi"/>
        </w:rPr>
      </w:pPr>
      <w:r w:rsidRPr="00F97FEB">
        <w:rPr>
          <w:rStyle w:val="Strong"/>
          <w:rFonts w:asciiTheme="minorHAnsi" w:eastAsiaTheme="majorEastAsia" w:hAnsiTheme="minorHAnsi"/>
          <w:b w:val="0"/>
          <w:bCs w:val="0"/>
        </w:rPr>
        <w:t>Dielectric insulator</w:t>
      </w:r>
      <w:r w:rsidR="00F97FEB">
        <w:rPr>
          <w:rFonts w:asciiTheme="minorHAnsi" w:hAnsiTheme="minorHAnsi"/>
        </w:rPr>
        <w:t xml:space="preserve">: </w:t>
      </w:r>
      <w:r w:rsidRPr="008C7B41">
        <w:rPr>
          <w:rFonts w:asciiTheme="minorHAnsi" w:hAnsiTheme="minorHAnsi"/>
        </w:rPr>
        <w:t>solid polyethylene (PE) surrounding the center conductor.</w:t>
      </w:r>
    </w:p>
    <w:p w14:paraId="00F550CC" w14:textId="6A6BA756" w:rsidR="008C7B41" w:rsidRPr="008C7B41" w:rsidRDefault="008C7B41" w:rsidP="008C7B41">
      <w:pPr>
        <w:pStyle w:val="whitespace-normal"/>
        <w:numPr>
          <w:ilvl w:val="0"/>
          <w:numId w:val="3"/>
        </w:numPr>
        <w:rPr>
          <w:rFonts w:asciiTheme="minorHAnsi" w:hAnsiTheme="minorHAnsi"/>
        </w:rPr>
      </w:pPr>
      <w:r w:rsidRPr="00F97FEB">
        <w:rPr>
          <w:rStyle w:val="Strong"/>
          <w:rFonts w:asciiTheme="minorHAnsi" w:eastAsiaTheme="majorEastAsia" w:hAnsiTheme="minorHAnsi"/>
          <w:b w:val="0"/>
          <w:bCs w:val="0"/>
        </w:rPr>
        <w:t>Outer conductor/shield</w:t>
      </w:r>
      <w:r w:rsidR="00F97FEB">
        <w:rPr>
          <w:rFonts w:asciiTheme="minorHAnsi" w:hAnsiTheme="minorHAnsi"/>
        </w:rPr>
        <w:t>:</w:t>
      </w:r>
      <w:r w:rsidRPr="008C7B41">
        <w:rPr>
          <w:rFonts w:asciiTheme="minorHAnsi" w:hAnsiTheme="minorHAnsi"/>
        </w:rPr>
        <w:t xml:space="preserve"> a braided copper mesh that acts as the return path and shields against electromagnetic interference.</w:t>
      </w:r>
    </w:p>
    <w:p w14:paraId="51E6B3F2" w14:textId="3B0A54FF" w:rsidR="008C7B41" w:rsidRPr="003F5F55" w:rsidRDefault="008C7B41" w:rsidP="008C7B41">
      <w:pPr>
        <w:pStyle w:val="whitespace-normal"/>
        <w:numPr>
          <w:ilvl w:val="0"/>
          <w:numId w:val="3"/>
        </w:numPr>
        <w:rPr>
          <w:rFonts w:asciiTheme="minorHAnsi" w:hAnsiTheme="minorHAnsi"/>
        </w:rPr>
      </w:pPr>
      <w:r w:rsidRPr="00F97FEB">
        <w:rPr>
          <w:rStyle w:val="Strong"/>
          <w:rFonts w:asciiTheme="minorHAnsi" w:eastAsiaTheme="majorEastAsia" w:hAnsiTheme="minorHAnsi"/>
          <w:b w:val="0"/>
          <w:bCs w:val="0"/>
        </w:rPr>
        <w:t>Outer jacket</w:t>
      </w:r>
      <w:r w:rsidR="00F97FEB">
        <w:rPr>
          <w:rFonts w:asciiTheme="minorHAnsi" w:hAnsiTheme="minorHAnsi"/>
        </w:rPr>
        <w:t>:</w:t>
      </w:r>
      <w:r w:rsidRPr="008C7B41">
        <w:rPr>
          <w:rFonts w:asciiTheme="minorHAnsi" w:hAnsiTheme="minorHAnsi"/>
        </w:rPr>
        <w:t xml:space="preserve"> a PVC coating for physical protection.</w:t>
      </w:r>
    </w:p>
    <w:p w14:paraId="747179E5" w14:textId="5F6694A6" w:rsidR="008C7B41" w:rsidRPr="008C7B41" w:rsidRDefault="008C7B41" w:rsidP="008C7B41">
      <w:pPr>
        <w:pStyle w:val="font-claude-response-body"/>
        <w:rPr>
          <w:rFonts w:asciiTheme="minorHAnsi" w:hAnsiTheme="minorHAnsi"/>
        </w:rPr>
      </w:pPr>
      <w:r w:rsidRPr="008C7B41">
        <w:rPr>
          <w:rFonts w:asciiTheme="minorHAnsi" w:hAnsiTheme="minorHAnsi"/>
        </w:rPr>
        <w:t>For signal transmission, an electromagnetic wave propagates through the dielectric between the inner and outer conductors</w:t>
      </w:r>
      <w:r>
        <w:rPr>
          <w:rFonts w:asciiTheme="minorHAnsi" w:hAnsiTheme="minorHAnsi"/>
        </w:rPr>
        <w:t>,</w:t>
      </w:r>
      <w:r w:rsidRPr="008C7B41">
        <w:rPr>
          <w:rFonts w:asciiTheme="minorHAnsi" w:hAnsiTheme="minorHAnsi"/>
        </w:rPr>
        <w:t xml:space="preserve"> essentially a guided wave confined in that polyethylene layer. The signal travels slower than the speed of light in vacuum because of the dielectric. The ratio is exactly what the refractive index captures: </w:t>
      </w:r>
      <m:oMath>
        <m:r>
          <w:rPr>
            <w:rStyle w:val="Strong"/>
            <w:rFonts w:ascii="Cambria Math" w:eastAsiaTheme="majorEastAsia" w:hAnsi="Cambria Math"/>
          </w:rPr>
          <m:t>v =</m:t>
        </m:r>
        <m:f>
          <m:fPr>
            <m:ctrlPr>
              <w:rPr>
                <w:rStyle w:val="Strong"/>
                <w:rFonts w:ascii="Cambria Math" w:eastAsiaTheme="majorEastAsia" w:hAnsi="Cambria Math"/>
                <w:b w:val="0"/>
                <w:bCs w:val="0"/>
                <w:i/>
                <w:iCs/>
              </w:rPr>
            </m:ctrlPr>
          </m:fPr>
          <m:num>
            <m:r>
              <w:rPr>
                <w:rStyle w:val="Strong"/>
                <w:rFonts w:ascii="Cambria Math" w:eastAsiaTheme="majorEastAsia" w:hAnsi="Cambria Math"/>
              </w:rPr>
              <m:t>c</m:t>
            </m:r>
          </m:num>
          <m:den>
            <m:r>
              <w:rPr>
                <w:rStyle w:val="Strong"/>
                <w:rFonts w:ascii="Cambria Math" w:eastAsiaTheme="majorEastAsia" w:hAnsi="Cambria Math"/>
              </w:rPr>
              <m:t>n</m:t>
            </m:r>
          </m:den>
        </m:f>
      </m:oMath>
      <w:r w:rsidRPr="008C7B41">
        <w:rPr>
          <w:rFonts w:asciiTheme="minorHAnsi" w:hAnsiTheme="minorHAnsi"/>
        </w:rPr>
        <w:t>.</w:t>
      </w:r>
    </w:p>
    <w:p w14:paraId="405E2AD2" w14:textId="19356034" w:rsidR="008C7B41" w:rsidRPr="008C7B41" w:rsidRDefault="008C7B41" w:rsidP="008C7B41">
      <w:pPr>
        <w:pStyle w:val="font-claude-response-body"/>
        <w:rPr>
          <w:rFonts w:asciiTheme="minorHAnsi" w:hAnsiTheme="minorHAnsi"/>
        </w:rPr>
      </w:pPr>
      <w:r w:rsidRPr="008C7B41">
        <w:rPr>
          <w:rFonts w:asciiTheme="minorHAnsi" w:hAnsiTheme="minorHAnsi"/>
        </w:rPr>
        <w:lastRenderedPageBreak/>
        <w:t xml:space="preserve">For polyethylene with n ≈ 1.5, the signal travels at roughly </w:t>
      </w:r>
      <m:oMath>
        <m:f>
          <m:fPr>
            <m:ctrlPr>
              <w:rPr>
                <w:rStyle w:val="Strong"/>
                <w:rFonts w:ascii="Cambria Math" w:eastAsiaTheme="majorEastAsia" w:hAnsi="Cambria Math"/>
                <w:b w:val="0"/>
                <w:bCs w:val="0"/>
                <w:i/>
                <w:iCs/>
              </w:rPr>
            </m:ctrlPr>
          </m:fPr>
          <m:num>
            <m:r>
              <w:rPr>
                <w:rStyle w:val="Strong"/>
                <w:rFonts w:ascii="Cambria Math" w:eastAsiaTheme="majorEastAsia" w:hAnsi="Cambria Math"/>
              </w:rPr>
              <m:t>c</m:t>
            </m:r>
          </m:num>
          <m:den>
            <m:r>
              <w:rPr>
                <w:rStyle w:val="Strong"/>
                <w:rFonts w:ascii="Cambria Math" w:eastAsiaTheme="majorEastAsia" w:hAnsi="Cambria Math"/>
              </w:rPr>
              <m:t>1.5</m:t>
            </m:r>
          </m:den>
        </m:f>
        <m:r>
          <w:rPr>
            <w:rStyle w:val="Strong"/>
            <w:rFonts w:ascii="Cambria Math" w:eastAsiaTheme="majorEastAsia" w:hAnsi="Cambria Math"/>
          </w:rPr>
          <m:t>≈2×</m:t>
        </m:r>
        <m:sSup>
          <m:sSupPr>
            <m:ctrlPr>
              <w:rPr>
                <w:rStyle w:val="Strong"/>
                <w:rFonts w:ascii="Cambria Math" w:eastAsiaTheme="majorEastAsia" w:hAnsi="Cambria Math"/>
                <w:b w:val="0"/>
                <w:bCs w:val="0"/>
                <w:i/>
                <w:iCs/>
              </w:rPr>
            </m:ctrlPr>
          </m:sSupPr>
          <m:e>
            <m:r>
              <w:rPr>
                <w:rStyle w:val="Strong"/>
                <w:rFonts w:ascii="Cambria Math" w:eastAsiaTheme="majorEastAsia" w:hAnsi="Cambria Math"/>
              </w:rPr>
              <m:t>10</m:t>
            </m:r>
          </m:e>
          <m:sup>
            <m:r>
              <w:rPr>
                <w:rStyle w:val="Strong"/>
                <w:rFonts w:ascii="Cambria Math" w:eastAsiaTheme="majorEastAsia" w:hAnsi="Cambria Math"/>
              </w:rPr>
              <m:t>8</m:t>
            </m:r>
          </m:sup>
        </m:sSup>
        <m:f>
          <m:fPr>
            <m:ctrlPr>
              <w:rPr>
                <w:rStyle w:val="Strong"/>
                <w:rFonts w:ascii="Cambria Math" w:eastAsiaTheme="majorEastAsia" w:hAnsi="Cambria Math"/>
                <w:b w:val="0"/>
                <w:bCs w:val="0"/>
                <w:i/>
                <w:iCs/>
              </w:rPr>
            </m:ctrlPr>
          </m:fPr>
          <m:num>
            <m:r>
              <w:rPr>
                <w:rStyle w:val="Strong"/>
                <w:rFonts w:ascii="Cambria Math" w:eastAsiaTheme="majorEastAsia" w:hAnsi="Cambria Math"/>
              </w:rPr>
              <m:t>m</m:t>
            </m:r>
          </m:num>
          <m:den>
            <m:r>
              <w:rPr>
                <w:rStyle w:val="Strong"/>
                <w:rFonts w:ascii="Cambria Math" w:eastAsiaTheme="majorEastAsia" w:hAnsi="Cambria Math"/>
              </w:rPr>
              <m:t>s</m:t>
            </m:r>
          </m:den>
        </m:f>
        <m:r>
          <w:rPr>
            <w:rStyle w:val="Strong"/>
            <w:rFonts w:ascii="Cambria Math" w:eastAsiaTheme="majorEastAsia" w:hAnsi="Cambria Math"/>
          </w:rPr>
          <m:t xml:space="preserve">  </m:t>
        </m:r>
      </m:oMath>
      <w:r w:rsidRPr="008C7B41">
        <w:rPr>
          <w:rFonts w:asciiTheme="minorHAnsi" w:hAnsiTheme="minorHAnsi"/>
        </w:rPr>
        <w:t xml:space="preserve">, or about </w:t>
      </w:r>
      <m:oMath>
        <m:r>
          <w:rPr>
            <w:rFonts w:ascii="Cambria Math" w:hAnsi="Cambria Math"/>
          </w:rPr>
          <m:t>66%</m:t>
        </m:r>
      </m:oMath>
      <w:r w:rsidRPr="008C7B41">
        <w:rPr>
          <w:rFonts w:asciiTheme="minorHAnsi" w:hAnsiTheme="minorHAnsi"/>
        </w:rPr>
        <w:t xml:space="preserve"> the speed of light. This is often listed as the cable's "velocity factor" (</w:t>
      </w:r>
      <m:oMath>
        <m:r>
          <w:rPr>
            <w:rFonts w:ascii="Cambria Math" w:hAnsi="Cambria Math"/>
          </w:rPr>
          <m:t>~0.66</m:t>
        </m:r>
      </m:oMath>
      <w:r w:rsidRPr="008C7B41">
        <w:rPr>
          <w:rFonts w:asciiTheme="minorHAnsi" w:hAnsiTheme="minorHAnsi"/>
        </w:rPr>
        <w:t xml:space="preserve"> for RG-58).</w:t>
      </w:r>
    </w:p>
    <w:p w14:paraId="62CDA8AE" w14:textId="77777777" w:rsidR="008E0207" w:rsidRDefault="008E0207" w:rsidP="008E0207"/>
    <w:p w14:paraId="19D767BE" w14:textId="2A86C854" w:rsidR="001F1484" w:rsidRDefault="001F1484" w:rsidP="001F1484">
      <w:pPr>
        <w:pStyle w:val="Heading1"/>
        <w:numPr>
          <w:ilvl w:val="0"/>
          <w:numId w:val="2"/>
        </w:numPr>
      </w:pPr>
      <w:r>
        <w:t>Digital Oscilloscope and Waveform Generator</w:t>
      </w:r>
    </w:p>
    <w:p w14:paraId="4C5567B7" w14:textId="575959D0" w:rsidR="001F1484" w:rsidRPr="001F1484" w:rsidRDefault="001F1484" w:rsidP="001F1484">
      <w:pPr>
        <w:pStyle w:val="Heading2"/>
      </w:pPr>
      <w:r w:rsidRPr="001F1484">
        <w:t>Function Generator (B&amp;K Precision 4010A/4011A)</w:t>
      </w:r>
    </w:p>
    <w:p w14:paraId="0378C315" w14:textId="5B65AD35" w:rsidR="001F1484" w:rsidRPr="001F1484" w:rsidRDefault="001F1484" w:rsidP="001F1484">
      <w:r w:rsidRPr="001F1484">
        <w:t xml:space="preserve">This generates repeatable electrical signals of known shape, frequency, and amplitude. From the datasheet, it can output sine, square, triangle, pulse, and ramp waveforms across a wide frequency range (up to </w:t>
      </w:r>
      <m:oMath>
        <m:r>
          <w:rPr>
            <w:rFonts w:ascii="Cambria Math" w:hAnsi="Cambria Math"/>
          </w:rPr>
          <m:t xml:space="preserve">2 </m:t>
        </m:r>
        <m:r>
          <m:rPr>
            <m:sty m:val="p"/>
          </m:rPr>
          <w:rPr>
            <w:rFonts w:ascii="Cambria Math" w:hAnsi="Cambria Math"/>
          </w:rPr>
          <m:t>MHz</m:t>
        </m:r>
      </m:oMath>
      <w:r w:rsidRPr="001F1484">
        <w:t xml:space="preserve"> for the 4010A, </w:t>
      </w:r>
      <m:oMath>
        <m:r>
          <w:rPr>
            <w:rFonts w:ascii="Cambria Math" w:hAnsi="Cambria Math"/>
          </w:rPr>
          <m:t xml:space="preserve">5 </m:t>
        </m:r>
        <m:r>
          <m:rPr>
            <m:sty m:val="p"/>
          </m:rPr>
          <w:rPr>
            <w:rFonts w:ascii="Cambria Math" w:hAnsi="Cambria Math"/>
          </w:rPr>
          <m:t>MHz</m:t>
        </m:r>
      </m:oMath>
      <w:r w:rsidRPr="001F1484">
        <w:t xml:space="preserve"> for the 4011A). It has a </w:t>
      </w:r>
      <m:oMath>
        <m:r>
          <w:rPr>
            <w:rFonts w:ascii="Cambria Math" w:hAnsi="Cambria Math"/>
          </w:rPr>
          <m:t xml:space="preserve">50 </m:t>
        </m:r>
        <m:r>
          <m:rPr>
            <m:sty m:val="p"/>
          </m:rPr>
          <w:rPr>
            <w:rFonts w:ascii="Cambria Math" w:hAnsi="Cambria Math"/>
          </w:rPr>
          <m:t>Ω</m:t>
        </m:r>
      </m:oMath>
      <w:r w:rsidRPr="001F1484">
        <w:t xml:space="preserve"> output impedance and can deliver up to 20 </w:t>
      </w:r>
      <m:oMath>
        <m:sSub>
          <m:sSubPr>
            <m:ctrlPr>
              <w:rPr>
                <w:rFonts w:ascii="Cambria Math" w:hAnsi="Cambria Math"/>
                <w:i/>
              </w:rPr>
            </m:ctrlPr>
          </m:sSubPr>
          <m:e>
            <m:r>
              <w:rPr>
                <w:rFonts w:ascii="Cambria Math" w:hAnsi="Cambria Math"/>
              </w:rPr>
              <m:t>V</m:t>
            </m:r>
          </m:e>
          <m:sub>
            <m:r>
              <w:rPr>
                <w:rFonts w:ascii="Cambria Math" w:hAnsi="Cambria Math"/>
              </w:rPr>
              <m:t>pp</m:t>
            </m:r>
          </m:sub>
        </m:sSub>
      </m:oMath>
      <w:r w:rsidRPr="001F1484">
        <w:t xml:space="preserve"> into an open circuit. </w:t>
      </w:r>
    </w:p>
    <w:p w14:paraId="4AE0A9CF" w14:textId="77777777" w:rsidR="001F1484" w:rsidRPr="001F1484" w:rsidRDefault="001F1484" w:rsidP="001F1484">
      <w:pPr>
        <w:pStyle w:val="Heading2"/>
      </w:pPr>
      <w:r w:rsidRPr="001F1484">
        <w:t>Digital Oscilloscope (Tektronix TBS1000B)</w:t>
      </w:r>
    </w:p>
    <w:p w14:paraId="3E4D0242" w14:textId="26B9DC9E" w:rsidR="001F1484" w:rsidRPr="001F1484" w:rsidRDefault="001F1484" w:rsidP="001F1484">
      <w:r w:rsidRPr="001F1484">
        <w:t xml:space="preserve">This captures and displays voltage as a function of time. It digitizes the incoming signal using an analog-to-digital converter at a high sample rate, then displays the waveform on screen. </w:t>
      </w:r>
    </w:p>
    <w:p w14:paraId="2B5C7319" w14:textId="701D3A7B" w:rsidR="001F1484" w:rsidRPr="001F1484" w:rsidRDefault="001F1484" w:rsidP="001F1484">
      <w:r w:rsidRPr="001F1484">
        <w:t xml:space="preserve">The function generator sends a pulse into the coaxial cable. The oscilloscope displays both the sent and received signals. </w:t>
      </w:r>
    </w:p>
    <w:p w14:paraId="083E0258" w14:textId="77E82078" w:rsidR="008E0207" w:rsidRPr="001F1484" w:rsidRDefault="008E0207" w:rsidP="001F1484"/>
    <w:sectPr w:rsidR="008E0207" w:rsidRPr="001F14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76BB4"/>
    <w:multiLevelType w:val="multilevel"/>
    <w:tmpl w:val="27A072A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39B8135C"/>
    <w:multiLevelType w:val="hybridMultilevel"/>
    <w:tmpl w:val="8392F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B86EAF"/>
    <w:multiLevelType w:val="multilevel"/>
    <w:tmpl w:val="052E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5F4ACA"/>
    <w:multiLevelType w:val="hybridMultilevel"/>
    <w:tmpl w:val="12AEF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7777122">
    <w:abstractNumId w:val="1"/>
  </w:num>
  <w:num w:numId="2" w16cid:durableId="454716393">
    <w:abstractNumId w:val="3"/>
  </w:num>
  <w:num w:numId="3" w16cid:durableId="1914118314">
    <w:abstractNumId w:val="0"/>
  </w:num>
  <w:num w:numId="4" w16cid:durableId="15643669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0DB"/>
    <w:rsid w:val="0007515F"/>
    <w:rsid w:val="0010795C"/>
    <w:rsid w:val="001960DB"/>
    <w:rsid w:val="001F1484"/>
    <w:rsid w:val="002F6313"/>
    <w:rsid w:val="003A4424"/>
    <w:rsid w:val="003A5A5E"/>
    <w:rsid w:val="003D06F0"/>
    <w:rsid w:val="003F5F55"/>
    <w:rsid w:val="005126A9"/>
    <w:rsid w:val="005548AE"/>
    <w:rsid w:val="005F0C86"/>
    <w:rsid w:val="006F1A25"/>
    <w:rsid w:val="007208EE"/>
    <w:rsid w:val="008C7B41"/>
    <w:rsid w:val="008E0207"/>
    <w:rsid w:val="00B669E5"/>
    <w:rsid w:val="00BA6DA8"/>
    <w:rsid w:val="00C3021B"/>
    <w:rsid w:val="00E16FD1"/>
    <w:rsid w:val="00E30457"/>
    <w:rsid w:val="00F97F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3AA1BE1"/>
  <w15:chartTrackingRefBased/>
  <w15:docId w15:val="{154DED27-4CC9-FA48-A600-4FB4B702E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0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60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0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0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0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0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0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0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0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0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60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0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0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0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0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0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0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0DB"/>
    <w:rPr>
      <w:rFonts w:eastAsiaTheme="majorEastAsia" w:cstheme="majorBidi"/>
      <w:color w:val="272727" w:themeColor="text1" w:themeTint="D8"/>
    </w:rPr>
  </w:style>
  <w:style w:type="paragraph" w:styleId="Title">
    <w:name w:val="Title"/>
    <w:basedOn w:val="Normal"/>
    <w:next w:val="Normal"/>
    <w:link w:val="TitleChar"/>
    <w:uiPriority w:val="10"/>
    <w:qFormat/>
    <w:rsid w:val="001960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0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0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0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0DB"/>
    <w:pPr>
      <w:spacing w:before="160"/>
      <w:jc w:val="center"/>
    </w:pPr>
    <w:rPr>
      <w:i/>
      <w:iCs/>
      <w:color w:val="404040" w:themeColor="text1" w:themeTint="BF"/>
    </w:rPr>
  </w:style>
  <w:style w:type="character" w:customStyle="1" w:styleId="QuoteChar">
    <w:name w:val="Quote Char"/>
    <w:basedOn w:val="DefaultParagraphFont"/>
    <w:link w:val="Quote"/>
    <w:uiPriority w:val="29"/>
    <w:rsid w:val="001960DB"/>
    <w:rPr>
      <w:i/>
      <w:iCs/>
      <w:color w:val="404040" w:themeColor="text1" w:themeTint="BF"/>
    </w:rPr>
  </w:style>
  <w:style w:type="paragraph" w:styleId="ListParagraph">
    <w:name w:val="List Paragraph"/>
    <w:basedOn w:val="Normal"/>
    <w:uiPriority w:val="34"/>
    <w:qFormat/>
    <w:rsid w:val="001960DB"/>
    <w:pPr>
      <w:ind w:left="720"/>
      <w:contextualSpacing/>
    </w:pPr>
  </w:style>
  <w:style w:type="character" w:styleId="IntenseEmphasis">
    <w:name w:val="Intense Emphasis"/>
    <w:basedOn w:val="DefaultParagraphFont"/>
    <w:uiPriority w:val="21"/>
    <w:qFormat/>
    <w:rsid w:val="001960DB"/>
    <w:rPr>
      <w:i/>
      <w:iCs/>
      <w:color w:val="0F4761" w:themeColor="accent1" w:themeShade="BF"/>
    </w:rPr>
  </w:style>
  <w:style w:type="paragraph" w:styleId="IntenseQuote">
    <w:name w:val="Intense Quote"/>
    <w:basedOn w:val="Normal"/>
    <w:next w:val="Normal"/>
    <w:link w:val="IntenseQuoteChar"/>
    <w:uiPriority w:val="30"/>
    <w:qFormat/>
    <w:rsid w:val="001960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0DB"/>
    <w:rPr>
      <w:i/>
      <w:iCs/>
      <w:color w:val="0F4761" w:themeColor="accent1" w:themeShade="BF"/>
    </w:rPr>
  </w:style>
  <w:style w:type="character" w:styleId="IntenseReference">
    <w:name w:val="Intense Reference"/>
    <w:basedOn w:val="DefaultParagraphFont"/>
    <w:uiPriority w:val="32"/>
    <w:qFormat/>
    <w:rsid w:val="001960DB"/>
    <w:rPr>
      <w:b/>
      <w:bCs/>
      <w:smallCaps/>
      <w:color w:val="0F4761" w:themeColor="accent1" w:themeShade="BF"/>
      <w:spacing w:val="5"/>
    </w:rPr>
  </w:style>
  <w:style w:type="character" w:styleId="PlaceholderText">
    <w:name w:val="Placeholder Text"/>
    <w:basedOn w:val="DefaultParagraphFont"/>
    <w:uiPriority w:val="99"/>
    <w:semiHidden/>
    <w:rsid w:val="005F0C86"/>
    <w:rPr>
      <w:color w:val="666666"/>
    </w:rPr>
  </w:style>
  <w:style w:type="paragraph" w:customStyle="1" w:styleId="font-claude-response-body">
    <w:name w:val="font-claude-response-body"/>
    <w:basedOn w:val="Normal"/>
    <w:rsid w:val="008C7B4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8C7B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C7B41"/>
    <w:rPr>
      <w:b/>
      <w:bCs/>
    </w:rPr>
  </w:style>
  <w:style w:type="paragraph" w:styleId="NormalWeb">
    <w:name w:val="Normal (Web)"/>
    <w:basedOn w:val="Normal"/>
    <w:uiPriority w:val="99"/>
    <w:semiHidden/>
    <w:unhideWhenUsed/>
    <w:rsid w:val="001F148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378</Words>
  <Characters>2159</Characters>
  <Application>Microsoft Office Word</Application>
  <DocSecurity>0</DocSecurity>
  <Lines>17</Lines>
  <Paragraphs>5</Paragraphs>
  <ScaleCrop>false</ScaleCrop>
  <Company/>
  <LinksUpToDate>false</LinksUpToDate>
  <CharactersWithSpaces>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Daksh Khandelwal</dc:creator>
  <cp:keywords/>
  <dc:description/>
  <cp:lastModifiedBy>Daksh Khandelwal</cp:lastModifiedBy>
  <cp:revision>13</cp:revision>
  <dcterms:created xsi:type="dcterms:W3CDTF">2026-04-09T18:40:00Z</dcterms:created>
  <dcterms:modified xsi:type="dcterms:W3CDTF">2026-04-09T19:23:00Z</dcterms:modified>
</cp:coreProperties>
</file>