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9152B">
      <w:pPr>
        <w:spacing w:before="80" w:after="80" w:line="276" w:lineRule="auto"/>
        <w:jc w:val="center"/>
        <w:rPr>
          <w:rFonts w:hint="default" w:ascii="Times New Roman" w:hAnsi="Times New Roman" w:cs="Times New Roman"/>
          <w:sz w:val="44"/>
          <w:szCs w:val="44"/>
        </w:rPr>
      </w:pPr>
      <w:r>
        <w:rPr>
          <w:rStyle w:val="17"/>
          <w:rFonts w:hint="default" w:ascii="Times New Roman" w:hAnsi="Times New Roman" w:cs="Times New Roman"/>
          <w:sz w:val="44"/>
          <w:szCs w:val="44"/>
        </w:rPr>
        <w:t>EV-HybridDataset-202</w:t>
      </w:r>
      <w:r>
        <w:rPr>
          <w:rStyle w:val="17"/>
          <w:rFonts w:hint="default" w:ascii="Times New Roman" w:hAnsi="Times New Roman" w:cs="Times New Roman"/>
          <w:sz w:val="44"/>
          <w:szCs w:val="44"/>
          <w:lang w:val="en-US"/>
        </w:rPr>
        <w:t>6</w:t>
      </w:r>
      <w:r>
        <w:rPr>
          <w:rFonts w:hint="default" w:ascii="Times New Roman" w:hAnsi="Times New Roman" w:cs="Times New Roman"/>
          <w:sz w:val="44"/>
          <w:szCs w:val="44"/>
        </w:rPr>
        <w:br w:type="textWrapping"/>
      </w:r>
      <w:r>
        <w:rPr>
          <w:rStyle w:val="10"/>
          <w:rFonts w:hint="default" w:ascii="Times New Roman" w:hAnsi="Times New Roman" w:cs="Times New Roman"/>
          <w:sz w:val="44"/>
          <w:szCs w:val="44"/>
        </w:rPr>
        <w:t>A Hybrid Multi-Domain Electric Vehicle Dataset for AI Model Training in Charging Behavior, Battery Degradation, and Energy Consumption</w:t>
      </w:r>
    </w:p>
    <w:p w14:paraId="46B3242F">
      <w:pPr>
        <w:pStyle w:val="16"/>
        <w:keepNext w:val="0"/>
        <w:keepLines w:val="0"/>
        <w:widowControl/>
        <w:suppressLineNumbers w:val="0"/>
        <w:jc w:val="center"/>
        <w:rPr>
          <w:rFonts w:hint="default" w:ascii="Times New Roman" w:hAnsi="Times New Roman" w:cs="Times New Roman"/>
          <w:sz w:val="44"/>
          <w:szCs w:val="44"/>
        </w:rPr>
      </w:pPr>
      <w:r>
        <w:rPr>
          <w:rStyle w:val="17"/>
          <w:rFonts w:hint="default" w:ascii="Times New Roman" w:hAnsi="Times New Roman" w:cs="Times New Roman"/>
          <w:sz w:val="44"/>
          <w:szCs w:val="44"/>
        </w:rPr>
        <w:t>Anyange Mark Wisdom</w:t>
      </w:r>
      <w:r>
        <w:rPr>
          <w:rFonts w:hint="default" w:ascii="Times New Roman" w:hAnsi="Times New Roman" w:cs="Times New Roman"/>
          <w:sz w:val="44"/>
          <w:szCs w:val="44"/>
        </w:rPr>
        <w:br w:type="textWrapping"/>
      </w:r>
      <w:r>
        <w:rPr>
          <w:rFonts w:hint="default" w:ascii="Times New Roman" w:hAnsi="Times New Roman" w:cs="Times New Roman"/>
          <w:sz w:val="44"/>
          <w:szCs w:val="44"/>
        </w:rPr>
        <w:t>Meru University of Science and Technology</w:t>
      </w:r>
      <w:r>
        <w:rPr>
          <w:rFonts w:hint="default" w:ascii="Times New Roman" w:hAnsi="Times New Roman" w:cs="Times New Roman"/>
          <w:sz w:val="44"/>
          <w:szCs w:val="44"/>
        </w:rPr>
        <w:br w:type="textWrapping"/>
      </w:r>
      <w:r>
        <w:rPr>
          <w:rFonts w:hint="default" w:ascii="Times New Roman" w:hAnsi="Times New Roman" w:cs="Times New Roman"/>
          <w:sz w:val="44"/>
          <w:szCs w:val="44"/>
        </w:rPr>
        <w:t>Department of Electrical and Electronic Engineering</w:t>
      </w:r>
      <w:r>
        <w:rPr>
          <w:rFonts w:hint="default" w:ascii="Times New Roman" w:hAnsi="Times New Roman" w:cs="Times New Roman"/>
          <w:sz w:val="44"/>
          <w:szCs w:val="44"/>
        </w:rPr>
        <w:br w:type="textWrapping"/>
      </w:r>
      <w:r>
        <w:rPr>
          <w:rFonts w:hint="default" w:ascii="Times New Roman" w:hAnsi="Times New Roman" w:cs="Times New Roman"/>
          <w:sz w:val="44"/>
          <w:szCs w:val="44"/>
        </w:rPr>
        <w:t>4th Year BTech</w:t>
      </w:r>
    </w:p>
    <w:p w14:paraId="7073319A">
      <w:pPr>
        <w:pStyle w:val="16"/>
        <w:keepNext w:val="0"/>
        <w:keepLines w:val="0"/>
        <w:widowControl/>
        <w:suppressLineNumbers w:val="0"/>
        <w:jc w:val="center"/>
        <w:rPr>
          <w:rFonts w:hint="default" w:ascii="Times New Roman" w:hAnsi="Times New Roman" w:cs="Times New Roman"/>
          <w:sz w:val="44"/>
          <w:szCs w:val="44"/>
        </w:rPr>
      </w:pPr>
    </w:p>
    <w:p w14:paraId="0A77202C">
      <w:pPr>
        <w:pStyle w:val="16"/>
        <w:keepNext w:val="0"/>
        <w:keepLines w:val="0"/>
        <w:widowControl/>
        <w:suppressLineNumbers w:val="0"/>
        <w:jc w:val="center"/>
        <w:rPr>
          <w:rFonts w:hint="default" w:ascii="Times New Roman" w:hAnsi="Times New Roman" w:cs="Times New Roman"/>
          <w:sz w:val="44"/>
          <w:szCs w:val="44"/>
        </w:rPr>
      </w:pPr>
      <w:r>
        <w:rPr>
          <w:rFonts w:hint="default" w:ascii="Times New Roman" w:hAnsi="Times New Roman" w:cs="Times New Roman"/>
          <w:sz w:val="44"/>
          <w:szCs w:val="44"/>
          <w:lang w:val="en-US"/>
        </w:rPr>
        <w:t xml:space="preserve">February </w:t>
      </w:r>
      <w:r>
        <w:rPr>
          <w:rFonts w:hint="default" w:ascii="Times New Roman" w:hAnsi="Times New Roman" w:cs="Times New Roman"/>
          <w:sz w:val="44"/>
          <w:szCs w:val="44"/>
        </w:rPr>
        <w:t xml:space="preserve"> 202</w:t>
      </w:r>
      <w:r>
        <w:rPr>
          <w:rFonts w:hint="default" w:ascii="Times New Roman" w:hAnsi="Times New Roman" w:cs="Times New Roman"/>
          <w:sz w:val="44"/>
          <w:szCs w:val="44"/>
          <w:lang w:val="en-US"/>
        </w:rPr>
        <w:t>6</w:t>
      </w:r>
    </w:p>
    <w:p w14:paraId="484D3E38">
      <w:pPr>
        <w:pBdr>
          <w:bottom w:val="single" w:color="2E5496" w:sz="6" w:space="4"/>
        </w:pBdr>
        <w:spacing w:before="0" w:after="200"/>
        <w:jc w:val="center"/>
        <w:rPr>
          <w:rFonts w:hint="default" w:ascii="Times New Roman" w:hAnsi="Times New Roman" w:eastAsia="Arial" w:cs="Times New Roman"/>
          <w:b/>
          <w:bCs/>
          <w:i w:val="0"/>
          <w:iCs w:val="0"/>
          <w:color w:val="auto"/>
          <w:sz w:val="18"/>
          <w:szCs w:val="18"/>
        </w:rPr>
      </w:pPr>
      <w:r>
        <w:rPr>
          <w:rFonts w:hint="default" w:ascii="Times New Roman" w:hAnsi="Times New Roman" w:eastAsia="Arial"/>
          <w:b/>
          <w:bCs/>
          <w:i w:val="0"/>
          <w:iCs w:val="0"/>
          <w:color w:val="auto"/>
          <w:sz w:val="44"/>
          <w:szCs w:val="44"/>
        </w:rPr>
        <w:t>https://ieee-dataport.org/competitions/hybrid-multi-domain-electric-vehicle-dataset-ai-model-training-1</w:t>
      </w:r>
      <w:bookmarkStart w:id="0" w:name="_GoBack"/>
      <w:bookmarkEnd w:id="0"/>
      <w:r>
        <w:rPr>
          <w:rFonts w:hint="default" w:ascii="Times New Roman" w:hAnsi="Times New Roman" w:eastAsia="Arial" w:cs="Times New Roman"/>
          <w:b/>
          <w:bCs/>
          <w:i w:val="0"/>
          <w:iCs w:val="0"/>
          <w:color w:val="auto"/>
          <w:sz w:val="44"/>
          <w:szCs w:val="44"/>
        </w:rPr>
        <w:t xml:space="preserve">   |    DOI: 10.21227/[pending]    |    CC BY 4</w:t>
      </w:r>
      <w:r>
        <w:rPr>
          <w:rFonts w:hint="default" w:ascii="Times New Roman" w:hAnsi="Times New Roman" w:eastAsia="Arial" w:cs="Times New Roman"/>
          <w:b/>
          <w:bCs/>
          <w:i w:val="0"/>
          <w:iCs w:val="0"/>
          <w:color w:val="auto"/>
          <w:sz w:val="18"/>
          <w:szCs w:val="18"/>
        </w:rPr>
        <w:t>.0</w:t>
      </w:r>
    </w:p>
    <w:p w14:paraId="0C6EA8FE">
      <w:pPr>
        <w:pBdr>
          <w:bottom w:val="single" w:color="2E5496" w:sz="6" w:space="4"/>
        </w:pBdr>
        <w:spacing w:before="0" w:after="200"/>
        <w:jc w:val="center"/>
        <w:rPr>
          <w:rFonts w:hint="default" w:ascii="Times New Roman" w:hAnsi="Times New Roman" w:eastAsia="Arial" w:cs="Times New Roman"/>
          <w:b/>
          <w:bCs/>
          <w:i w:val="0"/>
          <w:iCs w:val="0"/>
          <w:color w:val="auto"/>
          <w:sz w:val="18"/>
          <w:szCs w:val="18"/>
          <w:lang w:val="en-US"/>
        </w:rPr>
      </w:pPr>
      <w:r>
        <w:rPr>
          <w:rFonts w:hint="default" w:ascii="Times New Roman" w:hAnsi="Times New Roman" w:cs="Times New Roman"/>
          <w:b/>
          <w:bCs/>
          <w:i w:val="0"/>
          <w:iCs w:val="0"/>
          <w:color w:val="auto"/>
          <w:sz w:val="18"/>
          <w:szCs w:val="18"/>
          <w:lang w:val="en-US"/>
        </w:rPr>
        <w:t xml:space="preserve"> </w:t>
      </w:r>
    </w:p>
    <w:p w14:paraId="3CCDFD5A">
      <w:pPr>
        <w:rPr>
          <w:rFonts w:hint="default" w:ascii="Times New Roman" w:hAnsi="Times New Roman" w:cs="Times New Roman"/>
        </w:rPr>
      </w:pPr>
    </w:p>
    <w:p w14:paraId="566B757A">
      <w:pPr>
        <w:rPr>
          <w:rFonts w:hint="default" w:ascii="Times New Roman" w:hAnsi="Times New Roman" w:cs="Times New Roman"/>
        </w:rPr>
        <w:sectPr>
          <w:pgSz w:w="12240" w:h="15840"/>
          <w:pgMar w:top="1080" w:right="1008" w:bottom="1080" w:left="1008" w:header="708" w:footer="708" w:gutter="0"/>
          <w:cols w:space="720" w:num="1"/>
          <w:docGrid w:linePitch="360" w:charSpace="0"/>
        </w:sectPr>
      </w:pPr>
    </w:p>
    <w:p w14:paraId="1CEA0AC4">
      <w:pPr>
        <w:pStyle w:val="2"/>
        <w:pBdr>
          <w:bottom w:val="single" w:color="2E5496" w:sz="4" w:space="2"/>
        </w:pBdr>
        <w:spacing w:before="220" w:after="120"/>
        <w:rPr>
          <w:rFonts w:hint="default" w:ascii="Times New Roman" w:hAnsi="Times New Roman" w:cs="Times New Roman"/>
          <w:color w:val="auto"/>
        </w:rPr>
      </w:pPr>
      <w:r>
        <w:rPr>
          <w:rFonts w:hint="default" w:ascii="Times New Roman" w:hAnsi="Times New Roman" w:eastAsia="Arial" w:cs="Times New Roman"/>
          <w:b/>
          <w:bCs/>
          <w:color w:val="auto"/>
          <w:sz w:val="22"/>
          <w:szCs w:val="22"/>
        </w:rPr>
        <w:t>I. DATASET LINK ON IEEE DATAPORT</w:t>
      </w:r>
    </w:p>
    <w:p w14:paraId="3124E13A">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dataset package EV-HybridDataset-2024 has been uploaded to the IEEE DataPort repository and is publicly accessible under the Creative Commons Attribution 4.0 International (CC BY 4.0) license. The permanent link is:</w:t>
      </w:r>
    </w:p>
    <w:p w14:paraId="725E9C30">
      <w:pPr>
        <w:spacing w:before="80" w:after="80" w:line="276" w:lineRule="auto"/>
        <w:jc w:val="both"/>
        <w:rPr>
          <w:rFonts w:hint="default" w:ascii="Times New Roman" w:hAnsi="Times New Roman" w:eastAsia="Arial"/>
          <w:b/>
          <w:bCs/>
          <w:i w:val="0"/>
          <w:iCs w:val="0"/>
          <w:color w:val="1155CC"/>
          <w:sz w:val="20"/>
          <w:szCs w:val="20"/>
        </w:rPr>
      </w:pPr>
      <w:r>
        <w:rPr>
          <w:rFonts w:hint="default" w:ascii="Times New Roman" w:hAnsi="Times New Roman" w:eastAsia="Arial"/>
          <w:b/>
          <w:bCs/>
          <w:i w:val="0"/>
          <w:iCs w:val="0"/>
          <w:color w:val="1155CC"/>
          <w:sz w:val="20"/>
          <w:szCs w:val="20"/>
        </w:rPr>
        <w:fldChar w:fldCharType="begin"/>
      </w:r>
      <w:r>
        <w:rPr>
          <w:rFonts w:hint="default" w:ascii="Times New Roman" w:hAnsi="Times New Roman" w:eastAsia="Arial"/>
          <w:b/>
          <w:bCs/>
          <w:i w:val="0"/>
          <w:iCs w:val="0"/>
          <w:color w:val="1155CC"/>
          <w:sz w:val="20"/>
          <w:szCs w:val="20"/>
        </w:rPr>
        <w:instrText xml:space="preserve"> HYPERLINK "https://ieee-dataport.org/competitions/hybrid-multi-domain-electric-vehicle-dataset-ai-model-training-1" </w:instrText>
      </w:r>
      <w:r>
        <w:rPr>
          <w:rFonts w:hint="default" w:ascii="Times New Roman" w:hAnsi="Times New Roman" w:eastAsia="Arial"/>
          <w:b/>
          <w:bCs/>
          <w:i w:val="0"/>
          <w:iCs w:val="0"/>
          <w:color w:val="1155CC"/>
          <w:sz w:val="20"/>
          <w:szCs w:val="20"/>
        </w:rPr>
        <w:fldChar w:fldCharType="separate"/>
      </w:r>
      <w:r>
        <w:rPr>
          <w:rStyle w:val="15"/>
          <w:rFonts w:hint="default" w:ascii="Times New Roman" w:hAnsi="Times New Roman" w:eastAsia="Arial"/>
          <w:b/>
          <w:bCs/>
          <w:i w:val="0"/>
          <w:iCs w:val="0"/>
          <w:sz w:val="20"/>
          <w:szCs w:val="20"/>
        </w:rPr>
        <w:t>https://ieee-dataport.org/competitions/hybrid-multi-domain-electric-vehicle-dataset-ai-model-training-1</w:t>
      </w:r>
      <w:r>
        <w:rPr>
          <w:rFonts w:hint="default" w:ascii="Times New Roman" w:hAnsi="Times New Roman" w:eastAsia="Arial"/>
          <w:b/>
          <w:bCs/>
          <w:i w:val="0"/>
          <w:iCs w:val="0"/>
          <w:color w:val="1155CC"/>
          <w:sz w:val="20"/>
          <w:szCs w:val="20"/>
        </w:rPr>
        <w:fldChar w:fldCharType="end"/>
      </w:r>
    </w:p>
    <w:p w14:paraId="4F95DBB9">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DOI: 10.21227/[pending-at-time-of-submission]. The submission includes three CSV data files (167,506 total records), a full README with variable dictionaries, and the Python synthesis and validation scripts, all deposited in a single package.</w:t>
      </w:r>
    </w:p>
    <w:p w14:paraId="1414472E">
      <w:pPr>
        <w:pStyle w:val="2"/>
        <w:pBdr>
          <w:bottom w:val="single" w:color="2E5496" w:sz="4" w:space="2"/>
        </w:pBdr>
        <w:spacing w:before="220" w:after="120"/>
        <w:rPr>
          <w:rFonts w:hint="default" w:ascii="Times New Roman" w:hAnsi="Times New Roman" w:cs="Times New Roman"/>
          <w:color w:val="auto"/>
        </w:rPr>
      </w:pPr>
      <w:r>
        <w:rPr>
          <w:rFonts w:hint="default" w:ascii="Times New Roman" w:hAnsi="Times New Roman" w:eastAsia="Arial" w:cs="Times New Roman"/>
          <w:b/>
          <w:bCs/>
          <w:color w:val="auto"/>
          <w:sz w:val="22"/>
          <w:szCs w:val="22"/>
        </w:rPr>
        <w:t>II. TARGETED TOPIC AND USE CASES</w:t>
      </w:r>
    </w:p>
    <w:p w14:paraId="4413BEAE">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This dataset targets the Power and Energy Systems (PES) domain, specifically the intersection of electric vehicle (EV) grid integration, battery health management, and energy efficiency. The dataset spans three interconnected operational domains:</w:t>
      </w:r>
    </w:p>
    <w:p w14:paraId="647C3CA5">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EV Charging Behavior: 50,000 charging session records covering five connector standards (J1772, Type 2, CCS, CHAdeMO, Tesla DC), four location categories, and AC Level 1, AC Level 2, and DC Fast Charging (up to 350 kW) across the period 2022–2024.</w:t>
      </w:r>
    </w:p>
    <w:p w14:paraId="07E6437B">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Battery Degradation: 37,506 state-of-health (SOH) checkpoints across 300 vehicles with three Li-ion chemistries (NMC, LFP, NCA), tracking capacity fade, internal resistance, impedance, and cycling conditions over up to 1,200 equivalent full cycles.</w:t>
      </w:r>
    </w:p>
    <w:p w14:paraId="02EB2C04">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Energy Consumption: 80,000 trip records for six commercial EV platforms spanning urban, highway, mixed, and rural road types, with full contextual metadata (speed, temperature, HVAC, elevation, payload).</w:t>
      </w:r>
    </w:p>
    <w:p w14:paraId="4D08D3C1">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Primary AI/ML use cases supported include: charging load and demand forecasting; SOH estimation and remaining useful life (RUL) prediction; energy consumption regression and range prediction; user behavior clustering and demand response simulation; and V2G scheduling optimization.</w:t>
      </w:r>
    </w:p>
    <w:p w14:paraId="2C91A985">
      <w:pPr>
        <w:pStyle w:val="2"/>
        <w:pBdr>
          <w:bottom w:val="single" w:color="2E5496" w:sz="4" w:space="2"/>
        </w:pBdr>
        <w:spacing w:before="220" w:after="120"/>
        <w:rPr>
          <w:rFonts w:hint="default" w:ascii="Times New Roman" w:hAnsi="Times New Roman" w:cs="Times New Roman"/>
          <w:color w:val="auto"/>
        </w:rPr>
      </w:pPr>
      <w:r>
        <w:rPr>
          <w:rFonts w:hint="default" w:ascii="Times New Roman" w:hAnsi="Times New Roman" w:eastAsia="Arial" w:cs="Times New Roman"/>
          <w:b/>
          <w:bCs/>
          <w:color w:val="auto"/>
          <w:sz w:val="22"/>
          <w:szCs w:val="22"/>
        </w:rPr>
        <w:t>III. PES DOMAIN CHALLENGES ADDRESSED</w:t>
      </w:r>
    </w:p>
    <w:p w14:paraId="17194677">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Grid Integration and Load Forecasting: Distribution network operators require accurate, temporally resolved EV charging demand profiles to avoid congestion, plan infrastructure, and schedule renewable dispatch. The charging sub-dataset provides 50,000 timestamped sessions covering multiple location types and charger power levels to support spatiotemporal demand modeling.</w:t>
      </w:r>
    </w:p>
    <w:p w14:paraId="614D8D13">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Battery Health and Second-Life Management: Accurate SOH estimation is critical for safe operation, warranty enforcement, and repurposing of EV batteries for stationary storage. The degradation sub-dataset provides multi-chemistry, multi-cycle degradation curves with supporting electrochemical features (EIS, OCV, internal resistance).</w:t>
      </w:r>
    </w:p>
    <w:p w14:paraId="50720E05">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Range Prediction and Energy Efficiency: Range anxiety is a primary barrier to EV adoption. The energy consumption sub-dataset captures the full physical parameter space (speed, temperature, HVAC, road grade, payload) needed to train accurate range prediction models.</w:t>
      </w:r>
    </w:p>
    <w:p w14:paraId="24260F3E">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V2G and Demand Response: User behavioral archetypes (opportunistic, scheduled, range-anxious, commuter) in the dataset enable simulation of flexible charging strategies and V2G dispatch, particularly for scenarios with high renewable penetration.</w:t>
      </w:r>
    </w:p>
    <w:p w14:paraId="179A69A8">
      <w:pPr>
        <w:pStyle w:val="2"/>
        <w:pBdr>
          <w:bottom w:val="single" w:color="2E5496" w:sz="4" w:space="2"/>
        </w:pBdr>
        <w:spacing w:before="220" w:after="120"/>
        <w:rPr>
          <w:rFonts w:hint="default" w:ascii="Times New Roman" w:hAnsi="Times New Roman" w:cs="Times New Roman"/>
          <w:color w:val="auto"/>
        </w:rPr>
      </w:pPr>
      <w:r>
        <w:rPr>
          <w:rFonts w:hint="default" w:ascii="Times New Roman" w:hAnsi="Times New Roman" w:eastAsia="Arial" w:cs="Times New Roman"/>
          <w:b/>
          <w:bCs/>
          <w:color w:val="auto"/>
          <w:sz w:val="22"/>
          <w:szCs w:val="22"/>
        </w:rPr>
        <w:t>IV. AI MODEL TRAINING CHALLENGES ADDRESSED</w:t>
      </w:r>
    </w:p>
    <w:p w14:paraId="75D6490C">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Data Scarcity at Operational Extremes: Cold-weather DC fast charging below −10 °C, deep-discharge cycles below 20% SOC, and end-of-life battery operation are underrepresented in all public EV datasets. Synthesized records in this dataset address these edge cases with physically consistent parameters and full transparency via the data_source flag.</w:t>
      </w:r>
    </w:p>
    <w:p w14:paraId="72BD7499">
      <w:pPr>
        <w:pStyle w:val="19"/>
        <w:numPr>
          <w:ilvl w:val="0"/>
          <w:numId w:val="1"/>
        </w:numPr>
        <w:spacing w:before="40" w:after="40" w:line="276" w:lineRule="auto"/>
        <w:rPr>
          <w:rFonts w:hint="default" w:ascii="Times New Roman" w:hAnsi="Times New Roman" w:cs="Times New Roman"/>
        </w:rPr>
        <w:sectPr>
          <w:footerReference r:id="rId3" w:type="default"/>
          <w:pgSz w:w="12240" w:h="15840"/>
          <w:pgMar w:top="1080" w:right="1008" w:bottom="1080" w:left="1008" w:header="708" w:footer="708" w:gutter="0"/>
          <w:cols w:space="576" w:num="2"/>
          <w:docGrid w:linePitch="360" w:charSpace="0"/>
        </w:sectPr>
      </w:pPr>
    </w:p>
    <w:p w14:paraId="1AC22BE9">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Multi-Modal and Cross-Domain Learning: The three sub-datasets share a common vehicle_id key, enabling multi-task and multi-modal learning architectures that leverage the real operational coupling between charging behavior, battery health, and energy consumption — a capability absent from all existing siloed datasets.</w:t>
      </w:r>
    </w:p>
    <w:p w14:paraId="06B930A5">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Temporal Generalization and Distribution Shift: Session timestamps spanning 2022–2024 support temporal train/test splits that expose models to seasonal variation, changing market mix, and evolving user behavior — conditions required for robust real-world deployment.</w:t>
      </w:r>
    </w:p>
    <w:p w14:paraId="63412FDB">
      <w:pPr>
        <w:pStyle w:val="19"/>
        <w:numPr>
          <w:ilvl w:val="0"/>
          <w:numId w:val="1"/>
        </w:numPr>
        <w:spacing w:before="40" w:after="40" w:line="276" w:lineRule="auto"/>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Transfer Learning and Domain Adaptation: Six vehicle models and three battery chemistries provide natural domain boundaries for domain adaptation and cross-vehicle transfer learning, relevant to OEM-agnostic fleet management systems.</w:t>
      </w:r>
    </w:p>
    <w:p w14:paraId="40C13059">
      <w:pPr>
        <w:pStyle w:val="2"/>
        <w:pBdr>
          <w:bottom w:val="single" w:color="2E5496" w:sz="4" w:space="2"/>
        </w:pBdr>
        <w:spacing w:before="220" w:after="120"/>
        <w:rPr>
          <w:rFonts w:hint="default" w:ascii="Times New Roman" w:hAnsi="Times New Roman" w:cs="Times New Roman"/>
          <w:color w:val="auto"/>
        </w:rPr>
      </w:pPr>
      <w:r>
        <w:rPr>
          <w:rFonts w:hint="default" w:ascii="Times New Roman" w:hAnsi="Times New Roman" w:eastAsia="Arial" w:cs="Times New Roman"/>
          <w:b/>
          <w:bCs/>
          <w:color w:val="auto"/>
          <w:sz w:val="22"/>
          <w:szCs w:val="22"/>
        </w:rPr>
        <w:t>V. WHY THIS IS A GOOD DATASET</w:t>
      </w:r>
    </w:p>
    <w:p w14:paraId="53A132A2">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EV-HybridDataset-2024 addresses a well-documented gap in the field: no single publicly available dataset simultaneously covers charging behavior, battery degradation, and energy consumption under a common per-vehicle identifier. Existing public datasets are siloed — transaction datasets (UrbanEV, Boulder CO, EPFL) lack battery health context; laboratory battery datasets (NASA PCoE, CALCE, NMC/C-SiO) lack real-world charging and driving context; energy consumption datasets lack longitudinal SOH linkage. This dataset bridges all three domains, enabling novel multi-task models impossible with current resources.</w:t>
      </w:r>
    </w:p>
    <w:p w14:paraId="6BE99C38">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All synthesis is documented, physics-constrained, reproducible via the open-source generation script, and labeled with a data_source field. Validation confirms zero missing values and zero range or logic violations across all 167,506 records. Benchmark AI models trained on this dataset achieve R² &gt; 0.88 on charging load forecasting (LSTM), SOH estimation (XGBoost, R² = 0.971, MAE = 0.42%), energy consumption prediction (Random Forest, R² = 0.921), and user behavior clustering (K-Means, silhouette = 0.67), demonstrating strong AI-readiness.</w:t>
      </w:r>
    </w:p>
    <w:p w14:paraId="38603BBF">
      <w:pPr>
        <w:spacing w:before="80" w:after="80" w:line="276" w:lineRule="auto"/>
        <w:jc w:val="center"/>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Table I. Dataset Summary Statistics.</w:t>
      </w:r>
    </w:p>
    <w:tbl>
      <w:tblPr>
        <w:tblStyle w:val="9"/>
        <w:tblW w:w="4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880"/>
        <w:gridCol w:w="780"/>
        <w:gridCol w:w="1484"/>
      </w:tblGrid>
      <w:tr w14:paraId="4106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72088C6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Sub-Dataset</w:t>
            </w:r>
          </w:p>
        </w:tc>
        <w:tc>
          <w:tcPr>
            <w:tcW w:w="88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58570EE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Records</w:t>
            </w:r>
          </w:p>
        </w:tc>
        <w:tc>
          <w:tcPr>
            <w:tcW w:w="78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1D491DB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Cols</w:t>
            </w:r>
          </w:p>
        </w:tc>
        <w:tc>
          <w:tcPr>
            <w:tcW w:w="1484"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0572277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Real/Syn</w:t>
            </w:r>
          </w:p>
        </w:tc>
      </w:tr>
      <w:tr w14:paraId="0F54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953398F">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Charging Behavior</w:t>
            </w:r>
          </w:p>
        </w:tc>
        <w:tc>
          <w:tcPr>
            <w:tcW w:w="8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854EF8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50,000</w:t>
            </w:r>
          </w:p>
        </w:tc>
        <w:tc>
          <w:tcPr>
            <w:tcW w:w="7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5F6956E">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18</w:t>
            </w:r>
          </w:p>
        </w:tc>
        <w:tc>
          <w:tcPr>
            <w:tcW w:w="148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01CE92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70% / 30%</w:t>
            </w:r>
          </w:p>
        </w:tc>
      </w:tr>
      <w:tr w14:paraId="28CE8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5D4C2FE">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Battery Degradation</w:t>
            </w:r>
          </w:p>
        </w:tc>
        <w:tc>
          <w:tcPr>
            <w:tcW w:w="8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8CEA87F">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37,506</w:t>
            </w:r>
          </w:p>
        </w:tc>
        <w:tc>
          <w:tcPr>
            <w:tcW w:w="7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24C514D">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15</w:t>
            </w:r>
          </w:p>
        </w:tc>
        <w:tc>
          <w:tcPr>
            <w:tcW w:w="148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2AF16DC">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65% / 35%</w:t>
            </w:r>
          </w:p>
        </w:tc>
      </w:tr>
      <w:tr w14:paraId="3C80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4973A4CE">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Energy Consumption</w:t>
            </w:r>
          </w:p>
        </w:tc>
        <w:tc>
          <w:tcPr>
            <w:tcW w:w="8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89425B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80,000</w:t>
            </w:r>
          </w:p>
        </w:tc>
        <w:tc>
          <w:tcPr>
            <w:tcW w:w="7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73773E6">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18</w:t>
            </w:r>
          </w:p>
        </w:tc>
        <w:tc>
          <w:tcPr>
            <w:tcW w:w="148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1DD6173">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60% / 40%</w:t>
            </w:r>
          </w:p>
        </w:tc>
      </w:tr>
      <w:tr w14:paraId="752E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tcPr>
          <w:p w14:paraId="2A21377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TOTAL</w:t>
            </w:r>
          </w:p>
        </w:tc>
        <w:tc>
          <w:tcPr>
            <w:tcW w:w="88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tcPr>
          <w:p w14:paraId="26BE050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167,506</w:t>
            </w:r>
          </w:p>
        </w:tc>
        <w:tc>
          <w:tcPr>
            <w:tcW w:w="78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tcPr>
          <w:p w14:paraId="2C3AE91C">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51</w:t>
            </w:r>
          </w:p>
        </w:tc>
        <w:tc>
          <w:tcPr>
            <w:tcW w:w="1484"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tcPr>
          <w:p w14:paraId="76503E9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~65% / 35%</w:t>
            </w:r>
          </w:p>
        </w:tc>
      </w:tr>
    </w:tbl>
    <w:p w14:paraId="4A4356C1">
      <w:pPr>
        <w:rPr>
          <w:rFonts w:hint="default" w:ascii="Times New Roman" w:hAnsi="Times New Roman" w:cs="Times New Roman"/>
        </w:rPr>
      </w:pPr>
    </w:p>
    <w:sectPr>
      <w:type w:val="continuous"/>
      <w:pgSz w:w="12240" w:h="15840"/>
      <w:pgMar w:top="1080" w:right="1008" w:bottom="1080" w:left="1008" w:header="708" w:footer="708" w:gutter="0"/>
      <w:cols w:space="576"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3FCB9">
    <w:pPr>
      <w:jc w:val="center"/>
    </w:pPr>
    <w:r>
      <w:rPr>
        <w:rFonts w:ascii="Arial" w:hAnsi="Arial" w:eastAsia="Arial" w:cs="Arial"/>
        <w:b w:val="0"/>
        <w:bCs w:val="0"/>
        <w:i w:val="0"/>
        <w:iCs w:val="0"/>
        <w:color w:val="777777"/>
        <w:sz w:val="18"/>
        <w:szCs w:val="18"/>
      </w:rPr>
      <w:t>EV-HybridDataset-202</w:t>
    </w:r>
    <w:r>
      <w:rPr>
        <w:rFonts w:hint="default" w:cs="Arial"/>
        <w:b w:val="0"/>
        <w:bCs w:val="0"/>
        <w:i w:val="0"/>
        <w:iCs w:val="0"/>
        <w:color w:val="777777"/>
        <w:sz w:val="18"/>
        <w:szCs w:val="18"/>
        <w:lang w:val="en-US"/>
      </w:rPr>
      <w:t>6</w:t>
    </w:r>
    <w:r>
      <w:rPr>
        <w:rFonts w:ascii="Arial" w:hAnsi="Arial" w:eastAsia="Arial" w:cs="Arial"/>
        <w:b w:val="0"/>
        <w:bCs w:val="0"/>
        <w:i w:val="0"/>
        <w:iCs w:val="0"/>
        <w:color w:val="777777"/>
        <w:sz w:val="18"/>
        <w:szCs w:val="18"/>
      </w:rPr>
      <w:t xml:space="preserve"> | Brief Introduction | Page </w:t>
    </w:r>
    <w:r>
      <w:rPr>
        <w:rFonts w:ascii="Arial" w:hAnsi="Arial" w:eastAsia="Arial" w:cs="Arial"/>
        <w:color w:val="777777"/>
        <w:sz w:val="18"/>
        <w:szCs w:val="18"/>
      </w:rPr>
      <w:fldChar w:fldCharType="begin"/>
    </w:r>
    <w:r>
      <w:rPr>
        <w:rFonts w:ascii="Arial" w:hAnsi="Arial" w:eastAsia="Arial" w:cs="Arial"/>
        <w:color w:val="777777"/>
        <w:sz w:val="18"/>
        <w:szCs w:val="18"/>
      </w:rPr>
      <w:instrText xml:space="preserve">PAGE</w:instrText>
    </w:r>
    <w:r>
      <w:rPr>
        <w:rFonts w:ascii="Arial" w:hAnsi="Arial" w:eastAsia="Arial" w:cs="Arial"/>
        <w:color w:val="777777"/>
        <w:sz w:val="18"/>
        <w:szCs w:val="18"/>
      </w:rPr>
      <w:fldChar w:fldCharType="separate"/>
    </w:r>
    <w:r>
      <w:rPr>
        <w:rFonts w:ascii="Arial" w:hAnsi="Arial" w:eastAsia="Arial" w:cs="Arial"/>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8C179"/>
    <w:multiLevelType w:val="multilevel"/>
    <w:tmpl w:val="0248C179"/>
    <w:lvl w:ilvl="0" w:tentative="0">
      <w:start w:val="1"/>
      <w:numFmt w:val="bullet"/>
      <w:lvlText w:val="•"/>
      <w:lvlJc w:val="left"/>
      <w:pPr>
        <w:ind w:left="480" w:hanging="240"/>
      </w:pPr>
    </w:lvl>
    <w:lvl w:ilvl="1" w:tentative="0">
      <w:start w:val="1"/>
      <w:numFmt w:val="bullet"/>
      <w:lvlText w:val="◦"/>
      <w:lvlJc w:val="left"/>
      <w:pPr>
        <w:ind w:left="80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E2A57E1"/>
    <w:rsid w:val="53B438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220" w:after="100"/>
      <w:outlineLvl w:val="0"/>
    </w:pPr>
    <w:rPr>
      <w:rFonts w:ascii="Arial" w:hAnsi="Arial" w:eastAsia="Arial" w:cs="Arial"/>
      <w:b/>
      <w:bCs/>
      <w:color w:val="1F3864"/>
      <w:sz w:val="22"/>
      <w:szCs w:val="22"/>
    </w:rPr>
  </w:style>
  <w:style w:type="paragraph" w:styleId="3">
    <w:name w:val="heading 2"/>
    <w:next w:val="1"/>
    <w:qFormat/>
    <w:uiPriority w:val="0"/>
    <w:pPr>
      <w:spacing w:before="160" w:after="80"/>
      <w:outlineLvl w:val="1"/>
    </w:pPr>
    <w:rPr>
      <w:rFonts w:ascii="Arial" w:hAnsi="Arial" w:eastAsia="Arial" w:cs="Arial"/>
      <w:b/>
      <w:bCs/>
      <w:i/>
      <w:iCs/>
      <w:color w:val="2E5496"/>
      <w:sz w:val="20"/>
      <w:szCs w:val="20"/>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uiPriority w:val="0"/>
    <w:pPr>
      <w:tabs>
        <w:tab w:val="center" w:pos="4153"/>
        <w:tab w:val="right" w:pos="8306"/>
      </w:tabs>
      <w:snapToGrid w:val="0"/>
      <w:jc w:val="left"/>
    </w:pPr>
    <w:rPr>
      <w:sz w:val="18"/>
      <w:szCs w:val="18"/>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Arial" w:hAnsi="Arial" w:eastAsia="Arial" w:cs="Arial"/>
      <w:sz w:val="56"/>
      <w:szCs w:val="56"/>
    </w:rPr>
  </w:style>
  <w:style w:type="paragraph" w:styleId="19">
    <w:name w:val="List Paragraph"/>
    <w:qFormat/>
    <w:uiPriority w:val="0"/>
    <w:rPr>
      <w:rFonts w:ascii="Arial" w:hAnsi="Arial" w:eastAsia="Arial" w:cs="Arial"/>
      <w:sz w:val="20"/>
      <w:szCs w:val="20"/>
    </w:rPr>
  </w:style>
  <w:style w:type="character" w:customStyle="1" w:styleId="20">
    <w:name w:val="Foot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24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2026-02-28T07:47:00Z</dcterms:created>
  <dc:creator>Un-named</dc:creator>
  <cp:lastModifiedBy>WPS_1745610363</cp:lastModifiedBy>
  <dcterms:modified xsi:type="dcterms:W3CDTF">2026-02-28T17:27:37Z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57F7C8A56232405DB8C204A6094E7478_12</vt:lpwstr>
  </property>
</Properties>
</file>