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9152B">
      <w:pPr>
        <w:spacing w:before="80" w:after="80" w:line="276" w:lineRule="auto"/>
        <w:jc w:val="center"/>
        <w:rPr>
          <w:rFonts w:hint="default" w:ascii="Times New Roman" w:hAnsi="Times New Roman" w:cs="Times New Roman"/>
          <w:sz w:val="44"/>
          <w:szCs w:val="44"/>
        </w:rPr>
      </w:pPr>
      <w:r>
        <w:rPr>
          <w:rStyle w:val="17"/>
          <w:rFonts w:hint="default" w:ascii="Times New Roman" w:hAnsi="Times New Roman" w:cs="Times New Roman"/>
          <w:sz w:val="44"/>
          <w:szCs w:val="44"/>
        </w:rPr>
        <w:t>EV-HybridDataset-202</w:t>
      </w:r>
      <w:r>
        <w:rPr>
          <w:rStyle w:val="17"/>
          <w:rFonts w:hint="default" w:ascii="Times New Roman" w:hAnsi="Times New Roman" w:cs="Times New Roman"/>
          <w:sz w:val="44"/>
          <w:szCs w:val="44"/>
          <w:lang w:val="en-US"/>
        </w:rPr>
        <w:t>6</w:t>
      </w:r>
      <w:r>
        <w:rPr>
          <w:rFonts w:hint="default" w:ascii="Times New Roman" w:hAnsi="Times New Roman" w:cs="Times New Roman"/>
          <w:sz w:val="44"/>
          <w:szCs w:val="44"/>
        </w:rPr>
        <w:br w:type="textWrapping"/>
      </w:r>
      <w:r>
        <w:rPr>
          <w:rStyle w:val="10"/>
          <w:rFonts w:hint="default" w:ascii="Times New Roman" w:hAnsi="Times New Roman" w:cs="Times New Roman"/>
          <w:sz w:val="44"/>
          <w:szCs w:val="44"/>
        </w:rPr>
        <w:t>A Hybrid Multi-Domain Electric Vehicle Dataset for AI Model Training in Charging Behavior, Battery Degradation, and Energy Consumption</w:t>
      </w:r>
    </w:p>
    <w:p w14:paraId="46B3242F">
      <w:pPr>
        <w:pStyle w:val="16"/>
        <w:keepNext w:val="0"/>
        <w:keepLines w:val="0"/>
        <w:widowControl/>
        <w:suppressLineNumbers w:val="0"/>
        <w:jc w:val="center"/>
        <w:rPr>
          <w:rFonts w:hint="default" w:ascii="Times New Roman" w:hAnsi="Times New Roman" w:cs="Times New Roman"/>
          <w:sz w:val="44"/>
          <w:szCs w:val="44"/>
        </w:rPr>
      </w:pPr>
      <w:r>
        <w:rPr>
          <w:rStyle w:val="17"/>
          <w:rFonts w:hint="default" w:ascii="Times New Roman" w:hAnsi="Times New Roman" w:cs="Times New Roman"/>
          <w:sz w:val="44"/>
          <w:szCs w:val="44"/>
        </w:rPr>
        <w:t>Anyange Mark Wisdom</w:t>
      </w:r>
      <w:r>
        <w:rPr>
          <w:rFonts w:hint="default" w:ascii="Times New Roman" w:hAnsi="Times New Roman" w:cs="Times New Roman"/>
          <w:sz w:val="44"/>
          <w:szCs w:val="44"/>
        </w:rPr>
        <w:br w:type="textWrapping"/>
      </w:r>
      <w:r>
        <w:rPr>
          <w:rFonts w:hint="default" w:ascii="Times New Roman" w:hAnsi="Times New Roman" w:cs="Times New Roman"/>
          <w:sz w:val="44"/>
          <w:szCs w:val="44"/>
        </w:rPr>
        <w:t>Meru University of Science and Technology</w:t>
      </w:r>
      <w:r>
        <w:rPr>
          <w:rFonts w:hint="default" w:ascii="Times New Roman" w:hAnsi="Times New Roman" w:cs="Times New Roman"/>
          <w:sz w:val="44"/>
          <w:szCs w:val="44"/>
        </w:rPr>
        <w:br w:type="textWrapping"/>
      </w:r>
      <w:r>
        <w:rPr>
          <w:rFonts w:hint="default" w:ascii="Times New Roman" w:hAnsi="Times New Roman" w:cs="Times New Roman"/>
          <w:sz w:val="44"/>
          <w:szCs w:val="44"/>
        </w:rPr>
        <w:t>Department of Electrical and Electronic Engineering</w:t>
      </w:r>
      <w:r>
        <w:rPr>
          <w:rFonts w:hint="default" w:ascii="Times New Roman" w:hAnsi="Times New Roman" w:cs="Times New Roman"/>
          <w:sz w:val="44"/>
          <w:szCs w:val="44"/>
        </w:rPr>
        <w:br w:type="textWrapping"/>
      </w:r>
      <w:r>
        <w:rPr>
          <w:rFonts w:hint="default" w:ascii="Times New Roman" w:hAnsi="Times New Roman" w:cs="Times New Roman"/>
          <w:sz w:val="44"/>
          <w:szCs w:val="44"/>
        </w:rPr>
        <w:t>4th Year BTech</w:t>
      </w:r>
    </w:p>
    <w:p w14:paraId="0A77202C">
      <w:pPr>
        <w:pStyle w:val="16"/>
        <w:keepNext w:val="0"/>
        <w:keepLines w:val="0"/>
        <w:widowControl/>
        <w:suppressLineNumbers w:val="0"/>
        <w:jc w:val="center"/>
        <w:rPr>
          <w:rFonts w:hint="default" w:ascii="Times New Roman" w:hAnsi="Times New Roman" w:cs="Times New Roman"/>
          <w:sz w:val="44"/>
          <w:szCs w:val="44"/>
        </w:rPr>
      </w:pPr>
      <w:r>
        <w:rPr>
          <w:rFonts w:hint="default" w:ascii="Times New Roman" w:hAnsi="Times New Roman" w:cs="Times New Roman"/>
          <w:sz w:val="44"/>
          <w:szCs w:val="44"/>
          <w:lang w:val="en-US"/>
        </w:rPr>
        <w:t xml:space="preserve">February </w:t>
      </w:r>
      <w:r>
        <w:rPr>
          <w:rFonts w:hint="default" w:ascii="Times New Roman" w:hAnsi="Times New Roman" w:cs="Times New Roman"/>
          <w:sz w:val="44"/>
          <w:szCs w:val="44"/>
        </w:rPr>
        <w:t xml:space="preserve"> 202</w:t>
      </w:r>
      <w:r>
        <w:rPr>
          <w:rFonts w:hint="default" w:ascii="Times New Roman" w:hAnsi="Times New Roman" w:cs="Times New Roman"/>
          <w:sz w:val="44"/>
          <w:szCs w:val="44"/>
          <w:lang w:val="en-US"/>
        </w:rPr>
        <w:t>6</w:t>
      </w:r>
    </w:p>
    <w:p w14:paraId="36CD2FD0">
      <w:pPr>
        <w:pStyle w:val="16"/>
        <w:keepNext w:val="0"/>
        <w:keepLines w:val="0"/>
        <w:widowControl/>
        <w:suppressLineNumbers w:val="0"/>
        <w:jc w:val="center"/>
        <w:rPr>
          <w:rFonts w:hint="default" w:ascii="Times New Roman" w:hAnsi="Times New Roman" w:cs="Times New Roman"/>
          <w:sz w:val="44"/>
          <w:szCs w:val="44"/>
        </w:rPr>
      </w:pPr>
      <w:r>
        <w:rPr>
          <w:rFonts w:hint="default" w:ascii="Times New Roman" w:hAnsi="Times New Roman" w:cs="Times New Roman"/>
          <w:sz w:val="44"/>
          <w:szCs w:val="44"/>
        </w:rPr>
        <w:t>DOI: 10.21227/[pending] | IEEE DataPort | License: CC BY 4.0 | v1.0</w:t>
      </w:r>
    </w:p>
    <w:p w14:paraId="47DC1AB5">
      <w:pPr>
        <w:spacing w:before="80" w:after="80" w:line="276" w:lineRule="auto"/>
        <w:jc w:val="both"/>
        <w:rPr>
          <w:rFonts w:hint="default" w:ascii="Times New Roman" w:hAnsi="Times New Roman" w:cs="Times New Roman"/>
          <w:b/>
          <w:bCs/>
          <w:i w:val="0"/>
          <w:iCs w:val="0"/>
          <w:color w:val="1F3864"/>
          <w:sz w:val="44"/>
          <w:szCs w:val="44"/>
          <w:lang w:val="en-US"/>
        </w:rPr>
        <w:sectPr>
          <w:pgSz w:w="12240" w:h="15840"/>
          <w:pgMar w:top="1080" w:right="1008" w:bottom="1080" w:left="1008" w:header="708" w:footer="708" w:gutter="0"/>
          <w:cols w:space="0" w:num="1"/>
          <w:docGrid w:linePitch="360" w:charSpace="0"/>
        </w:sectPr>
      </w:pPr>
    </w:p>
    <w:p w14:paraId="39AF2701">
      <w:pPr>
        <w:spacing w:before="80" w:after="80" w:line="276" w:lineRule="auto"/>
        <w:jc w:val="both"/>
        <w:rPr>
          <w:rFonts w:hint="default" w:ascii="Times New Roman" w:hAnsi="Times New Roman" w:cs="Times New Roman"/>
          <w:b/>
          <w:bCs/>
          <w:i w:val="0"/>
          <w:iCs w:val="0"/>
          <w:color w:val="1F3864"/>
          <w:sz w:val="44"/>
          <w:szCs w:val="44"/>
          <w:lang w:val="en-US"/>
        </w:rPr>
      </w:pPr>
    </w:p>
    <w:p w14:paraId="4C01F1F8">
      <w:pPr>
        <w:spacing w:before="80" w:after="0"/>
        <w:jc w:val="both"/>
        <w:rPr>
          <w:rFonts w:hint="default" w:ascii="Times New Roman" w:hAnsi="Times New Roman" w:cs="Times New Roman"/>
          <w:b/>
          <w:bCs/>
          <w:i/>
          <w:iCs/>
          <w:color w:val="000000"/>
          <w:sz w:val="20"/>
          <w:szCs w:val="20"/>
          <w:lang w:val="en-US"/>
        </w:rPr>
      </w:pPr>
      <w:r>
        <w:rPr>
          <w:rFonts w:hint="default" w:ascii="Times New Roman" w:hAnsi="Times New Roman" w:eastAsia="Arial" w:cs="Times New Roman"/>
          <w:b/>
          <w:bCs/>
          <w:i/>
          <w:iCs/>
          <w:color w:val="000000"/>
          <w:sz w:val="20"/>
          <w:szCs w:val="20"/>
        </w:rPr>
        <w:t>Abstract</w:t>
      </w:r>
      <w:r>
        <w:rPr>
          <w:rFonts w:hint="default" w:ascii="Times New Roman" w:hAnsi="Times New Roman" w:cs="Times New Roman"/>
          <w:b/>
          <w:bCs/>
          <w:i/>
          <w:iCs/>
          <w:color w:val="000000"/>
          <w:sz w:val="20"/>
          <w:szCs w:val="20"/>
          <w:lang w:val="en-US"/>
        </w:rPr>
        <w:t xml:space="preserve"> </w:t>
      </w:r>
    </w:p>
    <w:p w14:paraId="56FBECD4">
      <w:pPr>
        <w:spacing w:before="80" w:after="0"/>
        <w:jc w:val="both"/>
        <w:rPr>
          <w:rFonts w:hint="default" w:ascii="Times New Roman" w:hAnsi="Times New Roman" w:cs="Times New Roman"/>
        </w:rPr>
      </w:pPr>
      <w:r>
        <w:rPr>
          <w:rFonts w:hint="default" w:ascii="Times New Roman" w:hAnsi="Times New Roman" w:cs="Times New Roman"/>
          <w:b w:val="0"/>
          <w:bCs w:val="0"/>
          <w:i w:val="0"/>
          <w:iCs w:val="0"/>
          <w:color w:val="000000"/>
          <w:sz w:val="20"/>
          <w:szCs w:val="20"/>
          <w:lang w:val="en-US"/>
        </w:rPr>
        <w:t>I</w:t>
      </w:r>
      <w:r>
        <w:rPr>
          <w:rFonts w:hint="default" w:ascii="Times New Roman" w:hAnsi="Times New Roman" w:eastAsia="Arial" w:cs="Times New Roman"/>
          <w:b w:val="0"/>
          <w:bCs w:val="0"/>
          <w:i w:val="0"/>
          <w:iCs w:val="0"/>
          <w:color w:val="000000"/>
          <w:sz w:val="20"/>
          <w:szCs w:val="20"/>
        </w:rPr>
        <w:t xml:space="preserve"> present EV-HybridDataset-202</w:t>
      </w:r>
      <w:r>
        <w:rPr>
          <w:rFonts w:hint="default" w:ascii="Times New Roman" w:hAnsi="Times New Roman" w:cs="Times New Roman"/>
          <w:b w:val="0"/>
          <w:bCs w:val="0"/>
          <w:i w:val="0"/>
          <w:iCs w:val="0"/>
          <w:color w:val="000000"/>
          <w:sz w:val="20"/>
          <w:szCs w:val="20"/>
          <w:lang w:val="en-US"/>
        </w:rPr>
        <w:t>6</w:t>
      </w:r>
      <w:r>
        <w:rPr>
          <w:rFonts w:hint="default" w:ascii="Times New Roman" w:hAnsi="Times New Roman" w:eastAsia="Arial" w:cs="Times New Roman"/>
          <w:b w:val="0"/>
          <w:bCs w:val="0"/>
          <w:i w:val="0"/>
          <w:iCs w:val="0"/>
          <w:color w:val="000000"/>
          <w:sz w:val="20"/>
          <w:szCs w:val="20"/>
        </w:rPr>
        <w:t>, a comprehensive hybrid dataset for AI model training in the electric vehicle (EV) domain of power and energy systems. The dataset integrates three interconnected sub-datasets: (1) 50,000 EV charging session records covering AC Level 1/2 and DC Fast charging (up to 350 kW), five connector standards, four location types, and the period 2022–2024; (2) 37,506 battery degradation checkpoints across 300 vehicles with three Li-ion chemistries (NMC, LFP, NCA) tracking state-of-health (SOH), internal resistance, open-circuit voltage, and EIS impedance over up to 1,200 equivalent full cycles; and (3) 80,000 trip energy consumption records for six commercial EV platforms across urban, highway, mixed, and rural scenarios with full physics-correlated contextual metadata. Parameter distributions are calibrated against eight peer-reviewed real-world sources; identified data gaps are filled through physics-informed stochastic synthesis, clearly flagged with a data_source column. All 167,506 records across 51 variables are validated with zero missing values, zero range violations, and zero physical logic violations. The dataset supports AI tasks including charging load forecasting (LSTM, R² = 0.883), SOH estimation (XGBoost, R² = 0.971, MAE = 0.42%), energy consumption regression (Random Forest, R² = 0.921), and user behavior clustering (K-Means, silhouette = 0.67). The full generation and validation pipeline is provided as open-source Python scripts.</w:t>
      </w:r>
    </w:p>
    <w:p w14:paraId="29660B5A">
      <w:pPr>
        <w:spacing w:before="80" w:after="80" w:line="276" w:lineRule="auto"/>
        <w:jc w:val="both"/>
        <w:rPr>
          <w:rFonts w:hint="default" w:ascii="Times New Roman" w:hAnsi="Times New Roman" w:cs="Times New Roman"/>
        </w:rPr>
      </w:pPr>
    </w:p>
    <w:p w14:paraId="7274096E">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iCs/>
          <w:color w:val="000000"/>
          <w:sz w:val="20"/>
          <w:szCs w:val="20"/>
        </w:rPr>
        <w:t>Index Terms</w:t>
      </w:r>
      <w:r>
        <w:rPr>
          <w:rFonts w:hint="default" w:ascii="Times New Roman" w:hAnsi="Times New Roman" w:cs="Times New Roman"/>
          <w:b w:val="0"/>
          <w:bCs w:val="0"/>
          <w:i/>
          <w:iCs/>
          <w:color w:val="000000"/>
          <w:sz w:val="20"/>
          <w:szCs w:val="20"/>
          <w:lang w:val="en-US"/>
        </w:rPr>
        <w:t xml:space="preserve"> </w:t>
      </w:r>
      <w:r>
        <w:rPr>
          <w:rFonts w:hint="default" w:ascii="Times New Roman" w:hAnsi="Times New Roman" w:eastAsia="Arial" w:cs="Times New Roman"/>
          <w:b w:val="0"/>
          <w:bCs w:val="0"/>
          <w:i/>
          <w:iCs/>
          <w:color w:val="000000"/>
          <w:sz w:val="20"/>
          <w:szCs w:val="20"/>
        </w:rPr>
        <w:t>Electric vehicles; battery degradation; charging behavior; state of health; energy consumption; AI training dataset; demand forecasting; remaining useful life; physics-informed synthesis; hybrid dataset.</w:t>
      </w:r>
    </w:p>
    <w:p w14:paraId="1C93350A">
      <w:pPr>
        <w:spacing w:before="80" w:after="80" w:line="276" w:lineRule="auto"/>
        <w:jc w:val="both"/>
        <w:rPr>
          <w:rFonts w:hint="default" w:ascii="Times New Roman" w:hAnsi="Times New Roman" w:cs="Times New Roman"/>
        </w:rPr>
        <w:sectPr>
          <w:type w:val="continuous"/>
          <w:pgSz w:w="12240" w:h="15840"/>
          <w:pgMar w:top="1080" w:right="1008" w:bottom="1080" w:left="1008" w:header="708" w:footer="708" w:gutter="0"/>
          <w:cols w:equalWidth="0" w:num="2">
            <w:col w:w="4899" w:space="425"/>
            <w:col w:w="4899"/>
          </w:cols>
          <w:docGrid w:linePitch="360" w:charSpace="0"/>
        </w:sectPr>
      </w:pPr>
    </w:p>
    <w:p w14:paraId="78D68D65">
      <w:pPr>
        <w:spacing w:before="80" w:after="80" w:line="276" w:lineRule="auto"/>
        <w:jc w:val="both"/>
        <w:rPr>
          <w:rFonts w:hint="default" w:ascii="Times New Roman" w:hAnsi="Times New Roman" w:cs="Times New Roman"/>
        </w:rPr>
      </w:pPr>
    </w:p>
    <w:p w14:paraId="19F500B4">
      <w:pPr>
        <w:jc w:val="both"/>
        <w:rPr>
          <w:rFonts w:hint="default" w:ascii="Times New Roman" w:hAnsi="Times New Roman" w:cs="Times New Roman"/>
          <w:lang w:val="en-US"/>
        </w:rPr>
        <w:sectPr>
          <w:type w:val="continuous"/>
          <w:pgSz w:w="12240" w:h="15840"/>
          <w:pgMar w:top="1080" w:right="1008" w:bottom="1080" w:left="1008" w:header="708" w:footer="708" w:gutter="0"/>
          <w:cols w:space="720" w:num="1"/>
          <w:docGrid w:linePitch="360" w:charSpace="0"/>
        </w:sectPr>
      </w:pPr>
      <w:r>
        <w:rPr>
          <w:rFonts w:hint="default" w:ascii="Times New Roman" w:hAnsi="Times New Roman" w:cs="Times New Roman"/>
          <w:lang w:val="en-US"/>
        </w:rPr>
        <w:t xml:space="preserve">  </w:t>
      </w:r>
    </w:p>
    <w:p w14:paraId="4E6E3985">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BACKGROUND</w:t>
      </w:r>
    </w:p>
    <w:p w14:paraId="46AB44CD">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The EV Integration Challenge</w:t>
      </w:r>
    </w:p>
    <w:p w14:paraId="06C2CC5B">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global electric vehicle fleet is projected to exceed 500 million units by 2040 [1], representing a transformative shift in both transportation and electricity demand. This transition introduces three interrelated technical challenges for power and energy systems that must be solved through data-driven AI approaches.</w:t>
      </w:r>
    </w:p>
    <w:p w14:paraId="204CDFB2">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First, EV charging demand creates new spatial and temporal load patterns on distribution networks. Uncoordinated charging during evening peak hours can increase transformer loading by 25–40% in high-penetration residential areas [2], while highway corridor DC fast charging stations can impose instantaneous loads exceeding 1 MW. Accurate forecasting requires rich historical session data with behavioral, temporal, and contextual attributes.</w:t>
      </w:r>
    </w:p>
    <w:p w14:paraId="1FA64CA8">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 xml:space="preserve">Second, battery degradation determines EV total cost of ownership, resale value, warranty exposure, and second-life suitability. State-of-health (SOH) estimation in the field </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without controlled laboratory conditions </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remains an open problem because field data linking operating conditions (temperature, C-rate, depth-of-discharge) to long-term capacity fade is scarce and proprietary [3,4].</w:t>
      </w:r>
    </w:p>
    <w:p w14:paraId="212CCE2C">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Third, energy consumption prediction directly determines driving range, which is the primary consumer concern in EV adoption. Real-world consumption varies from 13 to 30 kWh/100 km depending on speed, ambient temperature, HVAC load, elevation, and vehicle mass — a multi-factor space that requires large, diverse datasets to model accurately [5,6].</w:t>
      </w:r>
    </w:p>
    <w:p w14:paraId="2392D258">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Limitations of Existing Public Datasets</w:t>
      </w:r>
    </w:p>
    <w:p w14:paraId="134C47A6">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Despite growing research interest, existing public datasets are siloed within single domains:</w:t>
      </w:r>
    </w:p>
    <w:p w14:paraId="007E432F">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Charging transaction datasets</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provide temporal and energy session data but contain no battery health metadata and no per-vehicle trip or range information.</w:t>
      </w:r>
    </w:p>
    <w:p w14:paraId="2D643DF7">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Laboratory battery aging datasets</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provide electrochemically rich degradation data but are collected under highly controlled lab conditions (fixed C-rate, constant temperature) that differ substantially from field operation. These datasets contain no charging location, session cost, or driving energy context.</w:t>
      </w:r>
    </w:p>
    <w:p w14:paraId="40CC07B9">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Energy consumption datasets</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provide trip-level consumption profiles but lack individual battery health information and charging session linkage.</w:t>
      </w:r>
    </w:p>
    <w:p w14:paraId="51727370">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 xml:space="preserve">The absence of a unified multi-domain dataset with common vehicle identifiers prevents multi-task learning architectures and realistic simulation of coupled EV system behavior. </w:t>
      </w:r>
      <w:r>
        <w:rPr>
          <w:rFonts w:hint="default" w:ascii="Times New Roman" w:hAnsi="Times New Roman" w:cs="Times New Roman"/>
          <w:b w:val="0"/>
          <w:bCs w:val="0"/>
          <w:i w:val="0"/>
          <w:iCs w:val="0"/>
          <w:color w:val="000000"/>
          <w:sz w:val="20"/>
          <w:szCs w:val="20"/>
          <w:lang w:val="en-US"/>
        </w:rPr>
        <w:t>EV-HybridDataset-2026</w:t>
      </w:r>
      <w:r>
        <w:rPr>
          <w:rFonts w:hint="default" w:ascii="Times New Roman" w:hAnsi="Times New Roman" w:eastAsia="Arial" w:cs="Times New Roman"/>
          <w:b w:val="0"/>
          <w:bCs w:val="0"/>
          <w:i w:val="0"/>
          <w:iCs w:val="0"/>
          <w:color w:val="000000"/>
          <w:sz w:val="20"/>
          <w:szCs w:val="20"/>
        </w:rPr>
        <w:t xml:space="preserve"> is designed specifically to fill this gap.</w:t>
      </w:r>
    </w:p>
    <w:p w14:paraId="3D72E0EE">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COLLECTION METHODS AND DESIGN</w:t>
      </w:r>
    </w:p>
    <w:p w14:paraId="3FF22B27">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Real-World Calibration Sources</w:t>
      </w:r>
    </w:p>
    <w:p w14:paraId="5AD00773">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All statistical distributions, physical bounds, and operating-condition parameters were derived from peer-reviewed real-world sources. Table I summarizes the eight primary sources used to calibrate this dataset.</w:t>
      </w:r>
    </w:p>
    <w:p w14:paraId="2A4B6792">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I. Real-World Calibration Sources.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200"/>
        <w:gridCol w:w="1724"/>
      </w:tblGrid>
      <w:tr w14:paraId="0CBFF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2C6C48D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Source</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34052E6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Domain</w:t>
            </w:r>
          </w:p>
        </w:tc>
        <w:tc>
          <w:tcPr>
            <w:tcW w:w="17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4A4AD7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Key Parameters</w:t>
            </w:r>
          </w:p>
        </w:tc>
      </w:tr>
      <w:tr w14:paraId="447F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F921F4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EPFL DESL Lvl-3 [7]</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A3701E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w:t>
            </w:r>
          </w:p>
        </w:tc>
        <w:tc>
          <w:tcPr>
            <w:tcW w:w="17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9F2BA7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Power, duration, energy, CCS</w:t>
            </w:r>
          </w:p>
        </w:tc>
      </w:tr>
      <w:tr w14:paraId="7881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8084FC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UrbanEV/ST-EVCDP [8]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1DBA4E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w:t>
            </w:r>
          </w:p>
        </w:tc>
        <w:tc>
          <w:tcPr>
            <w:tcW w:w="17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B6017F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1,682 stations, volume, price</w:t>
            </w:r>
          </w:p>
        </w:tc>
      </w:tr>
      <w:tr w14:paraId="0C2F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B15AF7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Boulder CO Open Data [9]</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FAC751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w:t>
            </w:r>
          </w:p>
        </w:tc>
        <w:tc>
          <w:tcPr>
            <w:tcW w:w="17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CD2A7D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148 k sessions, kWh, GHG</w:t>
            </w:r>
          </w:p>
        </w:tc>
      </w:tr>
      <w:tr w14:paraId="7F7E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A94328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NASA PCoE Li-ion [10]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1FA240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Degradation</w:t>
            </w:r>
          </w:p>
        </w:tc>
        <w:tc>
          <w:tcPr>
            <w:tcW w:w="17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D579D6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EIS, CC discharge, temp</w:t>
            </w:r>
          </w:p>
        </w:tc>
      </w:tr>
      <w:tr w14:paraId="56CC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411E9D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CALCE CS2 Dataset [11]</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0A152B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Degradation</w:t>
            </w:r>
          </w:p>
        </w:tc>
        <w:tc>
          <w:tcPr>
            <w:tcW w:w="17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367EF2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LCO SOH profiles, 15 cells</w:t>
            </w:r>
          </w:p>
        </w:tc>
      </w:tr>
      <w:tr w14:paraId="4458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36F526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NMC/C-SiO 2024 [12]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17AF1C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Degradation</w:t>
            </w:r>
          </w:p>
        </w:tc>
        <w:tc>
          <w:tcPr>
            <w:tcW w:w="17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6E2518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228 cells, 3B pts, impedance</w:t>
            </w:r>
          </w:p>
        </w:tc>
      </w:tr>
      <w:tr w14:paraId="33DF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713916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emobpy [13]</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F6E17D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w:t>
            </w:r>
          </w:p>
        </w:tc>
        <w:tc>
          <w:tcPr>
            <w:tcW w:w="17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EDAD26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22.2 kWh/100 km, 200 BEV</w:t>
            </w:r>
          </w:p>
        </w:tc>
      </w:tr>
      <w:tr w14:paraId="0CBA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EBDE7C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MDPI Thailand BEV [14]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5177D1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w:t>
            </w:r>
          </w:p>
        </w:tc>
        <w:tc>
          <w:tcPr>
            <w:tcW w:w="17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F4427E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148 Wh/km real OBD data</w:t>
            </w:r>
          </w:p>
        </w:tc>
      </w:tr>
    </w:tbl>
    <w:p w14:paraId="3A388B01">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Gap Analysis and Synthesis Rationale</w:t>
      </w:r>
    </w:p>
    <w:p w14:paraId="1A36F94B">
      <w:pPr>
        <w:spacing w:before="80" w:after="80" w:line="276" w:lineRule="auto"/>
        <w:jc w:val="both"/>
        <w:rPr>
          <w:rFonts w:hint="default" w:ascii="Times New Roman" w:hAnsi="Times New Roman" w:eastAsia="Arial" w:cs="Times New Roman"/>
          <w:b w:val="0"/>
          <w:bCs w:val="0"/>
          <w:i w:val="0"/>
          <w:iCs w:val="0"/>
          <w:color w:val="000000"/>
          <w:sz w:val="20"/>
          <w:szCs w:val="20"/>
        </w:rPr>
      </w:pPr>
      <w:r>
        <w:rPr>
          <w:rFonts w:hint="default" w:ascii="Times New Roman" w:hAnsi="Times New Roman" w:eastAsia="Arial" w:cs="Times New Roman"/>
          <w:b w:val="0"/>
          <w:bCs w:val="0"/>
          <w:i w:val="0"/>
          <w:iCs w:val="0"/>
          <w:color w:val="000000"/>
          <w:sz w:val="20"/>
          <w:szCs w:val="20"/>
        </w:rPr>
        <w:t>Systematic comparison of available real-world sources against the requirements of multi-domain EV AI research identified five significant data gaps. Table II documents each gap, its cause, and the synthesis strategy applied.</w:t>
      </w:r>
    </w:p>
    <w:p w14:paraId="00D53799">
      <w:pPr>
        <w:spacing w:before="80" w:after="80" w:line="276" w:lineRule="auto"/>
        <w:jc w:val="both"/>
        <w:rPr>
          <w:rFonts w:hint="default" w:ascii="Times New Roman" w:hAnsi="Times New Roman" w:eastAsia="Arial" w:cs="Times New Roman"/>
          <w:b w:val="0"/>
          <w:bCs w:val="0"/>
          <w:i w:val="0"/>
          <w:iCs w:val="0"/>
          <w:color w:val="000000"/>
          <w:sz w:val="20"/>
          <w:szCs w:val="20"/>
        </w:rPr>
      </w:pPr>
    </w:p>
    <w:p w14:paraId="7661DD90">
      <w:pPr>
        <w:spacing w:before="80" w:after="80" w:line="276" w:lineRule="auto"/>
        <w:jc w:val="both"/>
        <w:rPr>
          <w:rFonts w:hint="default" w:ascii="Times New Roman" w:hAnsi="Times New Roman" w:eastAsia="Arial" w:cs="Times New Roman"/>
          <w:b w:val="0"/>
          <w:bCs w:val="0"/>
          <w:i w:val="0"/>
          <w:iCs w:val="0"/>
          <w:color w:val="000000"/>
          <w:sz w:val="20"/>
          <w:szCs w:val="20"/>
        </w:rPr>
      </w:pPr>
    </w:p>
    <w:p w14:paraId="383BA10C">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II. Identified Data Gaps and Synthesis Strategies.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24"/>
      </w:tblGrid>
      <w:tr w14:paraId="2935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C956B8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Gap</w:t>
            </w:r>
          </w:p>
        </w:tc>
        <w:tc>
          <w:tcPr>
            <w:tcW w:w="16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0C7C67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Root Cause</w:t>
            </w:r>
          </w:p>
        </w:tc>
        <w:tc>
          <w:tcPr>
            <w:tcW w:w="16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99E209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Synthesis Strategy</w:t>
            </w:r>
          </w:p>
        </w:tc>
      </w:tr>
      <w:tr w14:paraId="6061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F1C8B3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Longitudinal per-vehicle SOH tracking</w:t>
            </w:r>
          </w:p>
        </w:tc>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BD65BC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 txn datasets have no battery health</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58AC2F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Vehicle-ID linkage + physics fade model</w:t>
            </w:r>
          </w:p>
        </w:tc>
      </w:tr>
      <w:tr w14:paraId="5304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5B1B9E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EIS data under field conditions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61AE04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Lab EIS not available in fleet data</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B2A0C3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ECM calibration from NMC/C-SiO dataset</w:t>
            </w:r>
          </w:p>
        </w:tc>
      </w:tr>
      <w:tr w14:paraId="7A54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F14507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Cold-weather DC fast charging (&lt; −10 °C)</w:t>
            </w:r>
          </w:p>
        </w:tc>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D3565C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EPFL data: mild Swiss climate</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385207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Temp-derating model + Gaussian extension</w:t>
            </w:r>
          </w:p>
        </w:tc>
      </w:tr>
      <w:tr w14:paraId="108E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6D5100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User behavioral archetypes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CC684B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No intent labels in txn data</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FC77DE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Prob. assignment from SOC/time/location</w:t>
            </w:r>
          </w:p>
        </w:tc>
      </w:tr>
      <w:tr w14:paraId="2E82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E72446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Multi-road-type + weather combinations</w:t>
            </w:r>
          </w:p>
        </w:tc>
        <w:tc>
          <w:tcPr>
            <w:tcW w:w="16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0D5144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Sources are single-region/route</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999C94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Cross-product sampling + physics-adjusted rates</w:t>
            </w:r>
          </w:p>
        </w:tc>
      </w:tr>
    </w:tbl>
    <w:p w14:paraId="7272C08D">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Charging Behavior Sub-Dataset Design</w:t>
      </w:r>
    </w:p>
    <w:p w14:paraId="32A6EBE1">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charging sub-dataset was designed to represent the full spectrum of real-world EV charging operations. Charger type distribution follows Boulder CO and EPFL DESL proportions: 7% AC Level 1, 55% AC Level 2, and 38% DC Fast Charging. AC L2 power levels were sampled from a truncated normal distribution (μ = 7.2 kW, σ = 2.8 kW, range: 3.3–22 kW) reflecting the mix of residential and commercial L2 chargers. DC Fast Charging power was sampled from a truncated normal distribution (μ = 80 kW, σ = 40 kW, range: 22–350 kW) calibrated to the current mix of 50, 150, and 350 kW CCS stations.</w:t>
      </w:r>
    </w:p>
    <w:p w14:paraId="7B79C105">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Session start-of-charge (SOC) was drawn from a truncated normal distribution (μ = 38%, σ = 18%, range: 5–90%) consistent with EPFL DESL empirical findings showing mean initiation SOC of approximately 40% for AC sessions and 32% for DC Fast sessions. Energy delivered was derived from SOC delta, battery capacity, and a charging efficiency factor (AC: 0.88–0.96, DC: 0.91–0.98). Session timestamps span January 2022 to December 2024 with uniform random distribution, preserving seasonal and diurnal variation for temporal modeling. Four user behavioral archetypes were assigned probabilistically based on SOC-at-start, location type, and time-of-day patterns: opportunistic (28%), scheduled (35%), range-anxious (17%), and commuter (20%).</w:t>
      </w:r>
    </w:p>
    <w:p w14:paraId="19F699C2">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Battery Degradation Sub-Dataset Design</w:t>
      </w:r>
    </w:p>
    <w:p w14:paraId="7815512D">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degradation sub-dataset models 300 simulated vehicles across three Li-ion chemistries. Nominal capacities reflect current commercial offerings: NMC (75 kWh, 55% of fleet), LFP (60 kWh, 28%), and NCA (82 kWh, 17%). Per-vehicle degradation rates were drawn from uniform distributions calibrated to NMC/C-SiO and NASA PCoE data: 0.004–0.012% capacity loss per equivalent full cycle (EFC). Each vehicle is sampled at an average of 125 SOH checkpoints distributed over its lifetime (up to 1,200 EFCs).</w:t>
      </w:r>
    </w:p>
    <w:p w14:paraId="48BA3DD6">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At each checkpoint, SOH was computed as:</w:t>
      </w:r>
    </w:p>
    <w:p w14:paraId="68A75E99">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iCs/>
          <w:color w:val="000000"/>
          <w:sz w:val="20"/>
          <w:szCs w:val="20"/>
        </w:rPr>
        <w:t>SOH(n) = 100 − k · n + ε,  ε ~ N(0, 0.3)</w:t>
      </w:r>
    </w:p>
    <w:p w14:paraId="177FE8D8">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where n is the cycle number and k is the per-vehicle degradation rate. Internal resistance was modeled with a linear increase (0.02–0.08 mΩ per 100 cycles) plus Gaussian noise (σ = 0.5 mΩ). EIS impedance at 1 kHz was synthesized using an equivalent circuit model calibrated from the NMC/C-SiO dataset, with a strong negative correlation to SOH (Pearson r = −0.87). Operating conditions (temperature, C-rate, depth-of-discharge) were sampled independently to represent diverse real-world usage.</w:t>
      </w:r>
    </w:p>
    <w:p w14:paraId="4A08D26B">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Energy Consumption Sub-Dataset Design</w:t>
      </w:r>
    </w:p>
    <w:p w14:paraId="501CF080">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energy consumption sub-dataset covers 80,000 trips across six EV models with manufacturer-reported aerodynamic and efficiency specifications. Base consumption rates range from 15.0 kWh/100 km (Tesla Model 3) to 19.2 kWh/100 km (BMW iX3), consistent with WLTP and real-world benchmarks. Three physics-based adjustment factors were applied:</w:t>
      </w:r>
    </w:p>
    <w:p w14:paraId="7B469CAB">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Aerodynamic drag factor: f_aero = 1 + 0.004 · max(0, v − 90)^1.5 / 100, representing the quadratic increase in drag power above 90 km/h (calibrated to R² = 0.94 fit against MDPI Thailand OBD data at varying speeds).</w:t>
      </w:r>
    </w:p>
    <w:p w14:paraId="56B20A27">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HVAC thermal load factor: f_hvac = 1 + 0.12–0.27 (when active), with heating penalty exceeding cooling by ~1.8× at equivalent temperature deltas, reflecting compressor vs. resistive heating energy requirements.</w:t>
      </w:r>
    </w:p>
    <w:p w14:paraId="236BA9BA">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Elevation and payload factors: f_elev = 1 + Δh · 3×10⁻⁴ and f_load = 1 + m/10,000, derived from gravitational potential energy and rolling resistance theory.</w:t>
      </w:r>
    </w:p>
    <w:p w14:paraId="1EBECA7A">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Net energy consumption was computed as gross consumption minus regenerative braking recovery (urban: 12–22%, highway: 3–9%, calibrated to emobpy profiles).</w:t>
      </w:r>
    </w:p>
    <w:p w14:paraId="74E93EA5">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VALIDATION AND QUALITY</w:t>
      </w:r>
    </w:p>
    <w:p w14:paraId="7BB474BA">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Automated Quality Checks</w:t>
      </w:r>
    </w:p>
    <w:p w14:paraId="4BAB32EF">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 five-stage automated validation pipeline was applied to all records before release:</w:t>
      </w:r>
    </w:p>
    <w:p w14:paraId="5C0608A9">
      <w:pPr>
        <w:pStyle w:val="19"/>
        <w:numPr>
          <w:ilvl w:val="0"/>
          <w:numId w:val="2"/>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Completeness check: All 167,506 records verified to contain zero missing or null values across all 51 variables. Result: 0 violations.</w:t>
      </w:r>
    </w:p>
    <w:p w14:paraId="0D42AE3A">
      <w:pPr>
        <w:pStyle w:val="19"/>
        <w:numPr>
          <w:ilvl w:val="0"/>
          <w:numId w:val="2"/>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Physical range validation: Every numerical column checked against hard physical and operational bounds derived from device specifications and physical laws. Result: 0 out-of-range values after clipping and correction.</w:t>
      </w:r>
    </w:p>
    <w:p w14:paraId="76CCA5FB">
      <w:pPr>
        <w:pStyle w:val="19"/>
        <w:numPr>
          <w:ilvl w:val="0"/>
          <w:numId w:val="2"/>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Cross-column logic validation: Physical dependencies enforced — soc_end &gt; soc_start (charging), soh_pct ≤ 100 (degradation), soc_after &lt; soc_before (energy consumption). Result: 0 violations post-correction.</w:t>
      </w:r>
    </w:p>
    <w:p w14:paraId="7E781E0A">
      <w:pPr>
        <w:pStyle w:val="19"/>
        <w:numPr>
          <w:ilvl w:val="0"/>
          <w:numId w:val="2"/>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Temporal consistency: All session timestamps verified for chronological order (session_start &lt; session_end). Maximum session duration capped at 720 minutes. Result: 0 violations.</w:t>
      </w:r>
    </w:p>
    <w:p w14:paraId="63F975F9">
      <w:pPr>
        <w:pStyle w:val="19"/>
        <w:numPr>
          <w:ilvl w:val="0"/>
          <w:numId w:val="2"/>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Statistical plausibility: Key variable distributions (energy_delivered, SOH, consumption_rate) compared to published summary statistics from cited sources using Kolmogorov-Smirnov tests. All p-values &gt; 0.05 (α = 0.05 threshold).</w:t>
      </w:r>
    </w:p>
    <w:p w14:paraId="0A95B5D5">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III. Validation Results Summary.</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7"/>
        <w:gridCol w:w="790"/>
        <w:gridCol w:w="837"/>
        <w:gridCol w:w="834"/>
        <w:gridCol w:w="836"/>
      </w:tblGrid>
      <w:tr w14:paraId="292E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7DE66AD">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Sub-Dataset</w:t>
            </w:r>
          </w:p>
        </w:tc>
        <w:tc>
          <w:tcPr>
            <w:tcW w:w="76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7BBC753F">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Records</w:t>
            </w:r>
          </w:p>
        </w:tc>
        <w:tc>
          <w:tcPr>
            <w:tcW w:w="84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1EAE982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Missing</w:t>
            </w:r>
          </w:p>
        </w:tc>
        <w:tc>
          <w:tcPr>
            <w:tcW w:w="84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21889D2D">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Range Err.</w:t>
            </w:r>
          </w:p>
        </w:tc>
        <w:tc>
          <w:tcPr>
            <w:tcW w:w="84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47D34B9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Logic Err.</w:t>
            </w:r>
          </w:p>
        </w:tc>
      </w:tr>
      <w:tr w14:paraId="184E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9B2F37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 Behavior</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6002D6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50,000</w:t>
            </w:r>
          </w:p>
        </w:tc>
        <w:tc>
          <w:tcPr>
            <w:tcW w:w="8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6FA00F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A11AE6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C05839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r>
      <w:tr w14:paraId="1262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011552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Battery Degradation</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A83E2F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37,506</w:t>
            </w:r>
          </w:p>
        </w:tc>
        <w:tc>
          <w:tcPr>
            <w:tcW w:w="8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F3CE43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6CC4E9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C43A78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r>
      <w:tr w14:paraId="693E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854E4B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 Consumption</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C1465F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80,000</w:t>
            </w:r>
          </w:p>
        </w:tc>
        <w:tc>
          <w:tcPr>
            <w:tcW w:w="8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107AFB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98AF21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c>
          <w:tcPr>
            <w:tcW w:w="84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236411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w:t>
            </w:r>
          </w:p>
        </w:tc>
      </w:tr>
    </w:tbl>
    <w:p w14:paraId="664463AF">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Benchmark AI Model Performance</w:t>
      </w:r>
    </w:p>
    <w:p w14:paraId="4034C367">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To assess AI-readiness, four benchmark models were trained on 80% of the data</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Results are reported in Table IV.</w:t>
      </w:r>
    </w:p>
    <w:p w14:paraId="4FDA9F29">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IV. Benchmark AI Model Results (80/20 Temporal Split).</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300"/>
        <w:gridCol w:w="1200"/>
        <w:gridCol w:w="924"/>
      </w:tblGrid>
      <w:tr w14:paraId="364E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194DDD3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Task</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30F00EA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Model</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B3AFC9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MAE</w:t>
            </w:r>
          </w:p>
        </w:tc>
        <w:tc>
          <w:tcPr>
            <w:tcW w:w="9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C7DD05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R²</w:t>
            </w:r>
          </w:p>
        </w:tc>
      </w:tr>
      <w:tr w14:paraId="7574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E2508A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Charging load forecast</w:t>
            </w:r>
          </w:p>
        </w:tc>
        <w:tc>
          <w:tcPr>
            <w:tcW w:w="13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B06731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LSTM (128 units)</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32EE47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2.81 kWh</w:t>
            </w:r>
          </w:p>
        </w:tc>
        <w:tc>
          <w:tcPr>
            <w:tcW w:w="9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A14C68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0.883</w:t>
            </w:r>
          </w:p>
        </w:tc>
      </w:tr>
      <w:tr w14:paraId="10F6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B5E264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SOH estimation</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2212FA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XGBoost (500 trees)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25B542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0.42 %</w:t>
            </w:r>
          </w:p>
        </w:tc>
        <w:tc>
          <w:tcPr>
            <w:tcW w:w="9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7A45E4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0.971</w:t>
            </w:r>
          </w:p>
        </w:tc>
      </w:tr>
      <w:tr w14:paraId="0267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E69CDD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 consumption</w:t>
            </w:r>
          </w:p>
        </w:tc>
        <w:tc>
          <w:tcPr>
            <w:tcW w:w="13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CE421E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Random Forest (300)</w:t>
            </w:r>
          </w:p>
        </w:tc>
        <w:tc>
          <w:tcPr>
            <w:tcW w:w="12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CEC04C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0.93 kWh/100 km</w:t>
            </w:r>
          </w:p>
        </w:tc>
        <w:tc>
          <w:tcPr>
            <w:tcW w:w="9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77FE02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0.921</w:t>
            </w:r>
          </w:p>
        </w:tc>
      </w:tr>
      <w:tr w14:paraId="57CE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75217E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User clustering</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B675EF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K-Means (k=4)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E130EA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F1: 0.81</w:t>
            </w:r>
          </w:p>
        </w:tc>
        <w:tc>
          <w:tcPr>
            <w:tcW w:w="9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C3C98B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sil=0.67</w:t>
            </w:r>
          </w:p>
        </w:tc>
      </w:tr>
    </w:tbl>
    <w:p w14:paraId="2E9E1900">
      <w:pPr>
        <w:spacing w:before="80" w:after="80" w:line="276" w:lineRule="auto"/>
        <w:jc w:val="both"/>
        <w:rPr>
          <w:rFonts w:hint="default" w:ascii="Times New Roman" w:hAnsi="Times New Roman" w:eastAsia="Arial" w:cs="Times New Roman"/>
          <w:b w:val="0"/>
          <w:bCs w:val="0"/>
          <w:i w:val="0"/>
          <w:iCs w:val="0"/>
          <w:color w:val="000000"/>
          <w:sz w:val="20"/>
          <w:szCs w:val="20"/>
        </w:rPr>
      </w:pPr>
      <w:r>
        <w:rPr>
          <w:rFonts w:hint="default" w:ascii="Times New Roman" w:hAnsi="Times New Roman" w:eastAsia="Arial" w:cs="Times New Roman"/>
          <w:b w:val="0"/>
          <w:bCs w:val="0"/>
          <w:i w:val="0"/>
          <w:iCs w:val="0"/>
          <w:color w:val="000000"/>
          <w:sz w:val="20"/>
          <w:szCs w:val="20"/>
        </w:rPr>
        <w:t>The SOH estimation result (R² = 0.971) is particularly noteworthy, outperforming published benchmarks on single-source lab datasets where typical XGBoost R² values range from 0.90–0.96 [3], demonstrating the benefit of the diverse multi-chemistry, multi-condition design. The energy consumption model (R² = 0.921) similarly benefits from the broad parameter space coverage including HVAC, elevation, and payload factors absent from most public datasets.</w:t>
      </w:r>
    </w:p>
    <w:p w14:paraId="3CE35559">
      <w:pPr>
        <w:spacing w:before="80" w:after="80" w:line="276" w:lineRule="auto"/>
        <w:jc w:val="both"/>
        <w:rPr>
          <w:rFonts w:hint="default" w:ascii="Times New Roman" w:hAnsi="Times New Roman" w:eastAsia="Arial" w:cs="Times New Roman"/>
          <w:b w:val="0"/>
          <w:bCs w:val="0"/>
          <w:i w:val="0"/>
          <w:iCs w:val="0"/>
          <w:color w:val="000000"/>
          <w:sz w:val="20"/>
          <w:szCs w:val="20"/>
        </w:rPr>
      </w:pPr>
    </w:p>
    <w:p w14:paraId="2D60C502">
      <w:pPr>
        <w:spacing w:before="80" w:after="80" w:line="276" w:lineRule="auto"/>
        <w:jc w:val="both"/>
        <w:rPr>
          <w:rFonts w:hint="default" w:ascii="Times New Roman" w:hAnsi="Times New Roman" w:eastAsia="Arial" w:cs="Times New Roman"/>
          <w:b w:val="0"/>
          <w:bCs w:val="0"/>
          <w:i w:val="0"/>
          <w:iCs w:val="0"/>
          <w:color w:val="000000"/>
          <w:sz w:val="20"/>
          <w:szCs w:val="20"/>
        </w:rPr>
      </w:pPr>
    </w:p>
    <w:p w14:paraId="59473D97">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RECORDS AND STORAGE</w:t>
      </w:r>
    </w:p>
    <w:p w14:paraId="16744C7E">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File Organization</w:t>
      </w:r>
    </w:p>
    <w:p w14:paraId="3AFF1A8B">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dataset is organized as four flat files (3 CSV data files + 1 README) plus supplementary Python scripts. All CSV files use UTF-8 encoding, comma delimiter, and include a header row. This flat structure is optimized for direct ingestion by pandas, TensorFlow, PyTorch, and scikit-learn without preprocessing.</w:t>
      </w:r>
    </w:p>
    <w:p w14:paraId="5BC21171">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V. File Organization.</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5"/>
        <w:gridCol w:w="874"/>
        <w:gridCol w:w="858"/>
        <w:gridCol w:w="877"/>
      </w:tblGrid>
      <w:tr w14:paraId="3D00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28B3F53">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File</w:t>
            </w:r>
          </w:p>
        </w:tc>
        <w:tc>
          <w:tcPr>
            <w:tcW w:w="9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1259B49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Rows</w:t>
            </w:r>
          </w:p>
        </w:tc>
        <w:tc>
          <w:tcPr>
            <w:tcW w:w="9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86CA3C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Cols</w:t>
            </w:r>
          </w:p>
        </w:tc>
        <w:tc>
          <w:tcPr>
            <w:tcW w:w="9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742B9B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Size</w:t>
            </w:r>
          </w:p>
        </w:tc>
      </w:tr>
      <w:tr w14:paraId="61B2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79781F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ev_charging_behavior.csv</w:t>
            </w:r>
          </w:p>
        </w:tc>
        <w:tc>
          <w:tcPr>
            <w:tcW w:w="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7AEEF4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50,000</w:t>
            </w:r>
          </w:p>
        </w:tc>
        <w:tc>
          <w:tcPr>
            <w:tcW w:w="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1D08C2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18</w:t>
            </w:r>
          </w:p>
        </w:tc>
        <w:tc>
          <w:tcPr>
            <w:tcW w:w="9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BA8271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~7 MB</w:t>
            </w:r>
          </w:p>
        </w:tc>
      </w:tr>
      <w:tr w14:paraId="3C0C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972FC1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ev_battery_degradation.csv</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E4B47D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37,506</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2DCFA7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15</w:t>
            </w:r>
          </w:p>
        </w:tc>
        <w:tc>
          <w:tcPr>
            <w:tcW w:w="9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6E0A36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 MB</w:t>
            </w:r>
          </w:p>
        </w:tc>
      </w:tr>
      <w:tr w14:paraId="55E6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BAED26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ev_energy_consumption.csv</w:t>
            </w:r>
          </w:p>
        </w:tc>
        <w:tc>
          <w:tcPr>
            <w:tcW w:w="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C1D237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80,000</w:t>
            </w:r>
          </w:p>
        </w:tc>
        <w:tc>
          <w:tcPr>
            <w:tcW w:w="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BA8833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18</w:t>
            </w:r>
          </w:p>
        </w:tc>
        <w:tc>
          <w:tcPr>
            <w:tcW w:w="9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35FB50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~10 MB</w:t>
            </w:r>
          </w:p>
        </w:tc>
      </w:tr>
      <w:tr w14:paraId="7A3F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408AF4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README.md</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8D16A2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EBB818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9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F95A31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~25 KB</w:t>
            </w:r>
          </w:p>
        </w:tc>
      </w:tr>
    </w:tbl>
    <w:p w14:paraId="7D619ECC">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Variable Dictionary — Charging Behavior</w:t>
      </w:r>
    </w:p>
    <w:p w14:paraId="1757ABA9">
      <w:pPr>
        <w:spacing w:before="80" w:after="80" w:line="276"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20"/>
          <w:szCs w:val="20"/>
          <w14:textFill>
            <w14:solidFill>
              <w14:schemeClr w14:val="tx1"/>
            </w14:solidFill>
          </w14:textFill>
        </w:rPr>
        <w:t>Table VI. ev_charging_behavior.csv Key Variables.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711"/>
        <w:gridCol w:w="695"/>
        <w:gridCol w:w="1568"/>
      </w:tblGrid>
      <w:tr w14:paraId="408F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F71606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Variable</w:t>
            </w:r>
          </w:p>
        </w:tc>
        <w:tc>
          <w:tcPr>
            <w:tcW w:w="76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180A688">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Type</w:t>
            </w:r>
          </w:p>
        </w:tc>
        <w:tc>
          <w:tcPr>
            <w:tcW w:w="76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4F616238">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Unit</w:t>
            </w:r>
          </w:p>
        </w:tc>
        <w:tc>
          <w:tcPr>
            <w:tcW w:w="16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28E8F44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Range / Values</w:t>
            </w:r>
          </w:p>
        </w:tc>
      </w:tr>
      <w:tr w14:paraId="217A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66BD5F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session_id</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2D658D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string</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0677BB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4FBC94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CH0000001…</w:t>
            </w:r>
          </w:p>
        </w:tc>
      </w:tr>
      <w:tr w14:paraId="7D7F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100B16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vehicle_id</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2F24AA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string</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71F741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E78856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V00001–V05000</w:t>
            </w:r>
          </w:p>
        </w:tc>
      </w:tr>
      <w:tr w14:paraId="257A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04A941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charge_type</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934338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DBE1E0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F86AD4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AC_L1, AC_L2, DC_Fast</w:t>
            </w:r>
          </w:p>
        </w:tc>
      </w:tr>
      <w:tr w14:paraId="1982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1377E7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charger_power_kW</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4C023A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D304F0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kW</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B60A31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1.4–350</w:t>
            </w:r>
          </w:p>
        </w:tc>
      </w:tr>
      <w:tr w14:paraId="0A8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DE2993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energy_delivered_kWh</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F80581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B1BB71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kWh</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4F9364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0.1–150</w:t>
            </w:r>
          </w:p>
        </w:tc>
      </w:tr>
      <w:tr w14:paraId="3548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67FB43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soc_start_pct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2319D5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6643A5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25A51C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5–90</w:t>
            </w:r>
          </w:p>
        </w:tc>
      </w:tr>
      <w:tr w14:paraId="76E5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73610C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soc_end_pct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6D0892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52621D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1D66EC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7–100</w:t>
            </w:r>
          </w:p>
        </w:tc>
      </w:tr>
      <w:tr w14:paraId="6747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4674B5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location_type</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C5ACFF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049556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A2CDDA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home, workplace, public_urban, highway</w:t>
            </w:r>
          </w:p>
        </w:tc>
      </w:tr>
      <w:tr w14:paraId="7145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8C13CD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user_archetype</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DB2170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27A155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6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1CC87E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opportunistic, scheduled, range_anxious, commuter</w:t>
            </w:r>
          </w:p>
        </w:tc>
      </w:tr>
      <w:tr w14:paraId="1B6E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1F2FA1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ambient_temp_C</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D3060B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6404CC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w:t>
            </w:r>
          </w:p>
        </w:tc>
        <w:tc>
          <w:tcPr>
            <w:tcW w:w="16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0D9313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−20 to 45</w:t>
            </w:r>
          </w:p>
        </w:tc>
      </w:tr>
    </w:tbl>
    <w:p w14:paraId="00EE35CD">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C. Variable Dictionary </w:t>
      </w:r>
      <w:r>
        <w:rPr>
          <w:rFonts w:hint="default" w:ascii="Times New Roman" w:hAnsi="Times New Roman" w:cs="Times New Roman"/>
          <w:b/>
          <w:bCs/>
          <w:i/>
          <w:iCs/>
          <w:color w:val="000000" w:themeColor="text1"/>
          <w:sz w:val="20"/>
          <w:szCs w:val="20"/>
          <w:lang w:val="en-US"/>
          <w14:textFill>
            <w14:solidFill>
              <w14:schemeClr w14:val="tx1"/>
            </w14:solidFill>
          </w14:textFill>
        </w:rPr>
        <w:t>,</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Battery Degradation</w:t>
      </w:r>
    </w:p>
    <w:p w14:paraId="25DD2159">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VII. ev_battery_degradation.csv Key Variables.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677"/>
        <w:gridCol w:w="658"/>
        <w:gridCol w:w="1329"/>
      </w:tblGrid>
      <w:tr w14:paraId="775B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9BE221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Variable</w:t>
            </w:r>
          </w:p>
        </w:tc>
        <w:tc>
          <w:tcPr>
            <w:tcW w:w="76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003674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Type</w:t>
            </w:r>
          </w:p>
        </w:tc>
        <w:tc>
          <w:tcPr>
            <w:tcW w:w="76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80BF54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Unit</w:t>
            </w:r>
          </w:p>
        </w:tc>
        <w:tc>
          <w:tcPr>
            <w:tcW w:w="152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6E5928CF">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Range / Values</w:t>
            </w:r>
          </w:p>
        </w:tc>
      </w:tr>
      <w:tr w14:paraId="79E5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C52B8D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cell_chemistry</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975B6B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28F63A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F52481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NMC, LFP, NCA</w:t>
            </w:r>
          </w:p>
        </w:tc>
      </w:tr>
      <w:tr w14:paraId="3193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DC15E2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cycle_number</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9AF816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int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03732D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1C9E80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0–1200</w:t>
            </w:r>
          </w:p>
        </w:tc>
      </w:tr>
      <w:tr w14:paraId="31A2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2212B1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soh_pct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DD75CE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709DDA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406064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86–100</w:t>
            </w:r>
          </w:p>
        </w:tc>
      </w:tr>
      <w:tr w14:paraId="2C3F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B90D65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internal_resistance_mOhm</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251F0E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5B5502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mΩ</w:t>
            </w:r>
          </w:p>
        </w:tc>
        <w:tc>
          <w:tcPr>
            <w:tcW w:w="15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78C788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5–120</w:t>
            </w:r>
          </w:p>
        </w:tc>
      </w:tr>
      <w:tr w14:paraId="4EC8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4ABE45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eis_impedance_1kHz_Ohm</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E86876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6FDB9A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Ω</w:t>
            </w:r>
          </w:p>
        </w:tc>
        <w:tc>
          <w:tcPr>
            <w:tcW w:w="15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F9C803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Synthesized (ECM model)</w:t>
            </w:r>
          </w:p>
        </w:tc>
      </w:tr>
      <w:tr w14:paraId="440D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112D34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voltage_OCV_V</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E38135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C2822C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w:t>
            </w:r>
          </w:p>
        </w:tc>
        <w:tc>
          <w:tcPr>
            <w:tcW w:w="15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91126A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3.2–4.2</w:t>
            </w:r>
          </w:p>
        </w:tc>
      </w:tr>
      <w:tr w14:paraId="5073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C76FD3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dod_pct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8E37A6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CF7784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C6B57C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0–100</w:t>
            </w:r>
          </w:p>
        </w:tc>
      </w:tr>
      <w:tr w14:paraId="054C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5863BE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c_rate_charge</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0740C5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93B127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w:t>
            </w:r>
          </w:p>
        </w:tc>
        <w:tc>
          <w:tcPr>
            <w:tcW w:w="152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34BC81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0.3–3.0</w:t>
            </w:r>
          </w:p>
        </w:tc>
      </w:tr>
      <w:tr w14:paraId="0E0F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6C4504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temperature_C</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3EFAB5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76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FCD393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w:t>
            </w:r>
          </w:p>
        </w:tc>
        <w:tc>
          <w:tcPr>
            <w:tcW w:w="152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295E98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−10 to 55</w:t>
            </w:r>
          </w:p>
        </w:tc>
      </w:tr>
    </w:tbl>
    <w:p w14:paraId="63249E0F">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Variable Dictionary </w:t>
      </w: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Energy Consumption</w:t>
      </w:r>
    </w:p>
    <w:p w14:paraId="543BF31B">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Table VIII. ev_energy_consumption.csv Key Variables.</w:t>
      </w:r>
    </w:p>
    <w:tbl>
      <w:tblPr>
        <w:tblStyle w:val="9"/>
        <w:tblW w:w="4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0"/>
        <w:gridCol w:w="559"/>
        <w:gridCol w:w="830"/>
        <w:gridCol w:w="1045"/>
      </w:tblGrid>
      <w:tr w14:paraId="1185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38EB4C5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Variable</w:t>
            </w:r>
          </w:p>
        </w:tc>
        <w:tc>
          <w:tcPr>
            <w:tcW w:w="6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5FB55B5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Type</w:t>
            </w:r>
          </w:p>
        </w:tc>
        <w:tc>
          <w:tcPr>
            <w:tcW w:w="680"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0FB5ADD">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Unit</w:t>
            </w:r>
          </w:p>
        </w:tc>
        <w:tc>
          <w:tcPr>
            <w:tcW w:w="1564" w:type="dxa"/>
            <w:tcBorders>
              <w:top w:val="single" w:color="AAAAAA" w:sz="0" w:space="0"/>
              <w:left w:val="single" w:color="AAAAAA" w:sz="0" w:space="0"/>
              <w:bottom w:val="single" w:color="AAAAAA" w:sz="0" w:space="0"/>
              <w:right w:val="single" w:color="AAAAAA" w:sz="0" w:space="0"/>
            </w:tcBorders>
            <w:shd w:val="clear" w:color="auto" w:fill="auto"/>
            <w:tcMar>
              <w:top w:w="60" w:type="dxa"/>
              <w:left w:w="80" w:type="dxa"/>
              <w:bottom w:w="60" w:type="dxa"/>
              <w:right w:w="80" w:type="dxa"/>
            </w:tcMar>
            <w:vAlign w:val="center"/>
          </w:tcPr>
          <w:p w14:paraId="0D58B728">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i w:val="0"/>
                <w:iCs w:val="0"/>
                <w:color w:val="000000" w:themeColor="text1"/>
                <w:sz w:val="18"/>
                <w:szCs w:val="18"/>
                <w14:textFill>
                  <w14:solidFill>
                    <w14:schemeClr w14:val="tx1"/>
                  </w14:solidFill>
                </w14:textFill>
              </w:rPr>
              <w:t>Range / Values</w:t>
            </w:r>
          </w:p>
        </w:tc>
      </w:tr>
      <w:tr w14:paraId="11AB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C8BA7E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vehicle_model</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1F15FF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70C95C5">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6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6FD9361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6 commercial models</w:t>
            </w:r>
          </w:p>
        </w:tc>
      </w:tr>
      <w:tr w14:paraId="7FAE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0B5521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road_type</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D23E0E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cat.</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92484D8">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w:t>
            </w:r>
          </w:p>
        </w:tc>
        <w:tc>
          <w:tcPr>
            <w:tcW w:w="15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1ACF3D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urban, highway, mixed, rural</w:t>
            </w:r>
          </w:p>
        </w:tc>
      </w:tr>
      <w:tr w14:paraId="4928B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3445B7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trip_distance_km</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81878C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058225A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km</w:t>
            </w:r>
          </w:p>
        </w:tc>
        <w:tc>
          <w:tcPr>
            <w:tcW w:w="156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B6E656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0.5–600</w:t>
            </w:r>
          </w:p>
        </w:tc>
      </w:tr>
      <w:tr w14:paraId="4FD8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64B5C5D">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avg_speed_kmh</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2CA4FE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37F00E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km/h</w:t>
            </w:r>
          </w:p>
        </w:tc>
        <w:tc>
          <w:tcPr>
            <w:tcW w:w="15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2AEE240">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5–180</w:t>
            </w:r>
          </w:p>
        </w:tc>
      </w:tr>
      <w:tr w14:paraId="0455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EAEF01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hvac_active</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94CC9C4">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int</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7A8E514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bool</w:t>
            </w:r>
          </w:p>
        </w:tc>
        <w:tc>
          <w:tcPr>
            <w:tcW w:w="156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1121608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 or 1</w:t>
            </w:r>
          </w:p>
        </w:tc>
      </w:tr>
      <w:tr w14:paraId="6BA1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D236B3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elevation_gain_m</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93975F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108C54A">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m</w:t>
            </w:r>
          </w:p>
        </w:tc>
        <w:tc>
          <w:tcPr>
            <w:tcW w:w="15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99D271C">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0–600</w:t>
            </w:r>
          </w:p>
        </w:tc>
      </w:tr>
      <w:tr w14:paraId="4374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4869B4A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net_energy_consumed_kWh</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2D2A11F">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F6673B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kWh</w:t>
            </w:r>
          </w:p>
        </w:tc>
        <w:tc>
          <w:tcPr>
            <w:tcW w:w="156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35BCCCC6">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0.1–80</w:t>
            </w:r>
          </w:p>
        </w:tc>
      </w:tr>
      <w:tr w14:paraId="635D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DAC8C93">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consumption_rate_kWh100km</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B64516B">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52832A7">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kWh/100 km</w:t>
            </w:r>
          </w:p>
        </w:tc>
        <w:tc>
          <w:tcPr>
            <w:tcW w:w="156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CD55959">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8–45</w:t>
            </w:r>
          </w:p>
        </w:tc>
      </w:tr>
      <w:tr w14:paraId="4254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E86AE0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regenerative_braking_kWh</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FFCAD91">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float</w:t>
            </w:r>
          </w:p>
        </w:tc>
        <w:tc>
          <w:tcPr>
            <w:tcW w:w="680"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52FD51D2">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kWh</w:t>
            </w:r>
          </w:p>
        </w:tc>
        <w:tc>
          <w:tcPr>
            <w:tcW w:w="1564" w:type="dxa"/>
            <w:tcBorders>
              <w:top w:val="single" w:color="AAAAAA" w:sz="0" w:space="0"/>
              <w:left w:val="single" w:color="AAAAAA" w:sz="0" w:space="0"/>
              <w:bottom w:val="single" w:color="AAAAAA" w:sz="0" w:space="0"/>
              <w:right w:val="single" w:color="AAAAAA" w:sz="0" w:space="0"/>
            </w:tcBorders>
            <w:shd w:val="clear" w:color="auto" w:fill="EBF0FA"/>
            <w:tcMar>
              <w:top w:w="60" w:type="dxa"/>
              <w:left w:w="80" w:type="dxa"/>
              <w:bottom w:w="60" w:type="dxa"/>
              <w:right w:w="80" w:type="dxa"/>
            </w:tcMar>
          </w:tcPr>
          <w:p w14:paraId="2AC5944E">
            <w:pPr>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0–20</w:t>
            </w:r>
          </w:p>
        </w:tc>
      </w:tr>
    </w:tbl>
    <w:p w14:paraId="25D89384">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Cross-Dataset Linkage Schema</w:t>
      </w:r>
    </w:p>
    <w:p w14:paraId="556AEF0D">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All three sub-datasets share the vehicle_id key (format: V00001–V05000), enabling relational joins for multi-domain analysis. The data_source column in each file (values: 'real_calibrated' or 'synthetic') enables selective filtering by data provenance. The recommended join schema is: degradation ← vehicle_id → charging ← vehicle_id → energy, allowing complete operational profiles to be assembled per vehicle across all three domains.</w:t>
      </w:r>
    </w:p>
    <w:p w14:paraId="1A505A58">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INSIGHTS AND NOTES</w:t>
      </w:r>
    </w:p>
    <w:p w14:paraId="0F01183D">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Charging Behavior Insights</w:t>
      </w:r>
    </w:p>
    <w:p w14:paraId="3BE829FE">
      <w:pPr>
        <w:spacing w:before="80" w:after="8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Analysis of the charging sub-dataset reveals several practically significant patterns:</w:t>
      </w:r>
    </w:p>
    <w:p w14:paraId="370AA551">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DC Fast charging sessions exhibit a bimodal duration distribution: a short-session cluster (median 22 min) at highway corridor stations and a medium-session cluster (median 44 min) at urban public stations, likely reflecting 80% SOC target charging strategies in practice.</w:t>
      </w:r>
    </w:p>
    <w:p w14:paraId="08FE8507">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AC L2 home charging sessions show the longest median duration (4.2 h) and the lowest cost per kWh delivered ($0.12–$0.18/kWh), making home charging the dominant lowest-cost option for commuter and scheduled archetype users.</w:t>
      </w:r>
    </w:p>
    <w:p w14:paraId="6936EB27">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Range-anxious users initiate charging at a mean SOC of 22% versus 45% for scheduled users and exhibit a 2.3× higher fraction of DC Fast sessions (62% vs 27%), creating a distinct demand spike profile relevant to grid planning.</w:t>
      </w:r>
    </w:p>
    <w:p w14:paraId="7BE7B102">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Seasonal variation is prominent: December and January sessions show 15–22% higher energy delivered per session compared to summer months, consistent with reduced battery efficiency and increased HVAC preconditioning demand at low ambient temperatures.</w:t>
      </w:r>
    </w:p>
    <w:p w14:paraId="114A94CF">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Battery Degradation Insights</w:t>
      </w:r>
    </w:p>
    <w:p w14:paraId="2FCB5387">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NMC chemistry exhibits the fastest mean capacity fade rate (0.009%/EFC), followed by NCA (0.008%/EFC) and LFP (0.006%/EFC), consistent with published literature on calendar and cycle aging mechanisms [3,12].</w:t>
      </w:r>
    </w:p>
    <w:p w14:paraId="1C296CC8">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 xml:space="preserve">EIS impedance at 1 kHz shows a strong negative linear correlation with SOH (Pearson r = −0.87, p &lt; 0.001), confirming the value of EIS as a non-invasive health indicator even under field temperature variation </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a key result for onboard BMS design.</w:t>
      </w:r>
    </w:p>
    <w:p w14:paraId="457C3536">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Combined high C-rate charging (&gt;2C) with low ambient temperature (&lt;5 °C) accelerates degradation by an estimated 15–22% in the synthesized data, modeled through interaction terms in the SOH computation, consistent with lithium plating mechanisms in NMC cells [3].</w:t>
      </w:r>
    </w:p>
    <w:p w14:paraId="771D5988">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Internal resistance shows a stronger correlation to cycle number than SOH for LFP chemistry (r = 0.91 vs r = 0.82 respectively), suggesting resistance-based SOH proxies may be more reliable for LFP BMS implementations.</w:t>
      </w:r>
    </w:p>
    <w:p w14:paraId="7E081D60">
      <w:pPr>
        <w:pStyle w:val="3"/>
        <w:spacing w:before="160" w:after="8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i/>
          <w:iCs/>
          <w:color w:val="000000" w:themeColor="text1"/>
          <w:sz w:val="20"/>
          <w:szCs w:val="20"/>
          <w14:textFill>
            <w14:solidFill>
              <w14:schemeClr w14:val="tx1"/>
            </w14:solidFill>
          </w14:textFill>
        </w:rPr>
        <w:t xml:space="preserve"> Energy Consumption Insights</w:t>
      </w:r>
    </w:p>
    <w:p w14:paraId="6C6CA19B">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HVAC activation at ambient temperatures below 8 °C or above 26 °C adds 12–27% to net energy consumption. Heating loads exceed cooling loads by approximately 1.8× at equivalent temperature deltas from the comfort zone, attributable to resistive heating vs. heat pump efficiency differences.</w:t>
      </w:r>
    </w:p>
    <w:p w14:paraId="1A638065">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Highway trips at average speeds exceeding 110 km/h show a clear quadratic increase in energy consumption (R² = 0.94 fit to the speed-squared aerodynamic drag term), with consumption at 130 km/h averaging 28% higher than at 100 km/h for the same vehicle.</w:t>
      </w:r>
    </w:p>
    <w:p w14:paraId="73ADED79">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Regenerative braking recovers an average of 14.2% of gross energy in urban driving versus 5.8% on highways, providing an 8.4 percentage-point advantage for urban operation and a strong signal for route planning and eco-driving optimization algorithms.</w:t>
      </w:r>
    </w:p>
    <w:p w14:paraId="18A1ADFE">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Tesla Model 3 (75 kWh, Cd = 0.23) demonstrates the lowest consumption rate across all road types (mean 15.8 kWh/100 km), while the BMW iX3 (80 kWh, Cd = 0.29) shows the highest (mean 21.4 kWh/100 km at highway speeds), validating the aerodynamic coefficient's dominant role at highway speeds.</w:t>
      </w:r>
    </w:p>
    <w:p w14:paraId="1A21905A">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i/>
          <w:iCs/>
          <w:color w:val="000000" w:themeColor="text1"/>
          <w:sz w:val="20"/>
          <w:szCs w:val="20"/>
          <w:lang w:val="en-US"/>
          <w14:textFill>
            <w14:solidFill>
              <w14:schemeClr w14:val="tx1"/>
            </w14:solidFill>
          </w14:textFill>
        </w:rPr>
        <w:t xml:space="preserve"> </w:t>
      </w:r>
      <w:r>
        <w:rPr>
          <w:rFonts w:hint="default" w:ascii="Times New Roman" w:hAnsi="Times New Roman" w:eastAsia="Arial" w:cs="Times New Roman"/>
          <w:b/>
          <w:bCs/>
          <w:color w:val="000000" w:themeColor="text1"/>
          <w:sz w:val="22"/>
          <w:szCs w:val="22"/>
          <w14:textFill>
            <w14:solidFill>
              <w14:schemeClr w14:val="tx1"/>
            </w14:solidFill>
          </w14:textFill>
        </w:rPr>
        <w:t>SOURCE CODE AND SCRIPTS</w:t>
      </w:r>
    </w:p>
    <w:p w14:paraId="0139072E">
      <w:pPr>
        <w:spacing w:before="80" w:after="80" w:line="276" w:lineRule="auto"/>
        <w:jc w:val="distribute"/>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All code is deposited alongside the dataset on IEEE DataPort</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and maintained at </w:t>
      </w:r>
      <w:r>
        <w:rPr>
          <w:rFonts w:hint="default" w:ascii="Times New Roman" w:hAnsi="Times New Roman" w:eastAsia="Arial" w:cs="Times New Roman"/>
          <w:b w:val="0"/>
          <w:bCs w:val="0"/>
          <w:i w:val="0"/>
          <w:iCs w:val="0"/>
          <w:color w:val="000000"/>
          <w:sz w:val="20"/>
          <w:szCs w:val="20"/>
        </w:rPr>
        <w:t>https://github.com/wizjatelo/evdataset.git</w:t>
      </w:r>
      <w:r>
        <w:rPr>
          <w:rFonts w:hint="default" w:ascii="Times New Roman" w:hAnsi="Times New Roman" w:eastAsia="Arial" w:cs="Times New Roman"/>
          <w:b w:val="0"/>
          <w:bCs w:val="0"/>
          <w:i w:val="0"/>
          <w:iCs w:val="0"/>
          <w:color w:val="000000"/>
          <w:sz w:val="20"/>
          <w:szCs w:val="20"/>
        </w:rPr>
        <w:t>.The codebase is licensed under the MIT License and requires Python ≥ 3.10 with the following dependencies: numpy ≥ 1.24, pandas ≥ 2.0, scipy ≥ 1.11, scikit-learn ≥ 1.3, xgboost ≥ 2.0, and tensorflow ≥ 2.14.</w:t>
      </w:r>
    </w:p>
    <w:p w14:paraId="14D4D766">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generate_datasets.py</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Full hybrid dataset synthesis pipeline implementing all physics-informed models, distribution calibrations, and data_source labeling. Fully reproducible with a fixed random seed (seed=42). Runtime: ~45 seconds.</w:t>
      </w:r>
    </w:p>
    <w:p w14:paraId="433F0676">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validate_datasets.py</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Automated quality suite performing all five validation stages (completeness, range, logic, temporal, statistical plausibility) and generating a structured validation report in JSON and CSV formats.</w:t>
      </w:r>
    </w:p>
    <w:p w14:paraId="1D63D16B">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benchmark_models.ipynb</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Jupyter notebook implementing LSTM charging forecast, XGBoost SOH estimator, Random Forest consumption model, and K-Means behavioral clustering with full hyperparameter documentation and reproducible train/test splits.</w:t>
      </w:r>
    </w:p>
    <w:p w14:paraId="2D968E5B">
      <w:pPr>
        <w:pStyle w:val="19"/>
        <w:numPr>
          <w:ilvl w:val="0"/>
          <w:numId w:val="1"/>
        </w:numPr>
        <w:spacing w:before="40" w:after="40" w:line="276"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 xml:space="preserve">README.md </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 xml:space="preserve"> Complete variable dictionary, metadata YAML schema, cross-dataset linkage documentation, and citation guide for all calibration sources.</w:t>
      </w:r>
    </w:p>
    <w:p w14:paraId="21B936AE">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ACKNOWLEDGEMENTS AND INTERESTS</w:t>
      </w:r>
    </w:p>
    <w:p w14:paraId="2CEF498D">
      <w:pPr>
        <w:spacing w:before="80" w:after="80" w:line="276" w:lineRule="auto"/>
        <w:jc w:val="both"/>
        <w:rPr>
          <w:rFonts w:hint="default" w:ascii="Times New Roman" w:hAnsi="Times New Roman" w:eastAsia="Arial" w:cs="Times New Roman"/>
          <w:b w:val="0"/>
          <w:bCs w:val="0"/>
          <w:i w:val="0"/>
          <w:iCs w:val="0"/>
          <w:color w:val="000000"/>
          <w:sz w:val="20"/>
          <w:szCs w:val="20"/>
        </w:rPr>
      </w:pPr>
      <w:r>
        <w:rPr>
          <w:rFonts w:hint="default" w:ascii="Times New Roman" w:hAnsi="Times New Roman" w:eastAsia="Arial" w:cs="Times New Roman"/>
          <w:b w:val="0"/>
          <w:bCs w:val="0"/>
          <w:i w:val="0"/>
          <w:iCs w:val="0"/>
          <w:color w:val="000000"/>
          <w:sz w:val="20"/>
          <w:szCs w:val="20"/>
        </w:rPr>
        <w:t>The author</w:t>
      </w:r>
      <w:r>
        <w:rPr>
          <w:rFonts w:hint="default" w:ascii="Times New Roman" w:hAnsi="Times New Roman" w:cs="Times New Roman"/>
          <w:b w:val="0"/>
          <w:bCs w:val="0"/>
          <w:i w:val="0"/>
          <w:iCs w:val="0"/>
          <w:color w:val="000000"/>
          <w:sz w:val="20"/>
          <w:szCs w:val="20"/>
          <w:lang w:val="en-US"/>
        </w:rPr>
        <w:t xml:space="preserve"> </w:t>
      </w:r>
      <w:r>
        <w:rPr>
          <w:rFonts w:hint="default" w:ascii="Times New Roman" w:hAnsi="Times New Roman" w:eastAsia="Arial" w:cs="Times New Roman"/>
          <w:b w:val="0"/>
          <w:bCs w:val="0"/>
          <w:i w:val="0"/>
          <w:iCs w:val="0"/>
          <w:color w:val="000000"/>
          <w:sz w:val="20"/>
          <w:szCs w:val="20"/>
        </w:rPr>
        <w:t>gratefully acknowledge the open-source dataset publishers whose calibration data underpins this work: the EPFL DESL group (Switzerland), the IntelligentSystemsLab (UrbanEV/ST-EVCDP, Shenzhen), the City of Boulder Open Data Portal (CO, USA), the NASA Prognostics Center of Excellence (PCoE), the CALCE Battery Research Group at the University of Maryland, the NMC/C-SiO dataset team at RWTH Aachen University, the emobpy development team (DIW Berlin), and the MDPI Energies Thailand BEV study authors. No conflicts of interest are declared. This work received no external funding.</w:t>
      </w:r>
    </w:p>
    <w:p w14:paraId="0F0A10EB">
      <w:pPr>
        <w:spacing w:before="80" w:after="80" w:line="276" w:lineRule="auto"/>
        <w:jc w:val="both"/>
        <w:rPr>
          <w:rFonts w:hint="default" w:ascii="Times New Roman" w:hAnsi="Times New Roman" w:eastAsia="Arial" w:cs="Times New Roman"/>
          <w:b w:val="0"/>
          <w:bCs w:val="0"/>
          <w:i w:val="0"/>
          <w:iCs w:val="0"/>
          <w:color w:val="000000"/>
          <w:sz w:val="20"/>
          <w:szCs w:val="20"/>
        </w:rPr>
      </w:pPr>
    </w:p>
    <w:p w14:paraId="4C91FB3F">
      <w:pPr>
        <w:pStyle w:val="2"/>
        <w:pBdr>
          <w:bottom w:val="single" w:color="2E5496" w:sz="4" w:space="2"/>
        </w:pBdr>
        <w:spacing w:before="220" w:after="1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REFERENCES</w:t>
      </w:r>
    </w:p>
    <w:p w14:paraId="539B3182">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 IEA. (2024). Global EV Outlook 2024. International Energy Agency, Paris.</w:t>
      </w:r>
    </w:p>
    <w:p w14:paraId="41152735">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[2] Clement-Nyns, K., Haesen, E., &amp; Driesen, J. (2010). The impact of charging plug-in hybrid electric vehicles on a residential distribution grid. IEEE Trans. Power Syst., 25(1), 371–380.</w:t>
      </w:r>
    </w:p>
    <w:p w14:paraId="4D5A8685">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[3] Severson, K.A., et al. (2019). Data-driven prediction of battery cycle life before capacity degradation. Nature Energy, 4, 383–391.</w:t>
      </w:r>
    </w:p>
    <w:p w14:paraId="189DBFAC">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[4] Attia, P.M., et al. (2020). Closed-loop optimization of fast-charging protocols for batteries with machine learning. Nature, 578, 397–402.</w:t>
      </w:r>
    </w:p>
    <w:p w14:paraId="5871411A">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[5] Galvin, R. (2017). Real-world driving cycles and energy consumption in German car fleets. Transport Policy, 59, 100–108.</w:t>
      </w:r>
    </w:p>
    <w:p w14:paraId="0FB43F40">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[6] Zhao, X., et al. (2023). A comprehensive review on real-world driving energy consumption of battery electric vehicles. Renewable and Sustainable Energy Reviews, 183, 113391.</w:t>
      </w:r>
    </w:p>
    <w:p w14:paraId="38CD27B9">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[7] DESL-EPFL. (2023). Level-3 EV Charging Station Dataset. https://github.com/DESL-EPFL/Level-3-EV-charging-dataset. CC BY 4.0.</w:t>
      </w:r>
    </w:p>
    <w:p w14:paraId="3254BFC2">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[8] Li, H., et al. (2025). UrbanEV: An open benchmark dataset for urban EV charging demand prediction. Scientific Data, 12, 523. https://doi.org/10.1038/s41597-025-04877-3</w:t>
      </w:r>
    </w:p>
    <w:p w14:paraId="4B5D5BA6">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[9] City of Boulder. (2023). Electric Vehicle Charging Station Energy Usage. Boulder Open Data Portal. https://open-data.bouldercolorado.gov</w:t>
      </w:r>
    </w:p>
    <w:p w14:paraId="1CCC20F6">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[10] Saha, B., &amp; Goebel, K. (2007). Battery Data Set. NASA PCoE Data Repository. https://data.nasa.gov/dataset/li-ion-battery-aging-datasets</w:t>
      </w:r>
    </w:p>
    <w:p w14:paraId="34D87977">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[11] He, W., Williard, N., Osterman, M., &amp; Pecht, M. (2011). Prognostics of lithium-ion batteries based on Dempster-Shafer theory and the Bayesian Monte Carlo method. J. Power Sources, 196(23), 10314–10321.</w:t>
      </w:r>
    </w:p>
    <w:p w14:paraId="50F71EE1">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[12] Preger, Y., et al. (2024). Comprehensive battery aging dataset: capacity and impedance fade of NMC/C-SiO cells. Scientific Data. https://doi.org/10.1038/s41597-024-03831-x</w:t>
      </w:r>
    </w:p>
    <w:p w14:paraId="3367F117">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[13] Gaete-Morales, C., et al. (2021). An open tool for creating battery-electric vehicle time series from empirical data, emobpy. Scientific Data, 8, 152. https://doi.org/10.1038/s41597-021-00932-9</w:t>
      </w:r>
    </w:p>
    <w:p w14:paraId="2753350D">
      <w:pPr>
        <w:spacing w:before="40" w:after="40" w:line="264" w:lineRule="auto"/>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18"/>
          <w:szCs w:val="18"/>
        </w:rPr>
        <w:t>[14] Chua, P., et al. (2023). Estimating energy consumption of commercial BEVs in Thailand. MDPI Energies, 16(17), 6351. https://doi.org/10.3390/en161763</w:t>
      </w:r>
      <w:bookmarkStart w:id="0" w:name="_GoBack"/>
      <w:bookmarkEnd w:id="0"/>
      <w:r>
        <w:rPr>
          <w:rFonts w:hint="default" w:ascii="Times New Roman" w:hAnsi="Times New Roman" w:eastAsia="Arial" w:cs="Times New Roman"/>
          <w:b w:val="0"/>
          <w:bCs w:val="0"/>
          <w:i w:val="0"/>
          <w:iCs w:val="0"/>
          <w:color w:val="000000"/>
          <w:sz w:val="18"/>
          <w:szCs w:val="18"/>
        </w:rPr>
        <w:t>51</w:t>
      </w:r>
    </w:p>
    <w:sectPr>
      <w:headerReference r:id="rId3" w:type="default"/>
      <w:footerReference r:id="rId4" w:type="default"/>
      <w:pgSz w:w="12240" w:h="15840"/>
      <w:pgMar w:top="1080" w:right="1008" w:bottom="1080" w:left="1008" w:header="708" w:footer="708" w:gutter="0"/>
      <w:cols w:space="576"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40F45">
    <w:pPr>
      <w:jc w:val="center"/>
    </w:pPr>
    <w:r>
      <w:rPr>
        <w:rFonts w:ascii="Arial" w:hAnsi="Arial" w:eastAsia="Arial" w:cs="Arial"/>
        <w:b w:val="0"/>
        <w:bCs w:val="0"/>
        <w:i w:val="0"/>
        <w:iCs w:val="0"/>
        <w:color w:val="777777"/>
        <w:sz w:val="18"/>
        <w:szCs w:val="18"/>
      </w:rPr>
      <w:t xml:space="preserve">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PAGE</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r>
      <w:rPr>
        <w:rFonts w:ascii="Arial" w:hAnsi="Arial" w:eastAsia="Arial" w:cs="Arial"/>
        <w:b w:val="0"/>
        <w:bCs w:val="0"/>
        <w:i w:val="0"/>
        <w:iCs w:val="0"/>
        <w:color w:val="777777"/>
        <w:sz w:val="18"/>
        <w:szCs w:val="18"/>
      </w:rPr>
      <w:t xml:space="preserve">  |  CC BY 4.0  |  </w:t>
    </w:r>
    <w:r>
      <w:rPr>
        <w:rFonts w:hint="default" w:cs="Arial"/>
        <w:b w:val="0"/>
        <w:bCs w:val="0"/>
        <w:i w:val="0"/>
        <w:iCs w:val="0"/>
        <w:color w:val="777777"/>
        <w:sz w:val="18"/>
        <w:szCs w:val="18"/>
        <w:lang w:val="en-US"/>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D76C0">
    <w:pPr>
      <w:pBdr>
        <w:bottom w:val="single" w:color="AAAAAA" w:sz="2" w:space="2"/>
      </w:pBdr>
      <w:jc w:val="right"/>
    </w:pPr>
    <w:r>
      <w:rPr>
        <w:rFonts w:ascii="Arial" w:hAnsi="Arial" w:eastAsia="Arial" w:cs="Arial"/>
        <w:b w:val="0"/>
        <w:bCs w:val="0"/>
        <w:i w:val="0"/>
        <w:iCs w:val="0"/>
        <w:color w:val="888888"/>
        <w:sz w:val="18"/>
        <w:szCs w:val="18"/>
      </w:rPr>
      <w:t>EV-HybridDataset-202</w:t>
    </w:r>
    <w:r>
      <w:rPr>
        <w:rFonts w:hint="default" w:cs="Arial"/>
        <w:b w:val="0"/>
        <w:bCs w:val="0"/>
        <w:i w:val="0"/>
        <w:iCs w:val="0"/>
        <w:color w:val="888888"/>
        <w:sz w:val="18"/>
        <w:szCs w:val="18"/>
        <w:lang w:val="en-US"/>
      </w:rPr>
      <w:t>6</w:t>
    </w:r>
    <w:r>
      <w:rPr>
        <w:rFonts w:ascii="Arial" w:hAnsi="Arial" w:eastAsia="Arial" w:cs="Arial"/>
        <w:b w:val="0"/>
        <w:bCs w:val="0"/>
        <w:i w:val="0"/>
        <w:iCs w:val="0"/>
        <w:color w:val="888888"/>
        <w:sz w:val="18"/>
        <w:szCs w:val="18"/>
      </w:rPr>
      <w:t xml:space="preserve"> | IEEE Data Descriptions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80" w:hanging="240"/>
      </w:pPr>
    </w:lvl>
    <w:lvl w:ilvl="1" w:tentative="0">
      <w:start w:val="1"/>
      <w:numFmt w:val="bullet"/>
      <w:lvlText w:val="◦"/>
      <w:lvlJc w:val="left"/>
      <w:pPr>
        <w:ind w:left="800" w:hanging="240"/>
      </w:pPr>
    </w:lvl>
  </w:abstractNum>
  <w:abstractNum w:abstractNumId="1">
    <w:nsid w:val="25B654F3"/>
    <w:multiLevelType w:val="singleLevel"/>
    <w:tmpl w:val="25B654F3"/>
    <w:lvl w:ilvl="0" w:tentative="0">
      <w:start w:val="1"/>
      <w:numFmt w:val="decimal"/>
      <w:lvlText w:val="%1."/>
      <w:lvlJc w:val="left"/>
      <w:pPr>
        <w:ind w:left="480" w:hanging="2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795161"/>
    <w:rsid w:val="108136B5"/>
    <w:rsid w:val="118C0FD9"/>
    <w:rsid w:val="11F2677F"/>
    <w:rsid w:val="11F41C82"/>
    <w:rsid w:val="13232374"/>
    <w:rsid w:val="13B0545B"/>
    <w:rsid w:val="14AE4079"/>
    <w:rsid w:val="170532D4"/>
    <w:rsid w:val="1967503C"/>
    <w:rsid w:val="24D523A7"/>
    <w:rsid w:val="28B7590C"/>
    <w:rsid w:val="2B7B1B9A"/>
    <w:rsid w:val="2D1A508D"/>
    <w:rsid w:val="2FC05773"/>
    <w:rsid w:val="311B67C2"/>
    <w:rsid w:val="320A79C0"/>
    <w:rsid w:val="36E8167B"/>
    <w:rsid w:val="3F6B5F18"/>
    <w:rsid w:val="48EC5B2F"/>
    <w:rsid w:val="4A4A2E71"/>
    <w:rsid w:val="4FC54234"/>
    <w:rsid w:val="506F6F85"/>
    <w:rsid w:val="528F117E"/>
    <w:rsid w:val="570D35E1"/>
    <w:rsid w:val="588C39B2"/>
    <w:rsid w:val="5CDF3DD1"/>
    <w:rsid w:val="62B935EB"/>
    <w:rsid w:val="639B44B7"/>
    <w:rsid w:val="67A45F44"/>
    <w:rsid w:val="6E586C17"/>
    <w:rsid w:val="76B80955"/>
    <w:rsid w:val="78D5544C"/>
    <w:rsid w:val="7C862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20" w:after="100"/>
      <w:outlineLvl w:val="0"/>
    </w:pPr>
    <w:rPr>
      <w:rFonts w:ascii="Arial" w:hAnsi="Arial" w:eastAsia="Arial" w:cs="Arial"/>
      <w:b/>
      <w:bCs/>
      <w:color w:val="1F3864"/>
      <w:sz w:val="22"/>
      <w:szCs w:val="22"/>
    </w:rPr>
  </w:style>
  <w:style w:type="paragraph" w:styleId="3">
    <w:name w:val="heading 2"/>
    <w:next w:val="1"/>
    <w:qFormat/>
    <w:uiPriority w:val="0"/>
    <w:pPr>
      <w:spacing w:before="160" w:after="80"/>
      <w:outlineLvl w:val="1"/>
    </w:pPr>
    <w:rPr>
      <w:rFonts w:ascii="Arial" w:hAnsi="Arial" w:eastAsia="Arial" w:cs="Arial"/>
      <w:b/>
      <w:bCs/>
      <w:i/>
      <w:iCs/>
      <w:color w:val="2E5496"/>
      <w:sz w:val="20"/>
      <w:szCs w:val="20"/>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0"/>
      <w:szCs w:val="20"/>
    </w:rPr>
  </w:style>
  <w:style w:type="character" w:customStyle="1" w:styleId="20">
    <w:name w:val="Foot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188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2026-02-28T07:47:00Z</dcterms:created>
  <dc:creator>Un-named</dc:creator>
  <cp:lastModifiedBy>WPS_1745610363</cp:lastModifiedBy>
  <dcterms:modified xsi:type="dcterms:W3CDTF">2026-02-28T17:29:20Z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3D4B3E1677134F7DBFE2C6227281425C_12</vt:lpwstr>
  </property>
</Properties>
</file>