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ThrushCross Verify</w:t>
      </w:r>
    </w:p>
    <w:p>
      <w:pPr>
        <w:pStyle w:val="Subtitle"/>
      </w:pPr>
      <w:r>
        <w:t>Site Structure &amp; Gap Analysis — July 2026</w:t>
      </w:r>
    </w:p>
    <w:p>
      <w:pPr>
        <w:pStyle w:val="Heading1"/>
      </w:pPr>
      <w:r>
        <w:t>Executive Summary</w:t>
      </w:r>
    </w:p>
    <w:p>
      <w:r>
        <w:t>ThrushCross Verify is a Next.js 14 application deployed on Cloudflare Pages with a Supabase backend, built to help U.S. importers manage FSVP (Foreign Supplier Verification Program) compliance across suppliers, facilities, products, evidence, and audit-ready records. The core compliance workflow — supplier management, facility/product tracking, evidence collection, a rules-driven readiness &amp; scoring engine, and a full FSVP record lifecycle (hazard analysis, verification, approval, reassessment) — is genuinely well built: consistent, thoughtfully modeled, and backed by a clean scoring engine.</w:t>
      </w:r>
    </w:p>
    <w:p>
      <w:r>
        <w:t>The gaps are concentrated in three areas: (1) reliability plumbing that a compliance tool cannot skip — no loading states and no error boundaries anywhere in the app; (2) unfinished edges that are visible to users today — dead buttons, a placeholder contact page, a decorative marketing menu, and a duplicated review-queue screen; and (3) accumulated debt — roughly fifty unused legacy database tables, orphaned demo/mock data files, and navigation/access-control rules that are hand-synchronized across three different places in the code. None of this is a rebuild. It is a focused cleanup-and-hardening pass that will make the product feel finished and reduce the risk of silent failures in a tool whose entire job is producing a defensible compliance record.</w:t>
      </w:r>
    </w:p>
    <w:p>
      <w:r>
        <w:t>This report documents the current structure of the site (Section 1), lays out the gaps found in order of priority (Section 2), and closes with a phased plan to get to a streamlined, professional, production-grade product (Section 3).</w:t>
      </w:r>
    </w:p>
    <w:p>
      <w:pPr>
        <w:pStyle w:val="Heading1"/>
      </w:pPr>
      <w:r>
        <w:t>1. Current Site Structure</w:t>
      </w:r>
    </w:p>
    <w:p>
      <w:pPr>
        <w:pStyle w:val="Heading2"/>
      </w:pPr>
      <w:r>
        <w:t>1.1 Public / Marketing Pages</w:t>
      </w:r>
    </w:p>
    <w:p>
      <w:r>
        <w:t>A small set of unauthenticated pages introduce the product and handle authentication:</w:t>
      </w:r>
    </w:p>
    <w:tbl>
      <w:tblPr>
        <w:tblStyle w:val="ReportTable"/>
        <w:tblW w:w="9360" w:type="dxa"/>
        <w:tblLook w:val="04A0"/>
      </w:tblPr>
      <w:tblGrid>
        <w:gridCol w:w="1500"/>
        <w:gridCol w:w="7860"/>
      </w:tblGrid>
      <w:tr>
        <w:tc>
          <w:tcPr>
            <w:tcW w:w="1500" w:type="dxa"/>
            <w:shd w:val="clear" w:fill="1F3B57"/>
          </w:tcPr>
          <w:p>
            <w:r>
              <w:rPr>
                <w:b/>
                <w:color w:val="FFFFFF"/>
              </w:rPr>
              <w:t>Route</w:t>
            </w:r>
          </w:p>
        </w:tc>
        <w:tc>
          <w:tcPr>
            <w:tcW w:w="7860" w:type="dxa"/>
            <w:shd w:val="clear" w:fill="1F3B57"/>
          </w:tcPr>
          <w:p>
            <w:r>
              <w:rPr>
                <w:b/>
                <w:color w:val="FFFFFF"/>
              </w:rPr>
              <w:t>Purpose</w:t>
            </w:r>
          </w:p>
        </w:tc>
      </w:tr>
      <w:tr>
        <w:tc>
          <w:tcPr>
            <w:tcW w:w="1500" w:type="dxa"/>
          </w:tcPr>
          <w:p>
            <w:r>
              <w:rPr>
                <w:rStyle w:val="Mono"/>
              </w:rPr>
              <w:t>/</w:t>
            </w:r>
          </w:p>
        </w:tc>
        <w:tc>
          <w:tcPr>
            <w:tcW w:w="7860" w:type="dxa"/>
          </w:tcPr>
          <w:p>
            <w:r>
              <w:t>Marketing landing/hero page with feature highlights, stats, and a call to action into /dashboard.</w:t>
            </w:r>
          </w:p>
        </w:tc>
      </w:tr>
      <w:tr>
        <w:tc>
          <w:tcPr>
            <w:tcW w:w="1500" w:type="dxa"/>
          </w:tcPr>
          <w:p>
            <w:r>
              <w:rPr>
                <w:rStyle w:val="Mono"/>
              </w:rPr>
              <w:t>/about</w:t>
            </w:r>
          </w:p>
        </w:tc>
        <w:tc>
          <w:tcPr>
            <w:tcW w:w="7860" w:type="dxa"/>
          </w:tcPr>
          <w:p>
            <w:r>
              <w:t>Static one-paragraph platform description.</w:t>
            </w:r>
          </w:p>
        </w:tc>
      </w:tr>
      <w:tr>
        <w:tc>
          <w:tcPr>
            <w:tcW w:w="1500" w:type="dxa"/>
          </w:tcPr>
          <w:p>
            <w:r>
              <w:rPr>
                <w:rStyle w:val="Mono"/>
              </w:rPr>
              <w:t>/contact</w:t>
            </w:r>
          </w:p>
        </w:tc>
        <w:tc>
          <w:tcPr>
            <w:tcW w:w="7860" w:type="dxa"/>
          </w:tcPr>
          <w:p>
            <w:r>
              <w:t>Placeholder only — the page text itself says to configure a support mailbox once the deployment organization is finalized. No form, no working contact method.</w:t>
            </w:r>
          </w:p>
        </w:tc>
      </w:tr>
      <w:tr>
        <w:tc>
          <w:tcPr>
            <w:tcW w:w="1500" w:type="dxa"/>
          </w:tcPr>
          <w:p>
            <w:r>
              <w:rPr>
                <w:rStyle w:val="Mono"/>
              </w:rPr>
              <w:t>/login, /signup, /forgot-password, /reset-password</w:t>
            </w:r>
          </w:p>
        </w:tc>
        <w:tc>
          <w:tcPr>
            <w:tcW w:w="7860" w:type="dxa"/>
          </w:tcPr>
          <w:p>
            <w:r>
              <w:t>Standard Supabase-backed auth forms, including password-reset session handling.</w:t>
            </w:r>
          </w:p>
        </w:tc>
      </w:tr>
      <w:tr>
        <w:tc>
          <w:tcPr>
            <w:tcW w:w="1500" w:type="dxa"/>
          </w:tcPr>
          <w:p>
            <w:r>
              <w:rPr>
                <w:rStyle w:val="Mono"/>
              </w:rPr>
              <w:t>/verified, /pending-approval, /accept-invite</w:t>
            </w:r>
          </w:p>
        </w:tc>
        <w:tc>
          <w:tcPr>
            <w:tcW w:w="7860" w:type="dxa"/>
          </w:tcPr>
          <w:p>
            <w:r>
              <w:t>Post-verification confirmation, an approval-pending holding screen for new importer accounts, and the supplier/exporter invite-acceptance flow.</w:t>
            </w:r>
          </w:p>
        </w:tc>
      </w:tr>
    </w:tbl>
    <w:p>
      <w:pPr>
        <w:pStyle w:val="Heading2"/>
      </w:pPr>
      <w:r>
        <w:t>1.2 Authenticated Application</w:t>
      </w:r>
    </w:p>
    <w:p>
      <w:r>
        <w:t>Role gating is applied at two layers — route-prefix rules in middleware and a per-page role check — with administrators always able to bypass restrictions for support/QA purposes. The main authenticated surface:</w:t>
      </w:r>
    </w:p>
    <w:tbl>
      <w:tblPr>
        <w:tblStyle w:val="ReportTable"/>
        <w:tblW w:w="9360" w:type="dxa"/>
        <w:tblLook w:val="04A0"/>
      </w:tblPr>
      <w:tblGrid>
        <w:gridCol w:w="1500"/>
        <w:gridCol w:w="1900"/>
        <w:gridCol w:w="5960"/>
      </w:tblGrid>
      <w:tr>
        <w:tc>
          <w:tcPr>
            <w:tcW w:w="1500" w:type="dxa"/>
            <w:shd w:val="clear" w:fill="1F3B57"/>
          </w:tcPr>
          <w:p>
            <w:r>
              <w:rPr>
                <w:b/>
                <w:color w:val="FFFFFF"/>
              </w:rPr>
              <w:t>Route</w:t>
            </w:r>
          </w:p>
        </w:tc>
        <w:tc>
          <w:tcPr>
            <w:tcW w:w="1900" w:type="dxa"/>
            <w:shd w:val="clear" w:fill="1F3B57"/>
          </w:tcPr>
          <w:p>
            <w:r>
              <w:rPr>
                <w:b/>
                <w:color w:val="FFFFFF"/>
              </w:rPr>
              <w:t>Who sees it</w:t>
            </w:r>
          </w:p>
        </w:tc>
        <w:tc>
          <w:tcPr>
            <w:tcW w:w="5960" w:type="dxa"/>
            <w:shd w:val="clear" w:fill="1F3B57"/>
          </w:tcPr>
          <w:p>
            <w:r>
              <w:rPr>
                <w:b/>
                <w:color w:val="FFFFFF"/>
              </w:rPr>
              <w:t>What it does</w:t>
            </w:r>
          </w:p>
        </w:tc>
      </w:tr>
      <w:tr>
        <w:tc>
          <w:tcPr>
            <w:tcW w:w="1500" w:type="dxa"/>
          </w:tcPr>
          <w:p>
            <w:r>
              <w:rPr>
                <w:rStyle w:val="Mono"/>
              </w:rPr>
              <w:t>/dashboard</w:t>
            </w:r>
          </w:p>
        </w:tc>
        <w:tc>
          <w:tcPr>
            <w:tcW w:w="1900" w:type="dxa"/>
          </w:tcPr>
          <w:p>
            <w:r>
              <w:t>All roles</w:t>
            </w:r>
          </w:p>
        </w:tc>
        <w:tc>
          <w:tcPr>
            <w:tcW w:w="5960" w:type="dxa"/>
          </w:tcPr>
          <w:p>
            <w:r>
              <w:t>Role-branching home view (separate exporter, manufacturer, importer, and reviewer dashboards).</w:t>
            </w:r>
          </w:p>
        </w:tc>
      </w:tr>
      <w:tr>
        <w:tc>
          <w:tcPr>
            <w:tcW w:w="1500" w:type="dxa"/>
          </w:tcPr>
          <w:p>
            <w:r>
              <w:rPr>
                <w:rStyle w:val="Mono"/>
              </w:rPr>
              <w:t>/account</w:t>
            </w:r>
          </w:p>
        </w:tc>
        <w:tc>
          <w:tcPr>
            <w:tcW w:w="1900" w:type="dxa"/>
          </w:tcPr>
          <w:p>
            <w:r>
              <w:t>All roles</w:t>
            </w:r>
          </w:p>
        </w:tc>
        <w:tc>
          <w:tcPr>
            <w:tcW w:w="5960" w:type="dxa"/>
          </w:tcPr>
          <w:p>
            <w:r>
              <w:t>Profile and language settings; the only "settings" surface in the product.</w:t>
            </w:r>
          </w:p>
        </w:tc>
      </w:tr>
      <w:tr>
        <w:tc>
          <w:tcPr>
            <w:tcW w:w="1500" w:type="dxa"/>
          </w:tcPr>
          <w:p>
            <w:r>
              <w:rPr>
                <w:rStyle w:val="Mono"/>
              </w:rPr>
              <w:t>/corporate</w:t>
            </w:r>
          </w:p>
        </w:tc>
        <w:tc>
          <w:tcPr>
            <w:tcW w:w="1900" w:type="dxa"/>
          </w:tcPr>
          <w:p>
            <w:r>
              <w:t>Supplier, exporter, admin</w:t>
            </w:r>
          </w:p>
        </w:tc>
        <w:tc>
          <w:tcPr>
            <w:tcW w:w="5960" w:type="dxa"/>
          </w:tcPr>
          <w:p>
            <w:r>
              <w:t>"Company Overview" — legal entity profile, readiness score card, requirement checklist, supply-chain relationships. Auto-provisions a supplier record on first login.</w:t>
            </w:r>
          </w:p>
        </w:tc>
      </w:tr>
      <w:tr>
        <w:tc>
          <w:tcPr>
            <w:tcW w:w="1500" w:type="dxa"/>
          </w:tcPr>
          <w:p>
            <w:r>
              <w:rPr>
                <w:rStyle w:val="Mono"/>
              </w:rPr>
              <w:t>/my-suppliers, /suppliers</w:t>
            </w:r>
          </w:p>
        </w:tc>
        <w:tc>
          <w:tcPr>
            <w:tcW w:w="1900" w:type="dxa"/>
          </w:tcPr>
          <w:p>
            <w:r>
              <w:t>Exporter / importer</w:t>
            </w:r>
          </w:p>
        </w:tc>
        <w:tc>
          <w:tcPr>
            <w:tcW w:w="5960" w:type="dxa"/>
          </w:tcPr>
          <w:p>
            <w:r>
              <w:t>Upstream/downstream supply-chain relationship management, invites, and linking.</w:t>
            </w:r>
          </w:p>
        </w:tc>
      </w:tr>
      <w:tr>
        <w:tc>
          <w:tcPr>
            <w:tcW w:w="1500" w:type="dxa"/>
          </w:tcPr>
          <w:p>
            <w:r>
              <w:rPr>
                <w:rStyle w:val="Mono"/>
              </w:rPr>
              <w:t>/facilities, /products</w:t>
            </w:r>
          </w:p>
        </w:tc>
        <w:tc>
          <w:tcPr>
            <w:tcW w:w="1900" w:type="dxa"/>
          </w:tcPr>
          <w:p>
            <w:r>
              <w:t>Supplier, exporter, importer, admin</w:t>
            </w:r>
          </w:p>
        </w:tc>
        <w:tc>
          <w:tcPr>
            <w:tcW w:w="5960" w:type="dxa"/>
          </w:tcPr>
          <w:p>
            <w:r>
              <w:t>List + detail views with score cards tied into the scoring engine; includes a map picker for facility locations.</w:t>
            </w:r>
          </w:p>
        </w:tc>
      </w:tr>
      <w:tr>
        <w:tc>
          <w:tcPr>
            <w:tcW w:w="1500" w:type="dxa"/>
          </w:tcPr>
          <w:p>
            <w:r>
              <w:rPr>
                <w:rStyle w:val="Mono"/>
              </w:rPr>
              <w:t>/evidence, /my-evidence</w:t>
            </w:r>
          </w:p>
        </w:tc>
        <w:tc>
          <w:tcPr>
            <w:tcW w:w="1900" w:type="dxa"/>
          </w:tcPr>
          <w:p>
            <w:r>
              <w:t>Importer / supplier</w:t>
            </w:r>
          </w:p>
        </w:tc>
        <w:tc>
          <w:tcPr>
            <w:tcW w:w="5960" w:type="dxa"/>
          </w:tcPr>
          <w:p>
            <w:r>
              <w:t>Document upload, filtering, requirement-linking, and reviewer actions. One of the most built-out areas of the app.</w:t>
            </w:r>
          </w:p>
        </w:tc>
      </w:tr>
      <w:tr>
        <w:tc>
          <w:tcPr>
            <w:tcW w:w="1500" w:type="dxa"/>
          </w:tcPr>
          <w:p>
            <w:r>
              <w:rPr>
                <w:rStyle w:val="Mono"/>
              </w:rPr>
              <w:t>/fsvp-records</w:t>
            </w:r>
          </w:p>
        </w:tc>
        <w:tc>
          <w:tcPr>
            <w:tcW w:w="1900" w:type="dxa"/>
          </w:tcPr>
          <w:p>
            <w:r>
              <w:t>Importer, reviewer, admin</w:t>
            </w:r>
          </w:p>
        </w:tc>
        <w:tc>
          <w:tcPr>
            <w:tcW w:w="5960" w:type="dxa"/>
          </w:tcPr>
          <w:p>
            <w:r>
              <w:t>The core FSVP workflow: list, create, hazard analysis, verification records, approval decisions, reassessment, and a print/export view. The most fully realized feature in the product.</w:t>
            </w:r>
          </w:p>
        </w:tc>
      </w:tr>
      <w:tr>
        <w:tc>
          <w:tcPr>
            <w:tcW w:w="1500" w:type="dxa"/>
          </w:tcPr>
          <w:p>
            <w:r>
              <w:rPr>
                <w:rStyle w:val="Mono"/>
              </w:rPr>
              <w:t>/gaps-actions, /readiness, /reports</w:t>
            </w:r>
          </w:p>
        </w:tc>
        <w:tc>
          <w:tcPr>
            <w:tcW w:w="1900" w:type="dxa"/>
          </w:tcPr>
          <w:p>
            <w:r>
              <w:t>Importer, reviewer, admin</w:t>
            </w:r>
          </w:p>
        </w:tc>
        <w:tc>
          <w:tcPr>
            <w:tcW w:w="5960" w:type="dxa"/>
          </w:tcPr>
          <w:p>
            <w:r>
              <w:t>Corrective-action tracking, readiness assessment lists, and report generation.</w:t>
            </w:r>
          </w:p>
        </w:tc>
      </w:tr>
      <w:tr>
        <w:tc>
          <w:tcPr>
            <w:tcW w:w="1500" w:type="dxa"/>
          </w:tcPr>
          <w:p>
            <w:r>
              <w:rPr>
                <w:rStyle w:val="Mono"/>
              </w:rPr>
              <w:t>/reviewer, /importer-review</w:t>
            </w:r>
          </w:p>
        </w:tc>
        <w:tc>
          <w:tcPr>
            <w:tcW w:w="1900" w:type="dxa"/>
          </w:tcPr>
          <w:p>
            <w:r>
              <w:t>Reviewer / importer / admin</w:t>
            </w:r>
          </w:p>
        </w:tc>
        <w:tc>
          <w:tcPr>
            <w:tcW w:w="5960" w:type="dxa"/>
          </w:tcPr>
          <w:p>
            <w:r>
              <w:t>Two near-identical evidence review queues — one platform-wide, one importer-scoped. See Section 2.</w:t>
            </w:r>
          </w:p>
        </w:tc>
      </w:tr>
      <w:tr>
        <w:tc>
          <w:tcPr>
            <w:tcW w:w="1500" w:type="dxa"/>
          </w:tcPr>
          <w:p>
            <w:r>
              <w:rPr>
                <w:rStyle w:val="Mono"/>
              </w:rPr>
              <w:t>/audit-log</w:t>
            </w:r>
          </w:p>
        </w:tc>
        <w:tc>
          <w:tcPr>
            <w:tcW w:w="1900" w:type="dxa"/>
          </w:tcPr>
          <w:p>
            <w:r>
              <w:t>Reviewer, admin</w:t>
            </w:r>
          </w:p>
        </w:tc>
        <w:tc>
          <w:tcPr>
            <w:tcW w:w="5960" w:type="dxa"/>
          </w:tcPr>
          <w:p>
            <w:r>
              <w:t>Filterable audit trail viewer.</w:t>
            </w:r>
          </w:p>
        </w:tc>
      </w:tr>
      <w:tr>
        <w:tc>
          <w:tcPr>
            <w:tcW w:w="1500" w:type="dxa"/>
          </w:tcPr>
          <w:p>
            <w:r>
              <w:rPr>
                <w:rStyle w:val="Mono"/>
              </w:rPr>
              <w:t>/admin, /admin/rules</w:t>
            </w:r>
          </w:p>
        </w:tc>
        <w:tc>
          <w:tcPr>
            <w:tcW w:w="1900" w:type="dxa"/>
          </w:tcPr>
          <w:p>
            <w:r>
              <w:t>Administrator</w:t>
            </w:r>
          </w:p>
        </w:tc>
        <w:tc>
          <w:tcPr>
            <w:tcW w:w="5960" w:type="dxa"/>
          </w:tcPr>
          <w:p>
            <w:r>
              <w:t>User management, role-preview ("view as"), and the rules engine editor (approval thresholds, scoring weights, requirement items).</w:t>
            </w:r>
          </w:p>
        </w:tc>
      </w:tr>
    </w:tbl>
    <w:p>
      <w:pPr>
        <w:pStyle w:val="Heading2"/>
      </w:pPr>
      <w:r>
        <w:t>1.3 Core Feature Areas</w:t>
      </w:r>
    </w:p>
    <w:p>
      <w:pPr>
        <w:pStyle w:val="ListParagraph"/>
        <w:numPr>
          <w:ilvl w:val="0"/>
          <w:numId w:val="1"/>
        </w:numPr>
      </w:pPr>
      <w:r>
        <w:rPr>
          <w:b/>
        </w:rPr>
        <w:t>Supplier &amp; exporter management</w:t>
      </w:r>
      <w:r>
        <w:t xml:space="preserve"> — invite, link, and track suppliers/exporters across the supply chain. Functionally complete.</w:t>
      </w:r>
    </w:p>
    <w:p>
      <w:pPr>
        <w:pStyle w:val="ListParagraph"/>
        <w:numPr>
          <w:ilvl w:val="0"/>
          <w:numId w:val="1"/>
        </w:numPr>
      </w:pPr>
      <w:r>
        <w:rPr>
          <w:b/>
        </w:rPr>
        <w:t>Facilities &amp; products</w:t>
      </w:r>
      <w:r>
        <w:t xml:space="preserve"> — complete, with score cards wired into the scoring engine and a map picker for facility locations.</w:t>
      </w:r>
    </w:p>
    <w:p>
      <w:pPr>
        <w:pStyle w:val="ListParagraph"/>
        <w:numPr>
          <w:ilvl w:val="0"/>
          <w:numId w:val="1"/>
        </w:numPr>
      </w:pPr>
      <w:r>
        <w:rPr>
          <w:b/>
        </w:rPr>
        <w:t>Evidence &amp; document management</w:t>
      </w:r>
      <w:r>
        <w:t xml:space="preserve"> — one of the most built-out areas: upload, entity-linking, requirement mapping, and reviewer sign-off.</w:t>
      </w:r>
    </w:p>
    <w:p>
      <w:pPr>
        <w:pStyle w:val="ListParagraph"/>
        <w:numPr>
          <w:ilvl w:val="0"/>
          <w:numId w:val="1"/>
        </w:numPr>
      </w:pPr>
      <w:r>
        <w:rPr>
          <w:b/>
        </w:rPr>
        <w:t>FSVP record workflow</w:t>
      </w:r>
      <w:r>
        <w:t xml:space="preserve"> — the flagship feature: a full status machine covering hazard analysis, verification, approval, and reassessment, with print/export. This is the most polished part of the product.</w:t>
      </w:r>
    </w:p>
    <w:p>
      <w:pPr>
        <w:pStyle w:val="ListParagraph"/>
        <w:numPr>
          <w:ilvl w:val="0"/>
          <w:numId w:val="1"/>
        </w:numPr>
      </w:pPr>
      <w:r>
        <w:rPr>
          <w:b/>
        </w:rPr>
        <w:t>Readiness &amp; scoring engine</w:t>
      </w:r>
      <w:r>
        <w:t xml:space="preserve"> — a clean, well-typed, admin-configurable scoring subsystem (weighted sections, critical-blocker capping, configurable approval thresholds). Genuinely well designed.</w:t>
      </w:r>
    </w:p>
    <w:p>
      <w:pPr>
        <w:pStyle w:val="ListParagraph"/>
        <w:numPr>
          <w:ilvl w:val="0"/>
          <w:numId w:val="1"/>
        </w:numPr>
      </w:pPr>
      <w:r>
        <w:rPr>
          <w:b/>
        </w:rPr>
        <w:t>Corrective actions &amp; reports</w:t>
      </w:r>
      <w:r>
        <w:t xml:space="preserve"> — functional CRUD tracker and report generation; some report types in the admin dashboard still read as aspirational rather than fully wired.</w:t>
      </w:r>
    </w:p>
    <w:p>
      <w:pPr>
        <w:pStyle w:val="ListParagraph"/>
        <w:numPr>
          <w:ilvl w:val="0"/>
          <w:numId w:val="1"/>
        </w:numPr>
      </w:pPr>
      <w:r>
        <w:rPr>
          <w:b/>
        </w:rPr>
        <w:t>Admin — role preview &amp; rules engine</w:t>
      </w:r>
      <w:r>
        <w:t xml:space="preserve"> — a sophisticated "view the site as another role/account" feature for support and QA, alongside a live rules editor. Well implemented, though the admin page itself has a few visibly unfinished controls (Section 2).</w:t>
      </w:r>
    </w:p>
    <w:p>
      <w:pPr>
        <w:pStyle w:val="ListParagraph"/>
        <w:numPr>
          <w:ilvl w:val="0"/>
          <w:numId w:val="1"/>
        </w:numPr>
      </w:pPr>
      <w:r>
        <w:rPr>
          <w:b/>
        </w:rPr>
        <w:t>Internationalization</w:t>
      </w:r>
      <w:r>
        <w:t xml:space="preserve"> — English, Spanish, French, and Arabic message files exist, but coverage is inconsistent: several nav labels fall back to hardcoded English because they were never given a translation key.</w:t>
      </w:r>
    </w:p>
    <w:p>
      <w:pPr>
        <w:pStyle w:val="Heading2"/>
      </w:pPr>
      <w:r>
        <w:t>1.4 Data Layer (Supabase)</w:t>
      </w:r>
    </w:p>
    <w:p>
      <w:r>
        <w:t>The schema shows two distinct eras layered on top of each other. An early/legacy schema (roughly the first 13 migrations) modeled a broader FSVP/food-safety domain — hazard libraries, FDA inspections, recall events, qualified individuals, subscription entitlements, API credentials, onboarding steps, and more. A subsequent redesign introduced the schema the current application actually runs on: suppliers, facilities, products, requirement evidence, the rules engine (rule sets, versions, approval thresholds, scoring weights), FSVP records and scoring results, corrective actions, readiness assessments, and audit logs.</w:t>
      </w:r>
    </w:p>
    <w:p>
      <w:r>
        <w:t>Cross-referencing the schema against the application code shows a meaningful split: only a subset of tables are actually read or written by any page, component, or API route. On the order of fifty tables from the legacy era — hazard_library, fda_inspections, recall_events, qualified_individuals, subscription_entitlements, api_credentials, role_permissions, onboarding_steps, and others — have no corresponding UI or API usage today. That's either a large amount of already-modeled functionality waiting to be exposed, or schema debt that should be retired; either way it needs an owner decision (Section 3).</w:t>
      </w:r>
    </w:p>
    <w:p>
      <w:r>
        <w:t>Business logic is otherwise thin and mostly embedded directly in page and API route code rather than factored into shared libraries. The one clear exception is the scoring engine, which is a small, focused, well-typed module and the strongest piece of backend design in the codebase.</w:t>
      </w:r>
    </w:p>
    <w:p>
      <w:pPr>
        <w:pStyle w:val="Heading2"/>
      </w:pPr>
      <w:r>
        <w:t>1.5 Navigation &amp; Access Control</w:t>
      </w:r>
    </w:p>
    <w:p>
      <w:r>
        <w:t>Two separate navigation systems exist side by side: a bold, editorial marketing nav (black background, mega-menu) for logged-out visitors, and a conventional sidebar/nav for the authenticated app, filtered by role. The authenticated nav is used consistently on every logged-in page. However, which roles can see which routes is defined in three separate places — middleware route rules, the nav-item role list, and each page's own role check — with no single source of truth, so the three can silently drift out of sync over time. A few routes (gaps-actions, readiness for reviewer/admin) are already reachable only by direct URL because they were left out of the nav-item role list for those roles.</w:t>
      </w:r>
    </w:p>
    <w:p>
      <w:pPr>
        <w:pStyle w:val="Heading2"/>
      </w:pPr>
      <w:r>
        <w:t>1.6 Design System &amp; Visual Consistency</w:t>
      </w:r>
    </w:p>
    <w:p>
      <w:r>
        <w:t>The authenticated app uses a shared, small UI kit (section headers, status badges, metric cards, empty states) plus a consistent Tailwind color palette, and it reads as one coherent system across every page sampled. The main structural weakness is that this consistency is achieved by repetition rather than abstraction: the same card and table markup is retyped on nearly every page instead of living in a single shared component, so a future visual tweak means a global find-and-replace rather than a one-file edit. The public marketing pages intentionally use a different, bolder visual language, which is a reasonable brand choice but worth a quick manual check that the two navigation shells never render on top of each other.</w:t>
      </w:r>
    </w:p>
    <w:p>
      <w:pPr>
        <w:pStyle w:val="Heading1"/>
      </w:pPr>
      <w:r>
        <w:t>2. Gap Analysis</w:t>
      </w:r>
    </w:p>
    <w:p>
      <w:r>
        <w:t>Gaps are grouped by how much they matter to a compliance product specifically, not just by how visible they are.</w:t>
      </w:r>
    </w:p>
    <w:p>
      <w:pPr>
        <w:pStyle w:val="Heading2"/>
      </w:pPr>
      <w:r>
        <w:t>2.1 Critical — reliability gaps in a compliance tool</w:t>
      </w:r>
    </w:p>
    <w:p>
      <w:pPr>
        <w:pStyle w:val="Callout"/>
      </w:pPr>
      <w:r>
        <w:rPr>
          <w:b/>
        </w:rPr>
        <w:t>No error boundaries or loading states exist anywhere in the app.</w:t>
      </w:r>
      <w:r>
        <w:t xml:space="preserve"> There is no error.tsx or loading.tsx in any route. A thrown error (a failed query, an unexpected null) falls through to Next.js's unstyled default error page instead of a branded, informative one, and every data-fetching page shows a blank screen during load instead of a skeleton or spinner. For a tool whose entire purpose is producing a defensible compliance record, a silent or confusing failure is a materially different kind of problem than it would be on a marketing site.</w:t>
      </w:r>
    </w:p>
    <w:p>
      <w:r>
        <w:rPr>
          <w:b/>
        </w:rPr>
        <w:t>Fragile first-login provisioning.</w:t>
      </w:r>
      <w:r>
        <w:t xml:space="preserve"> The Company Overview page auto-creates a supplier record and self-supply relationship the first time an exporter logs in, but failures in that step are caught and silently discarded with no user-facing message. A misconfigured environment could leave a new account permanently missing data with no indication anything went wrong.</w:t>
      </w:r>
    </w:p>
    <w:p>
      <w:r>
        <w:rPr>
          <w:b/>
        </w:rPr>
        <w:t>No automated tests.</w:t>
      </w:r>
      <w:r>
        <w:t xml:space="preserve"> There is no test runner configured and no test files anywhere in the repository — lint and type-checking are the only automated safety nets before a change ships.</w:t>
      </w:r>
    </w:p>
    <w:p>
      <w:pPr>
        <w:pStyle w:val="Heading2"/>
      </w:pPr>
      <w:r>
        <w:t>2.2 High — unfinished pieces visible to real users today</w:t>
      </w:r>
    </w:p>
    <w:p>
      <w:pPr>
        <w:pStyle w:val="ListParagraph"/>
        <w:numPr>
          <w:ilvl w:val="0"/>
          <w:numId w:val="1"/>
        </w:numPr>
      </w:pPr>
      <w:r>
        <w:t>The Contact page is a stub — its own copy tells the reader it hasn't been configured yet. A product whose users are importers and suppliers needing support cannot ship without a working contact path.</w:t>
      </w:r>
    </w:p>
    <w:p>
      <w:pPr>
        <w:pStyle w:val="ListParagraph"/>
        <w:numPr>
          <w:ilvl w:val="0"/>
          <w:numId w:val="1"/>
        </w:numPr>
      </w:pPr>
      <w:r>
        <w:t>Three buttons on the admin dashboard — "Sync Library," notification settings, and "Export audit feed" — render fully styled but have no click handler. They currently promise functionality that doesn't exist.</w:t>
      </w:r>
    </w:p>
    <w:p>
      <w:pPr>
        <w:pStyle w:val="ListParagraph"/>
        <w:numPr>
          <w:ilvl w:val="0"/>
          <w:numId w:val="1"/>
        </w:numPr>
      </w:pPr>
      <w:r>
        <w:t>The public marketing mega-menu's dropdown items are static text, not links — it looks clickable but isn't.</w:t>
      </w:r>
    </w:p>
    <w:p>
      <w:pPr>
        <w:pStyle w:val="ListParagraph"/>
        <w:numPr>
          <w:ilvl w:val="0"/>
          <w:numId w:val="1"/>
        </w:numPr>
      </w:pPr>
      <w:r>
        <w:t>An empty, unused layout cell sits in the admin page grid — a visible leftover from a removed widget.</w:t>
      </w:r>
    </w:p>
    <w:p>
      <w:pPr>
        <w:pStyle w:val="ListParagraph"/>
        <w:numPr>
          <w:ilvl w:val="0"/>
          <w:numId w:val="1"/>
        </w:numPr>
      </w:pPr>
      <w:r>
        <w:t>No notifications page or settings page exist, despite the database already modeling notifications and delivery, and despite mock configuration data describing both as intended features.</w:t>
      </w:r>
    </w:p>
    <w:p>
      <w:pPr>
        <w:pStyle w:val="Heading2"/>
      </w:pPr>
      <w:r>
        <w:t>2.3 Medium — redundancy &amp; maintainability</w:t>
      </w:r>
    </w:p>
    <w:p>
      <w:pPr>
        <w:pStyle w:val="ListParagraph"/>
        <w:numPr>
          <w:ilvl w:val="0"/>
          <w:numId w:val="1"/>
        </w:numPr>
      </w:pPr>
      <w:r>
        <w:t>/reviewer and /importer-review are about 90% identical implementations of the same evidence review queue, differing only in scoping. Any fix or schema change currently has to be made twice.</w:t>
      </w:r>
    </w:p>
    <w:p>
      <w:pPr>
        <w:pStyle w:val="ListParagraph"/>
        <w:numPr>
          <w:ilvl w:val="0"/>
          <w:numId w:val="1"/>
        </w:numPr>
      </w:pPr>
      <w:r>
        <w:t>Two generic placeholder page components and nearly all of the app's mock configuration data file are dead code with zero real usage — leftover scaffolding from an earlier prototype.</w:t>
      </w:r>
    </w:p>
    <w:p>
      <w:pPr>
        <w:pStyle w:val="ListParagraph"/>
        <w:numPr>
          <w:ilvl w:val="0"/>
          <w:numId w:val="1"/>
        </w:numPr>
      </w:pPr>
      <w:r>
        <w:t>Two duplicate copies of the static marketing build output are checked into the repository rather than generated at build/deploy time.</w:t>
      </w:r>
    </w:p>
    <w:p>
      <w:pPr>
        <w:pStyle w:val="ListParagraph"/>
        <w:numPr>
          <w:ilvl w:val="0"/>
          <w:numId w:val="1"/>
        </w:numPr>
      </w:pPr>
      <w:r>
        <w:t>Route access rules live in three hand-maintained places (middleware, nav config, per-page checks) with no single source of truth, which is how the reviewer/admin "orphaned from the nav" situation happened in the first place.</w:t>
      </w:r>
    </w:p>
    <w:p>
      <w:pPr>
        <w:pStyle w:val="ListParagraph"/>
        <w:numPr>
          <w:ilvl w:val="0"/>
          <w:numId w:val="1"/>
        </w:numPr>
      </w:pPr>
      <w:r>
        <w:t>Roughly fifty legacy database tables have no application code touching them at all — likely dead schema weight, but needs an owner decision before being dropped in case any represent planned, not-yet-built features.</w:t>
      </w:r>
    </w:p>
    <w:p>
      <w:pPr>
        <w:pStyle w:val="Heading2"/>
      </w:pPr>
      <w:r>
        <w:t>2.4 Low — polish</w:t>
      </w:r>
    </w:p>
    <w:p>
      <w:pPr>
        <w:pStyle w:val="ListParagraph"/>
        <w:numPr>
          <w:ilvl w:val="0"/>
          <w:numId w:val="1"/>
        </w:numPr>
      </w:pPr>
      <w:r>
        <w:t>Translation coverage is incomplete — several navigation labels fall back to English because no translation key was ever set for them.</w:t>
      </w:r>
    </w:p>
    <w:p>
      <w:pPr>
        <w:pStyle w:val="ListParagraph"/>
        <w:numPr>
          <w:ilvl w:val="0"/>
          <w:numId w:val="1"/>
        </w:numPr>
      </w:pPr>
      <w:r>
        <w:t>Repeated card and table markup across pages instead of one shared component — cosmetically consistent today, but a maintenance tax on any future visual change.</w:t>
      </w:r>
    </w:p>
    <w:p>
      <w:pPr>
        <w:pStyle w:val="ListParagraph"/>
        <w:numPr>
          <w:ilvl w:val="0"/>
          <w:numId w:val="1"/>
        </w:numPr>
      </w:pPr>
      <w:r>
        <w:t>No breadcrumbs on deep pages (e.g. the FSVP record print view), which relies solely on the sidebar or browser back button.</w:t>
      </w:r>
    </w:p>
    <w:p>
      <w:pPr>
        <w:pStyle w:val="ListParagraph"/>
        <w:numPr>
          <w:ilvl w:val="0"/>
          <w:numId w:val="1"/>
        </w:numPr>
      </w:pPr>
      <w:r>
        <w:t>An onboarding modal component exists but was not found wired into any page — likely another partially-built feature worth a quick manual check.</w:t>
      </w:r>
    </w:p>
    <w:p>
      <w:pPr>
        <w:pStyle w:val="Heading1"/>
      </w:pPr>
      <w:r>
        <w:t>3. Recommendations &amp; Roadmap</w:t>
      </w:r>
    </w:p>
    <w:p>
      <w:r>
        <w:t>The core product does not need to be redesigned — it needs to be finished and hardened. A phased approach:</w:t>
      </w:r>
    </w:p>
    <w:p>
      <w:pPr>
        <w:pStyle w:val="Heading2"/>
      </w:pPr>
      <w:r>
        <w:t>Now (next 1–2 weeks) — stop the visible unfinished edges</w:t>
      </w:r>
    </w:p>
    <w:p>
      <w:pPr>
        <w:pStyle w:val="ListParagraph"/>
        <w:numPr>
          <w:ilvl w:val="0"/>
          <w:numId w:val="1"/>
        </w:numPr>
      </w:pPr>
      <w:r>
        <w:t>Wire a real contact path (support mailbox or a working form) into /contact.</w:t>
      </w:r>
    </w:p>
    <w:p>
      <w:pPr>
        <w:pStyle w:val="ListParagraph"/>
        <w:numPr>
          <w:ilvl w:val="0"/>
          <w:numId w:val="1"/>
        </w:numPr>
      </w:pPr>
      <w:r>
        <w:t>Either implement or remove the three dead admin buttons (Sync Library, notification settings, export audit feed) and the leftover empty grid cell.</w:t>
      </w:r>
    </w:p>
    <w:p>
      <w:pPr>
        <w:pStyle w:val="ListParagraph"/>
        <w:numPr>
          <w:ilvl w:val="0"/>
          <w:numId w:val="1"/>
        </w:numPr>
      </w:pPr>
      <w:r>
        <w:t>Add error.tsx and loading.tsx at the app-shell level at minimum, so failures and slow loads render branded, informative states instead of blank or default screens.</w:t>
      </w:r>
    </w:p>
    <w:p>
      <w:pPr>
        <w:pStyle w:val="ListParagraph"/>
        <w:numPr>
          <w:ilvl w:val="0"/>
          <w:numId w:val="1"/>
        </w:numPr>
      </w:pPr>
      <w:r>
        <w:t>Surface a real error to the user (not just a swallowed exception) if first-login supplier provisioning fails on the Company Overview page.</w:t>
      </w:r>
    </w:p>
    <w:p>
      <w:pPr>
        <w:pStyle w:val="ListParagraph"/>
        <w:numPr>
          <w:ilvl w:val="0"/>
          <w:numId w:val="1"/>
        </w:numPr>
      </w:pPr>
      <w:r>
        <w:t>Turn the marketing mega-menu's static sub-items into real links, or remove them until the destination pages exist.</w:t>
      </w:r>
    </w:p>
    <w:p>
      <w:pPr>
        <w:pStyle w:val="Heading2"/>
      </w:pPr>
      <w:r>
        <w:t>Next (this quarter) — consolidate and de-risk</w:t>
      </w:r>
    </w:p>
    <w:p>
      <w:pPr>
        <w:pStyle w:val="ListParagraph"/>
        <w:numPr>
          <w:ilvl w:val="0"/>
          <w:numId w:val="1"/>
        </w:numPr>
      </w:pPr>
      <w:r>
        <w:t>Merge /reviewer and /importer-review into one parameterized implementation.</w:t>
      </w:r>
    </w:p>
    <w:p>
      <w:pPr>
        <w:pStyle w:val="ListParagraph"/>
        <w:numPr>
          <w:ilvl w:val="0"/>
          <w:numId w:val="1"/>
        </w:numPr>
      </w:pPr>
      <w:r>
        <w:t>Delete the unused placeholder page components and the dead mock configuration data, or explicitly repurpose them if there's a plan for that content.</w:t>
      </w:r>
    </w:p>
    <w:p>
      <w:pPr>
        <w:pStyle w:val="ListParagraph"/>
        <w:numPr>
          <w:ilvl w:val="0"/>
          <w:numId w:val="1"/>
        </w:numPr>
      </w:pPr>
      <w:r>
        <w:t>Stop checking in duplicate static build output; generate it at deploy time and gitignore it.</w:t>
      </w:r>
    </w:p>
    <w:p>
      <w:pPr>
        <w:pStyle w:val="ListParagraph"/>
        <w:numPr>
          <w:ilvl w:val="0"/>
          <w:numId w:val="1"/>
        </w:numPr>
      </w:pPr>
      <w:r>
        <w:t>Extract the repeated card/table markup into shared components so future styling changes are single-file edits.</w:t>
      </w:r>
    </w:p>
    <w:p>
      <w:pPr>
        <w:pStyle w:val="ListParagraph"/>
        <w:numPr>
          <w:ilvl w:val="0"/>
          <w:numId w:val="1"/>
        </w:numPr>
      </w:pPr>
      <w:r>
        <w:t>Fill the translation gaps so every nav label actually respects the selected language.</w:t>
      </w:r>
    </w:p>
    <w:p>
      <w:pPr>
        <w:pStyle w:val="ListParagraph"/>
        <w:numPr>
          <w:ilvl w:val="0"/>
          <w:numId w:val="1"/>
        </w:numPr>
      </w:pPr>
      <w:r>
        <w:t>Stand up a minimal automated test suite around the scoring engine and the FSVP record status machine — the two places where a silent bug would be most costly.</w:t>
      </w:r>
    </w:p>
    <w:p>
      <w:pPr>
        <w:pStyle w:val="Heading2"/>
      </w:pPr>
      <w:r>
        <w:t>Later — decisions the product owner needs to make</w:t>
      </w:r>
    </w:p>
    <w:p>
      <w:pPr>
        <w:pStyle w:val="ListParagraph"/>
        <w:numPr>
          <w:ilvl w:val="0"/>
          <w:numId w:val="1"/>
        </w:numPr>
      </w:pPr>
      <w:r>
        <w:t>For each of the ~50 unused legacy tables (hazard library, FDA inspections, recall events, qualified individuals, onboarding steps, subscription entitlements, API credentials, and similar): decide whether it's a near-term roadmap item to build UI for, or dead schema to formally drop.</w:t>
      </w:r>
    </w:p>
    <w:p>
      <w:pPr>
        <w:pStyle w:val="ListParagraph"/>
        <w:numPr>
          <w:ilvl w:val="0"/>
          <w:numId w:val="1"/>
        </w:numPr>
      </w:pPr>
      <w:r>
        <w:t>Decide whether notifications, a dedicated settings page, and onboarding are in scope for the next release or explicitly out of scope for v1 — the database already supports all three, so the remaining work is UI only.</w:t>
      </w:r>
    </w:p>
    <w:p>
      <w:pPr>
        <w:pStyle w:val="ListParagraph"/>
        <w:numPr>
          <w:ilvl w:val="0"/>
          <w:numId w:val="1"/>
        </w:numPr>
      </w:pPr>
      <w:r>
        <w:t>Consider deriving route protection and navigation visibility from a single shared role map instead of three hand-maintained lists, to eliminate future drift.</w:t>
      </w:r>
    </w:p>
    <w:p>
      <w:pPr>
        <w:pStyle w:val="Heading1"/>
      </w:pPr>
      <w:r>
        <w:t>Closing</w:t>
      </w:r>
    </w:p>
    <w:p>
      <w:r>
        <w:t>The compliance core of ThrushCross Verify — supplier tracking, evidence management, the scoring engine, and the FSVP record workflow — is the strongest part of the product and doesn't need rework. What stands between the current state and a streamlined, professional release is a defined and fairly contained list: fix the handful of visibly unfinished edges, add the reliability plumbing a compliance tool can't do without, and resolve the accumulated debt from the schema redesign and the earlier prototype. None of it requires new architecture — it requires finishing what's already been started.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32" w:hanging="288"/>
      </w:pPr>
      <w:rPr>
        <w:rFonts w:ascii="Symbol" w:hAnsi="Symbol" w:hint="default"/>
      </w:rPr>
    </w:lvl>
    <w:lvl w:ilvl="1">
      <w:start w:val="1"/>
      <w:numFmt w:val="bullet"/>
      <w:lvlText w:val="o"/>
      <w:lvlJc w:val="left"/>
      <w:pPr>
        <w:ind w:left="864" w:hanging="288"/>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color w:val="222222"/>
      </w:rPr>
    </w:rPrDefault>
    <w:pPrDefault>
      <w:pPr>
        <w:spacing w:after="160" w:line="276" w:lineRule="auto"/>
      </w:pPr>
    </w:pPrDefault>
  </w:docDefaults>
  <w:style w:type="paragraph" w:default="1" w:styleId="Normal">
    <w:name w:val="Normal"/>
  </w:style>
  <w:style w:type="paragraph" w:styleId="Title">
    <w:name w:val="Title"/>
    <w:basedOn w:val="Normal"/>
    <w:pPr>
      <w:spacing w:before="0" w:after="120"/>
    </w:pPr>
    <w:rPr>
      <w:rFonts w:ascii="Calibri" w:hAnsi="Calibri"/>
      <w:b/>
      <w:color w:val="1F3B57"/>
      <w:sz w:val="56"/>
    </w:rPr>
  </w:style>
  <w:style w:type="paragraph" w:styleId="Subtitle">
    <w:name w:val="Subtitle"/>
    <w:basedOn w:val="Normal"/>
    <w:pPr>
      <w:spacing w:before="0" w:after="480"/>
    </w:pPr>
    <w:rPr>
      <w:color w:val="5B6B7A"/>
      <w:sz w:val="26"/>
    </w:rPr>
  </w:style>
  <w:style w:type="paragraph" w:styleId="Heading1">
    <w:name w:val="heading 1"/>
    <w:basedOn w:val="Normal"/>
    <w:next w:val="Normal"/>
    <w:pPr>
      <w:keepNext/>
      <w:spacing w:before="480" w:after="200"/>
      <w:pBdr>
        <w:bottom w:val="single" w:sz="6" w:space="4" w:color="1F3B57"/>
      </w:pBdr>
      <w:outlineLvl w:val="0"/>
    </w:pPr>
    <w:rPr>
      <w:b/>
      <w:color w:val="1F3B57"/>
      <w:sz w:val="34"/>
    </w:rPr>
  </w:style>
  <w:style w:type="paragraph" w:styleId="Heading2">
    <w:name w:val="heading 2"/>
    <w:basedOn w:val="Normal"/>
    <w:next w:val="Normal"/>
    <w:pPr>
      <w:keepNext/>
      <w:spacing w:before="320" w:after="140"/>
      <w:outlineLvl w:val="1"/>
    </w:pPr>
    <w:rPr>
      <w:b/>
      <w:color w:val="2E5C8A"/>
      <w:sz w:val="26"/>
    </w:rPr>
  </w:style>
  <w:style w:type="paragraph" w:styleId="Heading3">
    <w:name w:val="heading 3"/>
    <w:basedOn w:val="Normal"/>
    <w:next w:val="Normal"/>
    <w:pPr>
      <w:keepNext/>
      <w:spacing w:before="240" w:after="100"/>
      <w:outlineLvl w:val="2"/>
    </w:pPr>
    <w:rPr>
      <w:b/>
      <w:color w:val="3B3B3B"/>
      <w:sz w:val="22"/>
    </w:rPr>
  </w:style>
  <w:style w:type="paragraph" w:styleId="ListParagraph">
    <w:name w:val="List Paragraph"/>
    <w:basedOn w:val="Normal"/>
    <w:pPr>
      <w:spacing w:after="80"/>
      <w:ind w:left="432"/>
      <w:contextualSpacing/>
    </w:pPr>
  </w:style>
  <w:style w:type="paragraph" w:styleId="Callout">
    <w:name w:val="Callout"/>
    <w:basedOn w:val="Normal"/>
    <w:pPr>
      <w:pBdr>
        <w:left w:val="single" w:sz="18" w:space="8" w:color="C0392B"/>
      </w:pBdr>
      <w:shd w:val="clear" w:color="auto" w:fill="FBEAEA"/>
      <w:spacing w:before="120" w:after="120"/>
      <w:ind w:left="200"/>
    </w:pPr>
  </w:style>
  <w:style w:type="character" w:styleId="Mono">
    <w:name w:val="Mono"/>
    <w:rPr>
      <w:rFonts w:ascii="Consolas" w:hAnsi="Consolas"/>
      <w:sz w:val="20"/>
      <w:color w:val="8E44AD"/>
    </w:rPr>
  </w:style>
  <w:style w:type="table" w:styleId="ReportTable">
    <w:name w:val="Report Table"/>
    <w:tblPr>
      <w:tblBorders>
        <w:top w:val="single" w:sz="4" w:color="C9D3DC"/>
        <w:left w:val="single" w:sz="4" w:color="C9D3DC"/>
        <w:bottom w:val="single" w:sz="4" w:color="C9D3DC"/>
        <w:right w:val="single" w:sz="4" w:color="C9D3DC"/>
        <w:insideH w:val="single" w:sz="4" w:color="C9D3DC"/>
        <w:insideV w:val="single" w:sz="4" w:color="C9D3DC"/>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ThrushCross Verify — Site Structure &amp; Gap Analysis</dc:title>
  <dc:creator>Claude</dc:creator>
  <cp:lastModifiedBy>Claude</cp:lastModifiedBy>
  <dcterms:created xsi:type="dcterms:W3CDTF">2026-07-27T00:00:00Z</dcterms:created>
  <dcterms:modified xsi:type="dcterms:W3CDTF">2026-07-27T00:00:00Z</dcterms:modified>
</cp:coreProperties>
</file>