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B9CC" w14:textId="77777777" w:rsidR="00CC2584" w:rsidRDefault="00CC2584" w:rsidP="00FD2BEE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Applicant</w:t>
      </w:r>
      <w:r w:rsidR="00FD2BEE" w:rsidRPr="00FB336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William Mitchell</w:t>
      </w:r>
      <w:r w:rsidR="00FD2BEE" w:rsidRPr="00FB336C">
        <w:rPr>
          <w:rFonts w:ascii="Arial" w:hAnsi="Arial" w:cs="Arial"/>
          <w:sz w:val="20"/>
          <w:szCs w:val="20"/>
        </w:rPr>
        <w:t xml:space="preserve"> </w:t>
      </w:r>
    </w:p>
    <w:p w14:paraId="7F7259D4" w14:textId="16C7DAFE" w:rsidR="00FD2BEE" w:rsidRPr="00FB336C" w:rsidRDefault="00FD2BEE" w:rsidP="00FD2BEE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 w:rsidRPr="00FB336C">
        <w:rPr>
          <w:rFonts w:ascii="Arial" w:hAnsi="Arial" w:cs="Arial"/>
          <w:sz w:val="20"/>
          <w:szCs w:val="20"/>
        </w:rPr>
        <w:t xml:space="preserve">Application Number: </w:t>
      </w:r>
      <w:r w:rsidR="00CC2584" w:rsidRPr="00CC2584">
        <w:rPr>
          <w:rFonts w:ascii="Arial" w:hAnsi="Arial" w:cs="Arial"/>
          <w:sz w:val="20"/>
          <w:szCs w:val="20"/>
        </w:rPr>
        <w:t>1F99NS134208-01A1</w:t>
      </w:r>
    </w:p>
    <w:p w14:paraId="3170436B" w14:textId="7001814C" w:rsidR="00FD2BEE" w:rsidRPr="00FB336C" w:rsidRDefault="00CC2584" w:rsidP="00CC2584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Title</w:t>
      </w:r>
      <w:r w:rsidR="00FD2BEE" w:rsidRPr="00FB336C">
        <w:rPr>
          <w:rFonts w:ascii="Arial" w:hAnsi="Arial" w:cs="Arial"/>
          <w:sz w:val="20"/>
          <w:szCs w:val="20"/>
        </w:rPr>
        <w:t xml:space="preserve">: </w:t>
      </w:r>
      <w:r w:rsidRPr="00CC2584">
        <w:rPr>
          <w:rFonts w:ascii="Arial" w:hAnsi="Arial" w:cs="Arial"/>
          <w:sz w:val="20"/>
          <w:szCs w:val="20"/>
        </w:rPr>
        <w:t>Intersubject Synchrony in Neural and Behavioral Representations of</w:t>
      </w:r>
      <w:r>
        <w:rPr>
          <w:rFonts w:ascii="Arial" w:hAnsi="Arial" w:cs="Arial"/>
          <w:sz w:val="20"/>
          <w:szCs w:val="20"/>
        </w:rPr>
        <w:t xml:space="preserve"> </w:t>
      </w:r>
      <w:r w:rsidRPr="00CC2584">
        <w:rPr>
          <w:rFonts w:ascii="Arial" w:hAnsi="Arial" w:cs="Arial"/>
          <w:sz w:val="20"/>
          <w:szCs w:val="20"/>
        </w:rPr>
        <w:t>Social Uncertainty Among Adults and Adolescents</w:t>
      </w:r>
    </w:p>
    <w:p w14:paraId="201EDACA" w14:textId="3AD71B4A" w:rsidR="00FD2BEE" w:rsidRPr="00FD2BEE" w:rsidRDefault="00FD2BEE" w:rsidP="00D7584F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</w:rPr>
      </w:pPr>
    </w:p>
    <w:p w14:paraId="187A83AC" w14:textId="15EB42B7" w:rsidR="00A55E2C" w:rsidRPr="00FD2BEE" w:rsidRDefault="00047785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</w:rPr>
      </w:pPr>
      <w:r w:rsidRPr="00FD2BEE">
        <w:rPr>
          <w:rFonts w:ascii="Arial" w:hAnsi="Arial" w:cs="Arial"/>
        </w:rPr>
        <w:fldChar w:fldCharType="begin"/>
      </w:r>
      <w:r w:rsidRPr="00FD2BEE">
        <w:rPr>
          <w:rFonts w:ascii="Arial" w:hAnsi="Arial" w:cs="Arial"/>
        </w:rPr>
        <w:instrText xml:space="preserve"> DATE \@ "MMMM d, yyyy" </w:instrText>
      </w:r>
      <w:r w:rsidRPr="00FD2BEE">
        <w:rPr>
          <w:rFonts w:ascii="Arial" w:hAnsi="Arial" w:cs="Arial"/>
        </w:rPr>
        <w:fldChar w:fldCharType="separate"/>
      </w:r>
      <w:r w:rsidR="002C1B81">
        <w:rPr>
          <w:rFonts w:ascii="Arial" w:hAnsi="Arial" w:cs="Arial"/>
          <w:noProof/>
        </w:rPr>
        <w:t>November 29, 2023</w:t>
      </w:r>
      <w:r w:rsidRPr="00FD2BEE">
        <w:rPr>
          <w:rFonts w:ascii="Arial" w:hAnsi="Arial" w:cs="Arial"/>
        </w:rPr>
        <w:fldChar w:fldCharType="end"/>
      </w:r>
    </w:p>
    <w:p w14:paraId="4B752762" w14:textId="60ED1678" w:rsidR="00B275E2" w:rsidRDefault="00B275E2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</w:rPr>
      </w:pPr>
    </w:p>
    <w:p w14:paraId="52D297BB" w14:textId="7D263880" w:rsidR="00FD2BEE" w:rsidRDefault="00FD2BEE" w:rsidP="00FD2BEE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Dear Dr. </w:t>
      </w:r>
      <w:r w:rsidR="00CC2584">
        <w:rPr>
          <w:rFonts w:ascii="Arial" w:hAnsi="Arial" w:cs="Arial"/>
        </w:rPr>
        <w:t>Jones-London</w:t>
      </w:r>
      <w:r w:rsidR="003F01CA">
        <w:rPr>
          <w:rFonts w:ascii="Arial" w:hAnsi="Arial" w:cs="Arial"/>
        </w:rPr>
        <w:t xml:space="preserve"> and NIH staff</w:t>
      </w:r>
      <w:r>
        <w:rPr>
          <w:rFonts w:ascii="Arial" w:hAnsi="Arial" w:cs="Arial"/>
        </w:rPr>
        <w:t>,</w:t>
      </w:r>
    </w:p>
    <w:p w14:paraId="361EB683" w14:textId="77777777" w:rsidR="00FD2BEE" w:rsidRDefault="00FD2BEE" w:rsidP="00FD2BEE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</w:rPr>
      </w:pPr>
    </w:p>
    <w:p w14:paraId="74C05A23" w14:textId="546D00D7" w:rsidR="003F01CA" w:rsidRDefault="00E62EE4" w:rsidP="00FB336C">
      <w:p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Our key personnel, individuals involved with either data collection or study design, include:</w:t>
      </w:r>
    </w:p>
    <w:p w14:paraId="76B348A6" w14:textId="77777777" w:rsidR="003F01CA" w:rsidRDefault="003F01CA" w:rsidP="00FB336C">
      <w:pPr>
        <w:tabs>
          <w:tab w:val="left" w:pos="7688"/>
        </w:tabs>
        <w:spacing w:after="0" w:line="240" w:lineRule="auto"/>
        <w:rPr>
          <w:rFonts w:ascii="Arial" w:hAnsi="Arial" w:cs="Arial"/>
        </w:rPr>
      </w:pPr>
    </w:p>
    <w:p w14:paraId="142E43B5" w14:textId="3B0C8373" w:rsidR="00DE062B" w:rsidRPr="00E62EE4" w:rsidRDefault="00E62EE4" w:rsidP="00E62EE4">
      <w:pPr>
        <w:pStyle w:val="ListParagraph"/>
        <w:numPr>
          <w:ilvl w:val="0"/>
          <w:numId w:val="5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 w:rsidRPr="00E62EE4">
        <w:rPr>
          <w:rFonts w:ascii="Arial" w:hAnsi="Arial" w:cs="Arial"/>
        </w:rPr>
        <w:t>William Mitchell</w:t>
      </w:r>
    </w:p>
    <w:p w14:paraId="434114FE" w14:textId="29CD45BA" w:rsidR="00E62EE4" w:rsidRPr="00E62EE4" w:rsidRDefault="00E62EE4" w:rsidP="00E62EE4">
      <w:pPr>
        <w:pStyle w:val="ListParagraph"/>
        <w:numPr>
          <w:ilvl w:val="0"/>
          <w:numId w:val="5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 w:rsidRPr="00E62EE4">
        <w:rPr>
          <w:rFonts w:ascii="Arial" w:hAnsi="Arial" w:cs="Arial"/>
        </w:rPr>
        <w:t>Chelsea Helion</w:t>
      </w:r>
    </w:p>
    <w:p w14:paraId="5C7FDB11" w14:textId="5096C9D5" w:rsidR="00E62EE4" w:rsidRPr="00E62EE4" w:rsidRDefault="00E62EE4" w:rsidP="00E62EE4">
      <w:pPr>
        <w:pStyle w:val="ListParagraph"/>
        <w:numPr>
          <w:ilvl w:val="0"/>
          <w:numId w:val="5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 w:rsidRPr="00E62EE4">
        <w:rPr>
          <w:rFonts w:ascii="Arial" w:hAnsi="Arial" w:cs="Arial"/>
        </w:rPr>
        <w:t>Jason Chein</w:t>
      </w:r>
    </w:p>
    <w:p w14:paraId="202D3D16" w14:textId="5E4E8620" w:rsidR="00E62EE4" w:rsidRPr="00E62EE4" w:rsidRDefault="00E62EE4" w:rsidP="00E62EE4">
      <w:pPr>
        <w:pStyle w:val="ListParagraph"/>
        <w:numPr>
          <w:ilvl w:val="0"/>
          <w:numId w:val="5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 w:rsidRPr="00E62EE4">
        <w:rPr>
          <w:rFonts w:ascii="Arial" w:hAnsi="Arial" w:cs="Arial"/>
        </w:rPr>
        <w:t>Kaitlyn Smith</w:t>
      </w:r>
    </w:p>
    <w:p w14:paraId="11078676" w14:textId="077C0E16" w:rsidR="00E62EE4" w:rsidRDefault="00E62EE4" w:rsidP="00E62EE4">
      <w:pPr>
        <w:pStyle w:val="ListParagraph"/>
        <w:numPr>
          <w:ilvl w:val="0"/>
          <w:numId w:val="5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 w:rsidRPr="00E62EE4">
        <w:rPr>
          <w:rFonts w:ascii="Arial" w:hAnsi="Arial" w:cs="Arial"/>
        </w:rPr>
        <w:t>Helen Schmidt</w:t>
      </w:r>
    </w:p>
    <w:p w14:paraId="6F20F1C5" w14:textId="77777777" w:rsidR="00E62EE4" w:rsidRDefault="00E62EE4" w:rsidP="00E62EE4">
      <w:pPr>
        <w:tabs>
          <w:tab w:val="left" w:pos="7688"/>
        </w:tabs>
        <w:spacing w:after="0" w:line="240" w:lineRule="auto"/>
        <w:rPr>
          <w:rFonts w:ascii="Arial" w:hAnsi="Arial" w:cs="Arial"/>
        </w:rPr>
      </w:pPr>
    </w:p>
    <w:p w14:paraId="0658C8D5" w14:textId="48C01BD1" w:rsidR="00E62EE4" w:rsidRDefault="00E62EE4" w:rsidP="00E62EE4">
      <w:p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Each of the</w:t>
      </w:r>
      <w:r w:rsidR="00F62855">
        <w:rPr>
          <w:rFonts w:ascii="Arial" w:hAnsi="Arial" w:cs="Arial"/>
        </w:rPr>
        <w:t xml:space="preserve"> above</w:t>
      </w:r>
      <w:r>
        <w:rPr>
          <w:rFonts w:ascii="Arial" w:hAnsi="Arial" w:cs="Arial"/>
        </w:rPr>
        <w:t xml:space="preserve"> individuals has completed the following educational courses related to human subjects protection</w:t>
      </w:r>
      <w:r w:rsidR="00F62855">
        <w:rPr>
          <w:rFonts w:ascii="Arial" w:hAnsi="Arial" w:cs="Arial"/>
        </w:rPr>
        <w:t>s. These courses have been completed within the past two years, have not expired, and will continue to be maintained through the duration of this project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</w:p>
    <w:p w14:paraId="4397E156" w14:textId="5A902C18" w:rsidR="00E62EE4" w:rsidRPr="00F62855" w:rsidRDefault="00DF0110" w:rsidP="00E62EE4">
      <w:pPr>
        <w:pStyle w:val="ListParagraph"/>
        <w:numPr>
          <w:ilvl w:val="0"/>
          <w:numId w:val="6"/>
        </w:numPr>
        <w:tabs>
          <w:tab w:val="left" w:pos="7688"/>
        </w:tabs>
        <w:spacing w:after="0" w:line="240" w:lineRule="auto"/>
        <w:rPr>
          <w:rFonts w:ascii="Arial" w:hAnsi="Arial" w:cs="Arial"/>
          <w:u w:val="single"/>
        </w:rPr>
      </w:pPr>
      <w:r w:rsidRPr="00F62855">
        <w:rPr>
          <w:rFonts w:ascii="Arial" w:hAnsi="Arial" w:cs="Arial"/>
          <w:u w:val="single"/>
        </w:rPr>
        <w:t>Collaborative Institutional Training Initiative (CITI) Responsible Conduct of Research (RCR)</w:t>
      </w:r>
    </w:p>
    <w:p w14:paraId="443F0E72" w14:textId="7AA62199" w:rsidR="00DF0110" w:rsidRDefault="00DF0110" w:rsidP="00DF0110">
      <w:pPr>
        <w:pStyle w:val="ListParagraph"/>
        <w:numPr>
          <w:ilvl w:val="1"/>
          <w:numId w:val="6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 w:rsidRPr="00DF0110">
        <w:rPr>
          <w:rFonts w:ascii="Arial" w:hAnsi="Arial" w:cs="Arial"/>
        </w:rPr>
        <w:t>RCR covers core norms, principles, regulations, and rules governing the practice of research.</w:t>
      </w:r>
    </w:p>
    <w:p w14:paraId="48938DC1" w14:textId="07735FE1" w:rsidR="00DF0110" w:rsidRPr="00F62855" w:rsidRDefault="00DF0110" w:rsidP="00DF0110">
      <w:pPr>
        <w:pStyle w:val="ListParagraph"/>
        <w:numPr>
          <w:ilvl w:val="0"/>
          <w:numId w:val="6"/>
        </w:numPr>
        <w:tabs>
          <w:tab w:val="left" w:pos="7688"/>
        </w:tabs>
        <w:spacing w:after="0" w:line="240" w:lineRule="auto"/>
        <w:rPr>
          <w:rFonts w:ascii="Arial" w:hAnsi="Arial" w:cs="Arial"/>
          <w:u w:val="single"/>
        </w:rPr>
      </w:pPr>
      <w:r w:rsidRPr="00F62855">
        <w:rPr>
          <w:rFonts w:ascii="Arial" w:hAnsi="Arial" w:cs="Arial"/>
          <w:u w:val="single"/>
        </w:rPr>
        <w:t>Collaborative Institutional Training Initiative (CITI) Social / Behavioral Research</w:t>
      </w:r>
    </w:p>
    <w:p w14:paraId="5B759252" w14:textId="6C5A07DB" w:rsidR="00DF0110" w:rsidRDefault="00DF0110" w:rsidP="00DF0110">
      <w:pPr>
        <w:pStyle w:val="ListParagraph"/>
        <w:numPr>
          <w:ilvl w:val="1"/>
          <w:numId w:val="6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 w:rsidRPr="00DF0110">
        <w:rPr>
          <w:rFonts w:ascii="Arial" w:hAnsi="Arial" w:cs="Arial"/>
        </w:rPr>
        <w:t xml:space="preserve">This comprehensive course provides training covering </w:t>
      </w:r>
      <w:r w:rsidR="00C7661D">
        <w:rPr>
          <w:rFonts w:ascii="Arial" w:hAnsi="Arial" w:cs="Arial"/>
        </w:rPr>
        <w:t>risks, federal regulations, confidentiality, privacy, vulnerable populations, technology, and conflicts of interest relevant to social and behavioral research.</w:t>
      </w:r>
    </w:p>
    <w:p w14:paraId="3FF2BE6A" w14:textId="490FD6E8" w:rsidR="00DF0110" w:rsidRPr="00F62855" w:rsidRDefault="00DF0110" w:rsidP="00DF0110">
      <w:pPr>
        <w:pStyle w:val="ListParagraph"/>
        <w:numPr>
          <w:ilvl w:val="0"/>
          <w:numId w:val="6"/>
        </w:numPr>
        <w:tabs>
          <w:tab w:val="left" w:pos="7688"/>
        </w:tabs>
        <w:spacing w:after="0" w:line="240" w:lineRule="auto"/>
        <w:rPr>
          <w:rFonts w:ascii="Arial" w:hAnsi="Arial" w:cs="Arial"/>
          <w:u w:val="single"/>
        </w:rPr>
      </w:pPr>
      <w:r w:rsidRPr="00F62855">
        <w:rPr>
          <w:rFonts w:ascii="Arial" w:hAnsi="Arial" w:cs="Arial"/>
          <w:u w:val="single"/>
        </w:rPr>
        <w:t>Collaborative Institutional Training Initiative (CITI) Biomedical Research</w:t>
      </w:r>
    </w:p>
    <w:p w14:paraId="00460DD9" w14:textId="6F960DC3" w:rsidR="00C7661D" w:rsidRDefault="00C7661D" w:rsidP="00C7661D">
      <w:pPr>
        <w:pStyle w:val="ListParagraph"/>
        <w:numPr>
          <w:ilvl w:val="1"/>
          <w:numId w:val="6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 w:rsidRPr="00DF0110">
        <w:rPr>
          <w:rFonts w:ascii="Arial" w:hAnsi="Arial" w:cs="Arial"/>
        </w:rPr>
        <w:t xml:space="preserve">This comprehensive course provides training covering </w:t>
      </w:r>
      <w:r>
        <w:rPr>
          <w:rFonts w:ascii="Arial" w:hAnsi="Arial" w:cs="Arial"/>
        </w:rPr>
        <w:t>risks, federal regulations, confidentiality, privacy, vulnerable populations, technology, and conflicts of interest relevant to biomedical research.</w:t>
      </w:r>
    </w:p>
    <w:p w14:paraId="30F64F85" w14:textId="0CF7F347" w:rsidR="00F62855" w:rsidRPr="00F62855" w:rsidRDefault="00F62855" w:rsidP="00F62855">
      <w:pPr>
        <w:tabs>
          <w:tab w:val="left" w:pos="7688"/>
        </w:tabs>
        <w:spacing w:after="0" w:line="240" w:lineRule="auto"/>
        <w:rPr>
          <w:rFonts w:ascii="Arial" w:hAnsi="Arial" w:cs="Arial"/>
        </w:rPr>
      </w:pPr>
    </w:p>
    <w:p w14:paraId="5E2D50AA" w14:textId="77777777" w:rsidR="00DE062B" w:rsidRDefault="00DE062B" w:rsidP="00FB336C">
      <w:pPr>
        <w:tabs>
          <w:tab w:val="left" w:pos="7688"/>
        </w:tabs>
        <w:spacing w:after="0" w:line="240" w:lineRule="auto"/>
        <w:rPr>
          <w:rFonts w:ascii="Arial" w:hAnsi="Arial" w:cs="Arial"/>
        </w:rPr>
      </w:pPr>
    </w:p>
    <w:p w14:paraId="3BEEAF0E" w14:textId="51D8C739" w:rsidR="00FD2BEE" w:rsidRDefault="00FD2BEE" w:rsidP="00FD2BE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Warmly,</w:t>
      </w:r>
    </w:p>
    <w:p w14:paraId="7165C7B2" w14:textId="2097035F" w:rsidR="00F62855" w:rsidRDefault="00F62855" w:rsidP="00FD2BEE">
      <w:pPr>
        <w:spacing w:line="240" w:lineRule="auto"/>
        <w:rPr>
          <w:rFonts w:ascii="Arial" w:hAnsi="Arial" w:cs="Arial"/>
        </w:rPr>
      </w:pPr>
    </w:p>
    <w:p w14:paraId="0058C3D1" w14:textId="77777777" w:rsidR="00F62855" w:rsidRDefault="00F62855" w:rsidP="00FD2BEE">
      <w:pPr>
        <w:spacing w:line="240" w:lineRule="auto"/>
        <w:rPr>
          <w:rFonts w:ascii="Arial" w:hAnsi="Arial" w:cs="Arial"/>
        </w:rPr>
      </w:pPr>
    </w:p>
    <w:p w14:paraId="2C0CB9D9" w14:textId="4EF011A4" w:rsidR="00FD2BEE" w:rsidRDefault="00CC2584" w:rsidP="00FD2BEE">
      <w:pPr>
        <w:keepLines/>
        <w:widowControl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William Mitchell</w:t>
      </w:r>
    </w:p>
    <w:p w14:paraId="385AD382" w14:textId="74042806" w:rsidR="00FD2BEE" w:rsidRDefault="00CC2584" w:rsidP="00FD2BEE">
      <w:pPr>
        <w:keepLines/>
        <w:widowControl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PhD Candidate</w:t>
      </w:r>
    </w:p>
    <w:p w14:paraId="496DBFF6" w14:textId="7C339753" w:rsidR="00FD2BEE" w:rsidRDefault="00FD2BEE" w:rsidP="00FD2BEE">
      <w:pPr>
        <w:keepLines/>
        <w:widowControl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Temple University</w:t>
      </w:r>
    </w:p>
    <w:p w14:paraId="553740E4" w14:textId="0DBB3594" w:rsidR="003C6E5B" w:rsidRPr="00480F0C" w:rsidRDefault="00000000" w:rsidP="00790604">
      <w:pPr>
        <w:keepLines/>
        <w:widowControl w:val="0"/>
        <w:spacing w:after="0" w:line="240" w:lineRule="auto"/>
        <w:rPr>
          <w:rFonts w:ascii="Arial" w:hAnsi="Arial" w:cs="Arial"/>
        </w:rPr>
      </w:pPr>
      <w:hyperlink r:id="rId11" w:history="1">
        <w:r w:rsidR="003C6E5B" w:rsidRPr="00883DB3">
          <w:rPr>
            <w:rStyle w:val="Hyperlink"/>
            <w:rFonts w:ascii="Arial" w:hAnsi="Arial" w:cs="Arial"/>
          </w:rPr>
          <w:t>Billy.Mitchell@temple.edu</w:t>
        </w:r>
      </w:hyperlink>
    </w:p>
    <w:sectPr w:rsidR="003C6E5B" w:rsidRPr="00480F0C" w:rsidSect="00CC2584"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05E9" w14:textId="77777777" w:rsidR="00B13F52" w:rsidRDefault="00B13F52" w:rsidP="008452DF">
      <w:pPr>
        <w:spacing w:after="0" w:line="240" w:lineRule="auto"/>
      </w:pPr>
      <w:r>
        <w:separator/>
      </w:r>
    </w:p>
  </w:endnote>
  <w:endnote w:type="continuationSeparator" w:id="0">
    <w:p w14:paraId="1E80955C" w14:textId="77777777" w:rsidR="00B13F52" w:rsidRDefault="00B13F52" w:rsidP="0084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D38D" w14:textId="77777777" w:rsidR="00B13F52" w:rsidRDefault="00B13F52" w:rsidP="008452DF">
      <w:pPr>
        <w:spacing w:after="0" w:line="240" w:lineRule="auto"/>
      </w:pPr>
      <w:r>
        <w:separator/>
      </w:r>
    </w:p>
  </w:footnote>
  <w:footnote w:type="continuationSeparator" w:id="0">
    <w:p w14:paraId="5283A9F7" w14:textId="77777777" w:rsidR="00B13F52" w:rsidRDefault="00B13F52" w:rsidP="0084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E3A4" w14:textId="44B42D5B" w:rsidR="00CC6811" w:rsidRDefault="00CC6811">
    <w:pPr>
      <w:pStyle w:val="Header"/>
    </w:pPr>
    <w:r w:rsidRPr="00CC6811">
      <w:rPr>
        <w:rFonts w:ascii="Arial" w:hAnsi="Arial" w:cs="Arial"/>
        <w:noProof/>
      </w:rPr>
      <w:t xml:space="preserve"> </w:t>
    </w:r>
    <w:r w:rsidR="00BB3ADC" w:rsidRPr="00BB3ADC">
      <w:rPr>
        <w:rFonts w:ascii="Arial" w:hAnsi="Arial" w:cs="Arial"/>
        <w:noProof/>
      </w:rPr>
      <w:drawing>
        <wp:inline distT="0" distB="0" distL="0" distR="0" wp14:anchorId="280DE633" wp14:editId="5A92C4AD">
          <wp:extent cx="3114040" cy="778510"/>
          <wp:effectExtent l="0" t="0" r="0" b="2540"/>
          <wp:docPr id="2" name="Picture 2" descr="C:\Users\pjmarsh\OneDrive - Temple University\Chair\Letters\chair letterhead\Psych Neuro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jmarsh\OneDrive - Temple University\Chair\Letters\chair letterhead\Psych Neuro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040" cy="7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824"/>
    <w:multiLevelType w:val="hybridMultilevel"/>
    <w:tmpl w:val="9E70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C5AB4"/>
    <w:multiLevelType w:val="hybridMultilevel"/>
    <w:tmpl w:val="309065FE"/>
    <w:lvl w:ilvl="0" w:tplc="76D099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09F7"/>
    <w:multiLevelType w:val="hybridMultilevel"/>
    <w:tmpl w:val="1546A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F1892"/>
    <w:multiLevelType w:val="hybridMultilevel"/>
    <w:tmpl w:val="9384AD2C"/>
    <w:lvl w:ilvl="0" w:tplc="DFB48E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E5C34"/>
    <w:multiLevelType w:val="hybridMultilevel"/>
    <w:tmpl w:val="FFBEC4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2B5A2B"/>
    <w:multiLevelType w:val="hybridMultilevel"/>
    <w:tmpl w:val="F9DE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81002">
    <w:abstractNumId w:val="1"/>
  </w:num>
  <w:num w:numId="2" w16cid:durableId="261302352">
    <w:abstractNumId w:val="3"/>
  </w:num>
  <w:num w:numId="3" w16cid:durableId="1904371357">
    <w:abstractNumId w:val="4"/>
  </w:num>
  <w:num w:numId="4" w16cid:durableId="753084666">
    <w:abstractNumId w:val="2"/>
  </w:num>
  <w:num w:numId="5" w16cid:durableId="1541626895">
    <w:abstractNumId w:val="5"/>
  </w:num>
  <w:num w:numId="6" w16cid:durableId="85997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DF"/>
    <w:rsid w:val="00013455"/>
    <w:rsid w:val="0001480D"/>
    <w:rsid w:val="00040D23"/>
    <w:rsid w:val="00047785"/>
    <w:rsid w:val="000B1BAB"/>
    <w:rsid w:val="00117C06"/>
    <w:rsid w:val="00125DD9"/>
    <w:rsid w:val="00126BE9"/>
    <w:rsid w:val="0016209B"/>
    <w:rsid w:val="0017048C"/>
    <w:rsid w:val="001821BC"/>
    <w:rsid w:val="001847B9"/>
    <w:rsid w:val="001C0FFD"/>
    <w:rsid w:val="002322C1"/>
    <w:rsid w:val="00261DEB"/>
    <w:rsid w:val="002C1AF9"/>
    <w:rsid w:val="002C1B81"/>
    <w:rsid w:val="002C21AA"/>
    <w:rsid w:val="003215CC"/>
    <w:rsid w:val="003223ED"/>
    <w:rsid w:val="003551D6"/>
    <w:rsid w:val="003947A9"/>
    <w:rsid w:val="003976C0"/>
    <w:rsid w:val="003B3ABC"/>
    <w:rsid w:val="003C6E5B"/>
    <w:rsid w:val="003E0020"/>
    <w:rsid w:val="003F01CA"/>
    <w:rsid w:val="003F1E0B"/>
    <w:rsid w:val="003F530E"/>
    <w:rsid w:val="004127B3"/>
    <w:rsid w:val="00412AC2"/>
    <w:rsid w:val="00424951"/>
    <w:rsid w:val="004352FA"/>
    <w:rsid w:val="00461F64"/>
    <w:rsid w:val="00471362"/>
    <w:rsid w:val="00480F0C"/>
    <w:rsid w:val="004E31E9"/>
    <w:rsid w:val="004F2D21"/>
    <w:rsid w:val="00520651"/>
    <w:rsid w:val="0053480B"/>
    <w:rsid w:val="00546CB1"/>
    <w:rsid w:val="0054747A"/>
    <w:rsid w:val="00551082"/>
    <w:rsid w:val="00553B60"/>
    <w:rsid w:val="0055586B"/>
    <w:rsid w:val="00581E84"/>
    <w:rsid w:val="0058710E"/>
    <w:rsid w:val="00590771"/>
    <w:rsid w:val="005A13F1"/>
    <w:rsid w:val="005A7940"/>
    <w:rsid w:val="005B044F"/>
    <w:rsid w:val="005C1534"/>
    <w:rsid w:val="005C57BE"/>
    <w:rsid w:val="005F4647"/>
    <w:rsid w:val="005F5BD8"/>
    <w:rsid w:val="006519D0"/>
    <w:rsid w:val="006533E7"/>
    <w:rsid w:val="0068109F"/>
    <w:rsid w:val="006845F5"/>
    <w:rsid w:val="00695A9B"/>
    <w:rsid w:val="006B6919"/>
    <w:rsid w:val="006E0E34"/>
    <w:rsid w:val="006F2C8C"/>
    <w:rsid w:val="0071279D"/>
    <w:rsid w:val="00713E9D"/>
    <w:rsid w:val="007377B7"/>
    <w:rsid w:val="00742814"/>
    <w:rsid w:val="00755256"/>
    <w:rsid w:val="00790604"/>
    <w:rsid w:val="007959C3"/>
    <w:rsid w:val="00795E14"/>
    <w:rsid w:val="007C1FDE"/>
    <w:rsid w:val="007D02C8"/>
    <w:rsid w:val="007E0BCB"/>
    <w:rsid w:val="007E5C0B"/>
    <w:rsid w:val="007E793C"/>
    <w:rsid w:val="00830E03"/>
    <w:rsid w:val="008452DF"/>
    <w:rsid w:val="008822E9"/>
    <w:rsid w:val="00882C55"/>
    <w:rsid w:val="0089779C"/>
    <w:rsid w:val="00897C32"/>
    <w:rsid w:val="008D71D3"/>
    <w:rsid w:val="008E4B5A"/>
    <w:rsid w:val="0090642E"/>
    <w:rsid w:val="0091317C"/>
    <w:rsid w:val="0094318B"/>
    <w:rsid w:val="00993B86"/>
    <w:rsid w:val="009A10CC"/>
    <w:rsid w:val="009A5D7D"/>
    <w:rsid w:val="009A6CD7"/>
    <w:rsid w:val="009E57F0"/>
    <w:rsid w:val="009F3794"/>
    <w:rsid w:val="009F64A7"/>
    <w:rsid w:val="00A110E2"/>
    <w:rsid w:val="00A342FA"/>
    <w:rsid w:val="00A36569"/>
    <w:rsid w:val="00A559F9"/>
    <w:rsid w:val="00A55E2C"/>
    <w:rsid w:val="00AC3A0B"/>
    <w:rsid w:val="00AE36BC"/>
    <w:rsid w:val="00AF6C98"/>
    <w:rsid w:val="00B00036"/>
    <w:rsid w:val="00B13F52"/>
    <w:rsid w:val="00B275E2"/>
    <w:rsid w:val="00B336EE"/>
    <w:rsid w:val="00B40741"/>
    <w:rsid w:val="00B7122C"/>
    <w:rsid w:val="00BB3ADC"/>
    <w:rsid w:val="00BD15C5"/>
    <w:rsid w:val="00BD5B98"/>
    <w:rsid w:val="00C0206A"/>
    <w:rsid w:val="00C47C07"/>
    <w:rsid w:val="00C73BE2"/>
    <w:rsid w:val="00C7661D"/>
    <w:rsid w:val="00CA04FF"/>
    <w:rsid w:val="00CB75CE"/>
    <w:rsid w:val="00CC2584"/>
    <w:rsid w:val="00CC6811"/>
    <w:rsid w:val="00CC7424"/>
    <w:rsid w:val="00D122A4"/>
    <w:rsid w:val="00D147A2"/>
    <w:rsid w:val="00D403AC"/>
    <w:rsid w:val="00D56A89"/>
    <w:rsid w:val="00D702B9"/>
    <w:rsid w:val="00D7584F"/>
    <w:rsid w:val="00D75FEB"/>
    <w:rsid w:val="00DA6787"/>
    <w:rsid w:val="00DD7A16"/>
    <w:rsid w:val="00DD7E4F"/>
    <w:rsid w:val="00DE062B"/>
    <w:rsid w:val="00DE67DC"/>
    <w:rsid w:val="00DF0110"/>
    <w:rsid w:val="00E50E47"/>
    <w:rsid w:val="00E62EE4"/>
    <w:rsid w:val="00E92ACA"/>
    <w:rsid w:val="00EB6509"/>
    <w:rsid w:val="00F03355"/>
    <w:rsid w:val="00F62855"/>
    <w:rsid w:val="00F805D0"/>
    <w:rsid w:val="00F8335A"/>
    <w:rsid w:val="00FB336C"/>
    <w:rsid w:val="00FD2BEE"/>
    <w:rsid w:val="00FD65D2"/>
    <w:rsid w:val="00FE77EB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F56A"/>
  <w15:chartTrackingRefBased/>
  <w15:docId w15:val="{14130D48-D61B-4604-AA6A-98F5B83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F"/>
  </w:style>
  <w:style w:type="paragraph" w:styleId="Footer">
    <w:name w:val="footer"/>
    <w:basedOn w:val="Normal"/>
    <w:link w:val="Foot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F"/>
  </w:style>
  <w:style w:type="character" w:styleId="Hyperlink">
    <w:name w:val="Hyperlink"/>
    <w:rsid w:val="00845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AB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58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584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BE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03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lly.Mitchell@temple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E24792124A4DB503D0B50D01EEA0" ma:contentTypeVersion="15" ma:contentTypeDescription="Create a new document." ma:contentTypeScope="" ma:versionID="4b2c02ceb1e31b2f340b92b61132e822">
  <xsd:schema xmlns:xsd="http://www.w3.org/2001/XMLSchema" xmlns:xs="http://www.w3.org/2001/XMLSchema" xmlns:p="http://schemas.microsoft.com/office/2006/metadata/properties" xmlns:ns1="http://schemas.microsoft.com/sharepoint/v3" xmlns:ns3="bbfea48d-1157-4a42-9729-ec1f726fe5be" xmlns:ns4="a1f11f02-88ab-4bf5-87c5-884c79150518" targetNamespace="http://schemas.microsoft.com/office/2006/metadata/properties" ma:root="true" ma:fieldsID="ff3da30404f978c369957271e6325c0d" ns1:_="" ns3:_="" ns4:_="">
    <xsd:import namespace="http://schemas.microsoft.com/sharepoint/v3"/>
    <xsd:import namespace="bbfea48d-1157-4a42-9729-ec1f726fe5be"/>
    <xsd:import namespace="a1f11f02-88ab-4bf5-87c5-884c791505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ea48d-1157-4a42-9729-ec1f726fe5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1f02-88ab-4bf5-87c5-884c79150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3585F0C-7872-477E-9C78-072609F139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AD44A8-F57B-48CF-A505-CC186EB64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fea48d-1157-4a42-9729-ec1f726fe5be"/>
    <ds:schemaRef ds:uri="a1f11f02-88ab-4bf5-87c5-884c79150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912DE-2A66-4604-99C7-27EBC4414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0A4B86-8518-4EA7-B163-C8FD8B7512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Marshall</dc:creator>
  <cp:keywords/>
  <dc:description/>
  <cp:lastModifiedBy>Billy Mitchell</cp:lastModifiedBy>
  <cp:revision>4</cp:revision>
  <cp:lastPrinted>2018-10-03T17:42:00Z</cp:lastPrinted>
  <dcterms:created xsi:type="dcterms:W3CDTF">2023-09-12T01:42:00Z</dcterms:created>
  <dcterms:modified xsi:type="dcterms:W3CDTF">2023-11-30T03:23:00Z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0x0101006C91E24792124A4DB503D0B50D01EEA0</vt:lpwstr>
  </property>
</Properties>
</file>