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2AC2" w14:textId="77777777" w:rsidR="00702CA7" w:rsidRPr="008731C0" w:rsidRDefault="00702CA7" w:rsidP="00702CA7">
      <w:pPr>
        <w:keepNext/>
        <w:keepLines/>
        <w:spacing w:after="0" w:line="240" w:lineRule="auto"/>
        <w:outlineLvl w:val="0"/>
        <w:rPr>
          <w:rFonts w:ascii="Arial" w:eastAsiaTheme="majorEastAsia" w:hAnsi="Arial" w:cs="Arial"/>
          <w:b/>
          <w:bCs/>
          <w:sz w:val="32"/>
          <w:szCs w:val="32"/>
        </w:rPr>
      </w:pPr>
      <w:bookmarkStart w:id="0" w:name="_Hlk57721949"/>
      <w:bookmarkStart w:id="1" w:name="_Hlk121160946"/>
      <w:r w:rsidRPr="008731C0">
        <w:rPr>
          <w:rFonts w:ascii="Arial" w:eastAsiaTheme="majorEastAsia" w:hAnsi="Arial" w:cs="Arial"/>
          <w:b/>
          <w:bCs/>
          <w:sz w:val="32"/>
          <w:szCs w:val="32"/>
        </w:rPr>
        <w:t>Specific Aims</w:t>
      </w:r>
    </w:p>
    <w:p w14:paraId="4DE73CED" w14:textId="1C177E54" w:rsidR="00702CA7" w:rsidRDefault="00702CA7" w:rsidP="00702CA7">
      <w:pPr>
        <w:spacing w:after="0" w:line="240" w:lineRule="auto"/>
        <w:ind w:firstLine="720"/>
        <w:jc w:val="both"/>
        <w:rPr>
          <w:rFonts w:ascii="Arial" w:hAnsi="Arial" w:cs="Arial"/>
        </w:rPr>
      </w:pPr>
      <w:r>
        <w:rPr>
          <w:rFonts w:ascii="Arial" w:hAnsi="Arial" w:cs="Arial"/>
        </w:rPr>
        <w:t xml:space="preserve">Whether meeting strangers or trusting old friends, </w:t>
      </w:r>
      <w:r w:rsidRPr="00CF75D2">
        <w:rPr>
          <w:rFonts w:ascii="Arial" w:hAnsi="Arial" w:cs="Arial"/>
        </w:rPr>
        <w:t xml:space="preserve">social situations </w:t>
      </w:r>
      <w:r>
        <w:rPr>
          <w:rFonts w:ascii="Arial" w:hAnsi="Arial" w:cs="Arial"/>
        </w:rPr>
        <w:t>are often</w:t>
      </w:r>
      <w:r w:rsidRPr="00CF75D2">
        <w:rPr>
          <w:rFonts w:ascii="Arial" w:hAnsi="Arial" w:cs="Arial"/>
        </w:rPr>
        <w:t xml:space="preserve"> rife with uncertainty.</w:t>
      </w:r>
      <w:r>
        <w:rPr>
          <w:rFonts w:ascii="Arial" w:hAnsi="Arial" w:cs="Arial"/>
        </w:rPr>
        <w:t xml:space="preserve"> This uncertainty yields pervasive, negative feelings that can be hard to manage </w:t>
      </w:r>
      <w:r>
        <w:rPr>
          <w:rFonts w:ascii="Arial" w:hAnsi="Arial" w:cs="Arial"/>
          <w:vertAlign w:val="superscript"/>
        </w:rPr>
        <w:fldChar w:fldCharType="begin"/>
      </w:r>
      <w:r>
        <w:rPr>
          <w:rFonts w:ascii="Arial" w:hAnsi="Arial" w:cs="Arial"/>
          <w:vertAlign w:val="superscript"/>
        </w:rPr>
        <w:instrText xml:space="preserve"> ADDIN ZOTERO_ITEM CSL_CITATION {"citationID":"QULbJcDv","properties":{"formattedCitation":"\\super 1\\nosupersub{}","plainCitation":"1","noteIndex":0},"citationItems":[{"id":11960,"uris":["http://zotero.org/users/6239255/items/PAB5DXAK"],"itemData":{"id":11960,"type":"article-journal","container-title":"Nature Human Behaviour","DOI":"10.1038/s41562-019-0590-x","ISSN":"2397-3374","issue":"5","journalAbbreviation":"Nat Hum Behav","language":"en","page":"426-435","source":"DOI.org (Crossref)","title":"Resolving uncertainty in a social world","volume":"3","author":[{"family":"FeldmanHall","given":"Oriel"},{"family":"Shenhav","given":"Amitai"}],"issued":{"date-parts":[["2019",5]]}}}],"schema":"https://github.com/citation-style-language/schema/raw/master/csl-citation.json"} </w:instrText>
      </w:r>
      <w:r>
        <w:rPr>
          <w:rFonts w:ascii="Arial" w:hAnsi="Arial" w:cs="Arial"/>
          <w:vertAlign w:val="superscript"/>
        </w:rPr>
        <w:fldChar w:fldCharType="separate"/>
      </w:r>
      <w:r w:rsidRPr="00702CA7">
        <w:rPr>
          <w:rFonts w:ascii="Arial" w:hAnsi="Arial" w:cs="Arial"/>
          <w:szCs w:val="24"/>
          <w:vertAlign w:val="superscript"/>
        </w:rPr>
        <w:t>1</w:t>
      </w:r>
      <w:r>
        <w:rPr>
          <w:rFonts w:ascii="Arial" w:hAnsi="Arial" w:cs="Arial"/>
          <w:vertAlign w:val="superscript"/>
        </w:rPr>
        <w:fldChar w:fldCharType="end"/>
      </w:r>
      <w:r>
        <w:rPr>
          <w:rFonts w:ascii="Arial" w:hAnsi="Arial" w:cs="Arial"/>
        </w:rPr>
        <w:t xml:space="preserve">. Established paradigms capture uncertainty in perceptions (e.g., assessing luminance changes) and calculations (e.g., maximizing earnings) </w:t>
      </w:r>
      <w:r>
        <w:rPr>
          <w:rFonts w:ascii="Arial" w:hAnsi="Arial" w:cs="Arial"/>
        </w:rPr>
        <w:fldChar w:fldCharType="begin"/>
      </w:r>
      <w:r>
        <w:rPr>
          <w:rFonts w:ascii="Arial" w:hAnsi="Arial" w:cs="Arial"/>
        </w:rPr>
        <w:instrText xml:space="preserve"> ADDIN ZOTERO_ITEM CSL_CITATION {"citationID":"HGCHS3vm","properties":{"formattedCitation":"\\super 2\\uc0\\u8211{}5\\nosupersub{}","plainCitation":"2–5","noteIndex":0},"citationItems":[{"id":12099,"uris":["http://zotero.org/users/6239255/items/MG7P3A42"],"itemData":{"id":12099,"type":"article-journal","container-title":"Quarterly Journal of Economics","DOI":"10.2307/1884324","issue":"27","journalAbbreviation":"Q J Econ","language":"en","page":"27","source":"Zotero","title":"Risk, Ambiguity, and the Savage Axioms","volume":"75","author":[{"family":"Ellsberg","given":"D."}],"issued":{"date-parts":[["1961"]]}}},{"id":12070,"uris":["http://zotero.org/users/6239255/items/QRW2EHWK"],"itemData":{"id":12070,"type":"article-journal","abstract":"Attitudes to risk (known probabilities) and attitudes to ambiguity (unknown probabilities) are separate constructs that influence decision making, but their development across adolescence remains elusive. We administered a choice task to a wide adolescent age-range (N = 157, 10–25 years) to disentangle risk- and ambiguity-attitudes using a model-based approach. Additionally, this task was played in a social context, presenting choices from a high risk-taking peer. We observed age-related changes in ambiguity-attitude, but not risk-attitude. Also, ambiguity-aversion was negatively related to real-life risk taking. Finally, the social context influenced only riskattitudes. These results highlight the importance of disentangling risk- and ambiguity-attitudes in adolescent risk taking.","container-title":"Developmental Neuropsychology","DOI":"10.1080/87565641.2016.1158265","ISSN":"8756-5641, 1532-6942","issue":"1-2","journalAbbreviation":"Developmental Neuropsychology","language":"en","page":"77-92","source":"DOI.org (Crossref)","title":"Dealing With Uncertainty: Testing Risk- and Ambiguity-Attitude Across Adolescence","title-short":"Dealing With Uncertainty","volume":"41","author":[{"family":"Blankenstein","given":"Neeltje E."},{"family":"Crone","given":"Eveline A."},{"family":"Bos","given":"Wouter","non-dropping-particle":"van den"},{"family":"Duijvenvoorde","given":"Anna C. K.","non-dropping-particle":"van"}],"issued":{"date-parts":[["2016",2,17]]}}},{"id":12007,"uris":["http://zotero.org/users/6239255/items/R72GSB38"],"itemData":{"id":12007,"type":"article-journal","abstract":"The phenomenon of ambiguity aversion, in which risky gambles with known probabilities are preferred over ambiguous gambles with unknown probabilities, has been thoroughly documented in adults but never measured in children. Here, we use two distinct tasks to investigate ambiguity preferences of children (8- to 9-year-olds) and a comparison group of adults (19- to 27-year-olds). Across three separate measures, we found evidence for signiﬁcant ambiguity aversion in adults but not in children and for greater ambiguity aversion in adults compared to children. As ambiguity aversion in adults has been theorized to result from a preference to bet on the known and avoid the unfamiliar, we separately measured familiarity bias and found that children, like adults, are biased towards the familiar. Our ﬁndings indicate that ambiguity aversion emerges across the course of development between childhood and adolescence, while a familiarity bias is already present in childhood.","container-title":"Frontiers in Psychology","DOI":"10.3389/fpsyg.2014.01519","ISSN":"1664-1078","journalAbbreviation":"Front. Psychol.","language":"en","source":"DOI.org (Crossref)","title":"Children do not exhibit ambiguity aversion despite intact familiarity bias","URL":"http://journal.frontiersin.org/article/10.3389/fpsyg.2014.01519/abstract","volume":"5","author":[{"family":"Li","given":"Rosa"},{"family":"Brannon","given":"Elizabeth M."},{"family":"Huettel","given":"Scott A."}],"accessed":{"date-parts":[["2022",11,3]]},"issued":{"date-parts":[["2015",1,5]]}}},{"id":11977,"uris":["http://zotero.org/users/6239255/items/HPULKJF9"],"itemData":{"id":11977,"type":"article-journal","abstract":"Sensory processing abnormalities, anxiety and restricted and repetitive behaviours (RRBs) frequently cooccur in Autism Spectrum Disorders (ASD). Though the relationship between these phenomena is not well understood, emerging evidence indicates intolerance of uncertainty (IU) may play an important role. This study aimed to determine pathways between sensory abnormalities and RRBs, and the role anxiety and IU may have. We gathered caregiver report data for 53 children with ASD aged 8–16 years. We found sensory under responsiveness and sensory over responsiveness were signiﬁcantly associated with repetitive motor and insistence on sameness behaviours, and the relationships signiﬁcantly mediated by IU and anxiety. Our ﬁndings indicate different mechanisms may underpin repetitive motor and insistence on sameness RRBs, which can inform treatment interventions.","container-title":"Journal of Autism and Developmental Disorders","DOI":"10.1007/s10803-014-2248-x","ISSN":"0162-3257, 1573-3432","issue":"4","journalAbbreviation":"J Autism Dev Disord","language":"en","page":"943-952","source":"DOI.org (Crossref)","title":"The Interplay Between Sensory Processing Abnormalities, Intolerance of Uncertainty, Anxiety and Restricted and Repetitive Behaviours in Autism Spectrum Disorder","volume":"45","author":[{"family":"Wigham","given":"Sarah"},{"family":"Rodgers","given":"Jacqui"},{"family":"South","given":"Mikle"},{"family":"McConachie","given":"Helen"},{"family":"Freeston","given":"Mark"}],"issued":{"date-parts":[["2015",4]]}}}],"schema":"https://github.com/citation-style-language/schema/raw/master/csl-citation.json"} </w:instrText>
      </w:r>
      <w:r>
        <w:rPr>
          <w:rFonts w:ascii="Arial" w:hAnsi="Arial" w:cs="Arial"/>
        </w:rPr>
        <w:fldChar w:fldCharType="separate"/>
      </w:r>
      <w:r w:rsidRPr="00702CA7">
        <w:rPr>
          <w:rFonts w:ascii="Arial" w:hAnsi="Arial" w:cs="Arial"/>
          <w:szCs w:val="24"/>
          <w:vertAlign w:val="superscript"/>
        </w:rPr>
        <w:t>2–5</w:t>
      </w:r>
      <w:r>
        <w:rPr>
          <w:rFonts w:ascii="Arial" w:hAnsi="Arial" w:cs="Arial"/>
        </w:rPr>
        <w:fldChar w:fldCharType="end"/>
      </w:r>
      <w:r>
        <w:rPr>
          <w:rFonts w:ascii="Arial" w:hAnsi="Arial" w:cs="Arial"/>
        </w:rPr>
        <w:t xml:space="preserve"> but lack key characteristics mirroring how social uncertainty judgments are formed beyond the lab. For example, information relevant to how certain we can be to trust a person may be revealed across a narrative and a time course (e.g., learning a potential friend’s life story), must be sorted from irrelevant information (e.g., learning that person’s favorite color), and may also be subject to idiosyncratic personal biases (e.g., finding relevance between favorite color and friendship potential). As such, </w:t>
      </w:r>
      <w:r w:rsidRPr="00CC1AAC">
        <w:rPr>
          <w:rFonts w:ascii="Arial" w:hAnsi="Arial" w:cs="Arial"/>
          <w:u w:val="single"/>
        </w:rPr>
        <w:t>we know little about how judgments of social uncertainty form</w:t>
      </w:r>
      <w:r>
        <w:rPr>
          <w:rFonts w:ascii="Arial" w:hAnsi="Arial" w:cs="Arial"/>
          <w:u w:val="single"/>
        </w:rPr>
        <w:t>,</w:t>
      </w:r>
      <w:r w:rsidRPr="00CC1AAC">
        <w:rPr>
          <w:rFonts w:ascii="Arial" w:hAnsi="Arial" w:cs="Arial"/>
          <w:u w:val="single"/>
        </w:rPr>
        <w:t xml:space="preserve"> </w:t>
      </w:r>
      <w:r>
        <w:rPr>
          <w:rFonts w:ascii="Arial" w:hAnsi="Arial" w:cs="Arial"/>
          <w:u w:val="single"/>
        </w:rPr>
        <w:t>and</w:t>
      </w:r>
      <w:r w:rsidRPr="00CC1AAC">
        <w:rPr>
          <w:rFonts w:ascii="Arial" w:hAnsi="Arial" w:cs="Arial"/>
          <w:u w:val="single"/>
        </w:rPr>
        <w:t xml:space="preserve"> how domain-specific these formation processes might be</w:t>
      </w:r>
      <w:r>
        <w:rPr>
          <w:rFonts w:ascii="Arial" w:hAnsi="Arial" w:cs="Arial"/>
        </w:rPr>
        <w:t xml:space="preserve">. While relevant throughout the lifespan, </w:t>
      </w:r>
      <w:r w:rsidRPr="00CC1AAC">
        <w:rPr>
          <w:rFonts w:ascii="Arial" w:hAnsi="Arial" w:cs="Arial"/>
          <w:u w:val="single"/>
        </w:rPr>
        <w:t xml:space="preserve">how social uncertainty is resolved may be especially pertinent during </w:t>
      </w:r>
      <w:r>
        <w:rPr>
          <w:rFonts w:ascii="Arial" w:hAnsi="Arial" w:cs="Arial"/>
          <w:u w:val="single"/>
        </w:rPr>
        <w:t xml:space="preserve">early </w:t>
      </w:r>
      <w:r w:rsidRPr="00CC1AAC">
        <w:rPr>
          <w:rFonts w:ascii="Arial" w:hAnsi="Arial" w:cs="Arial"/>
          <w:u w:val="single"/>
        </w:rPr>
        <w:t>development</w:t>
      </w:r>
      <w:r>
        <w:rPr>
          <w:rFonts w:ascii="Arial" w:hAnsi="Arial" w:cs="Arial"/>
        </w:rPr>
        <w:t xml:space="preserve">, a period when individuals are first learning how to navigate the </w:t>
      </w:r>
      <w:r w:rsidRPr="003A766E">
        <w:rPr>
          <w:rFonts w:ascii="Arial" w:hAnsi="Arial" w:cs="Arial"/>
          <w:i/>
        </w:rPr>
        <w:t>complex</w:t>
      </w:r>
      <w:r>
        <w:rPr>
          <w:rFonts w:ascii="Arial" w:hAnsi="Arial" w:cs="Arial"/>
        </w:rPr>
        <w:t xml:space="preserve"> social world </w:t>
      </w:r>
      <w:r>
        <w:rPr>
          <w:rFonts w:ascii="Arial" w:hAnsi="Arial" w:cs="Arial"/>
          <w:vertAlign w:val="superscript"/>
        </w:rPr>
        <w:t>1</w:t>
      </w:r>
      <w:r>
        <w:rPr>
          <w:rFonts w:ascii="Arial" w:hAnsi="Arial" w:cs="Arial"/>
        </w:rPr>
        <w:t>.</w:t>
      </w:r>
    </w:p>
    <w:p w14:paraId="3B193208" w14:textId="62D793DA" w:rsidR="00702CA7" w:rsidRDefault="00702CA7" w:rsidP="00702CA7">
      <w:pPr>
        <w:spacing w:after="0" w:line="240" w:lineRule="auto"/>
        <w:ind w:firstLine="720"/>
        <w:jc w:val="both"/>
        <w:rPr>
          <w:rFonts w:ascii="Arial" w:hAnsi="Arial" w:cs="Arial"/>
        </w:rPr>
      </w:pPr>
      <w:r>
        <w:rPr>
          <w:rFonts w:ascii="Arial" w:hAnsi="Arial" w:cs="Arial"/>
        </w:rPr>
        <w:t xml:space="preserve">Extant developmental literature highlights that adolescents differ from adults by not demonstrating pronounced aversion to economic ambiguity (i.e., uncertain outcomes and unknown probabilities) </w:t>
      </w:r>
      <w:r>
        <w:rPr>
          <w:rFonts w:ascii="Arial" w:hAnsi="Arial" w:cs="Arial"/>
          <w:vertAlign w:val="superscript"/>
        </w:rPr>
        <w:t xml:space="preserve"> </w:t>
      </w:r>
      <w:r>
        <w:rPr>
          <w:rFonts w:ascii="Arial" w:hAnsi="Arial" w:cs="Arial"/>
          <w:vertAlign w:val="superscript"/>
        </w:rPr>
        <w:fldChar w:fldCharType="begin"/>
      </w:r>
      <w:r>
        <w:rPr>
          <w:rFonts w:ascii="Arial" w:hAnsi="Arial" w:cs="Arial"/>
          <w:vertAlign w:val="superscript"/>
        </w:rPr>
        <w:instrText xml:space="preserve"> ADDIN ZOTERO_ITEM CSL_CITATION {"citationID":"3yWxe48R","properties":{"formattedCitation":"\\super 6\\nosupersub{}","plainCitation":"6","noteIndex":0},"citationItems":[{"id":12011,"uris":["http://zotero.org/users/6239255/items/FTRIDRN9"],"itemData":{"id":12011,"type":"article-journal","abstract":"Adolescents engage in a wide range of risky behaviors that their older peers shun, and at an enormous cost. Despite being older, stronger, and healthier than children, adolescents face twice the risk of mortality and morbidity faced by their younger peers. Are adolescents really risk-seekers or does some richer underlying preference drive their love of the uncertain? To answer that question, we used standard experimental economic methods to assess the attitudes of 65 individuals ranging in age from 12 to 50 toward risk and ambiguity. Perhaps surprisingly, we found that adolescents were, if anything, more averse to clearly stated risks than their older peers. What distinguished adolescents was their willingness to accept ambiguous conditions—situations in which the likelihood of winning and losing is unknown. Though adults find ambiguous monetary lotteries undesirable, adolescents find them tolerable. This finding suggests that the higher level of risk-taking observed among adolescents may reflect a higher tolerance for the unknown. Biologically, such a tolerance may make sense, because it would allow young organisms to take better advantage of learning opportunities; it also suggests that policies that seek to inform adolescents of the risks, costs, and benefits of unexperienced dangerous behaviors may be effective and, when appropriate, could be used to complement policies that limit their experiences.","container-title":"Proceedings of the National Academy of Sciences","DOI":"10.1073/pnas.1207144109","ISSN":"0027-8424, 1091-6490","issue":"42","journalAbbreviation":"Proc. Natl. Acad. Sci. U.S.A.","language":"en","page":"17135-17140","source":"DOI.org (Crossref)","title":"Adolescents’ risk-taking behavior is driven by tolerance to ambiguity","volume":"109","author":[{"family":"Tymula","given":"Agnieszka"},{"family":"Rosenberg Belmaker","given":"Lior A."},{"family":"Roy","given":"Amy K."},{"family":"Ruderman","given":"Lital"},{"family":"Manson","given":"Kirk"},{"family":"Glimcher","given":"Paul W."},{"family":"Levy","given":"Ifat"}],"issued":{"date-parts":[["2012",10,16]]}}}],"schema":"https://github.com/citation-style-language/schema/raw/master/csl-citation.json"} </w:instrText>
      </w:r>
      <w:r>
        <w:rPr>
          <w:rFonts w:ascii="Arial" w:hAnsi="Arial" w:cs="Arial"/>
          <w:vertAlign w:val="superscript"/>
        </w:rPr>
        <w:fldChar w:fldCharType="separate"/>
      </w:r>
      <w:r w:rsidRPr="00702CA7">
        <w:rPr>
          <w:rFonts w:ascii="Arial" w:hAnsi="Arial" w:cs="Arial"/>
          <w:szCs w:val="24"/>
          <w:vertAlign w:val="superscript"/>
        </w:rPr>
        <w:t>6</w:t>
      </w:r>
      <w:r>
        <w:rPr>
          <w:rFonts w:ascii="Arial" w:hAnsi="Arial" w:cs="Arial"/>
          <w:vertAlign w:val="superscript"/>
        </w:rPr>
        <w:fldChar w:fldCharType="end"/>
      </w:r>
      <w:r>
        <w:rPr>
          <w:rFonts w:ascii="Arial" w:hAnsi="Arial" w:cs="Arial"/>
        </w:rPr>
        <w:t xml:space="preserve">, which is distinct from risk (i.e., uncertain outcomes and known probabilities) </w:t>
      </w:r>
      <w:r>
        <w:rPr>
          <w:rFonts w:ascii="Arial" w:hAnsi="Arial" w:cs="Arial"/>
        </w:rPr>
        <w:fldChar w:fldCharType="begin"/>
      </w:r>
      <w:r>
        <w:rPr>
          <w:rFonts w:ascii="Arial" w:hAnsi="Arial" w:cs="Arial"/>
        </w:rPr>
        <w:instrText xml:space="preserve"> ADDIN ZOTERO_ITEM CSL_CITATION {"citationID":"QSCDmNrN","properties":{"formattedCitation":"\\super 2\\nosupersub{}","plainCitation":"2","noteIndex":0},"citationItems":[{"id":12099,"uris":["http://zotero.org/users/6239255/items/MG7P3A42"],"itemData":{"id":12099,"type":"article-journal","container-title":"Quarterly Journal of Economics","DOI":"10.2307/1884324","issue":"27","journalAbbreviation":"Q J Econ","language":"en","page":"27","source":"Zotero","title":"Risk, Ambiguity, and the Savage Axioms","volume":"75","author":[{"family":"Ellsberg","given":"D."}],"issued":{"date-parts":[["1961"]]}}}],"schema":"https://github.com/citation-style-language/schema/raw/master/csl-citation.json"} </w:instrText>
      </w:r>
      <w:r>
        <w:rPr>
          <w:rFonts w:ascii="Arial" w:hAnsi="Arial" w:cs="Arial"/>
        </w:rPr>
        <w:fldChar w:fldCharType="separate"/>
      </w:r>
      <w:r w:rsidRPr="00702CA7">
        <w:rPr>
          <w:rFonts w:ascii="Arial" w:hAnsi="Arial" w:cs="Arial"/>
          <w:szCs w:val="24"/>
          <w:vertAlign w:val="superscript"/>
        </w:rPr>
        <w:t>2</w:t>
      </w:r>
      <w:r>
        <w:rPr>
          <w:rFonts w:ascii="Arial" w:hAnsi="Arial" w:cs="Arial"/>
        </w:rPr>
        <w:fldChar w:fldCharType="end"/>
      </w:r>
      <w:r>
        <w:rPr>
          <w:rFonts w:ascii="Arial" w:hAnsi="Arial" w:cs="Arial"/>
        </w:rPr>
        <w:t xml:space="preserve">. Social Exchange Theory frameworks suggest non-social responses should generalize to the social domain </w:t>
      </w:r>
      <w:r>
        <w:rPr>
          <w:rFonts w:ascii="Arial" w:hAnsi="Arial" w:cs="Arial"/>
        </w:rPr>
        <w:fldChar w:fldCharType="begin"/>
      </w:r>
      <w:r>
        <w:rPr>
          <w:rFonts w:ascii="Arial" w:hAnsi="Arial" w:cs="Arial"/>
        </w:rPr>
        <w:instrText xml:space="preserve"> ADDIN ZOTERO_ITEM CSL_CITATION {"citationID":"eaBx7pC3","properties":{"formattedCitation":"\\super 7\\nosupersub{}","plainCitation":"7","noteIndex":0},"citationItems":[{"id":12093,"uris":["http://zotero.org/users/6239255/items/65C39E2H"],"itemData":{"id":12093,"type":"article-journal","abstract":"Social decisions in risky contexts raise a number of difficult questions, such as: (1) Should social decisions be more or less risk averse than the average person? (2) Should we try to avoid large catastrophes more than frequent but limited harms with similar expected impact? (3) Should social decisions be ambiguity averse or stick to the expected utility canon? This paper reviews the welfare economics of risk and uncertainty and examines possible answers to these questions, based on the pros and cons of utilitarianism, ex ante egalitarianism and ex post egalitarianism.","container-title":"Canadian Journal of Economics/Revue canadienne d'économique","DOI":"10.1111/caje.12314","ISSN":"0008-4085, 1540-5982","issue":"1","journalAbbreviation":"Canadian Journal of Economics/Revue canadienne d'économique","language":"en","page":"5-40","source":"DOI.org (Crossref)","title":"Welfare economics, risk and uncertainty","volume":"51","author":[{"family":"Fleurbaey","given":"Marc"}],"issued":{"date-parts":[["2018",2]]}}}],"schema":"https://github.com/citation-style-language/schema/raw/master/csl-citation.json"} </w:instrText>
      </w:r>
      <w:r>
        <w:rPr>
          <w:rFonts w:ascii="Arial" w:hAnsi="Arial" w:cs="Arial"/>
        </w:rPr>
        <w:fldChar w:fldCharType="separate"/>
      </w:r>
      <w:r w:rsidRPr="00702CA7">
        <w:rPr>
          <w:rFonts w:ascii="Arial" w:hAnsi="Arial" w:cs="Arial"/>
          <w:szCs w:val="24"/>
          <w:vertAlign w:val="superscript"/>
        </w:rPr>
        <w:t>7</w:t>
      </w:r>
      <w:r>
        <w:rPr>
          <w:rFonts w:ascii="Arial" w:hAnsi="Arial" w:cs="Arial"/>
        </w:rPr>
        <w:fldChar w:fldCharType="end"/>
      </w:r>
      <w:r>
        <w:rPr>
          <w:rFonts w:ascii="Arial" w:hAnsi="Arial" w:cs="Arial"/>
        </w:rPr>
        <w:t xml:space="preserve">, but paradigms explicitly exploring this hypothesis </w:t>
      </w:r>
      <w:r w:rsidR="0033499E">
        <w:rPr>
          <w:rFonts w:ascii="Arial" w:hAnsi="Arial" w:cs="Arial"/>
        </w:rPr>
        <w:t>yield mixed results</w:t>
      </w:r>
      <w:r>
        <w:rPr>
          <w:rFonts w:ascii="Arial" w:hAnsi="Arial" w:cs="Arial"/>
        </w:rPr>
        <w:t xml:space="preserve">. Contrary to this theory, </w:t>
      </w:r>
      <w:r w:rsidRPr="002B1CB6">
        <w:rPr>
          <w:rFonts w:ascii="Arial" w:hAnsi="Arial" w:cs="Arial"/>
        </w:rPr>
        <w:t>adolescents demonstrate behaviors to resolve social ambiguity</w:t>
      </w:r>
      <w:r w:rsidR="008769A8">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{"citationID":"xZ4rRMyF","properties":{"formattedCitation":"\\super 8\\nosupersub{}","plainCitation":"8","noteIndex":0},"citationItems":[{"id":12087,"uris":["http://zotero.org/users/6239255/items/FQS2J2P7"],"itemData":{"id":12087,"type":"article-journal","abstract":"Abstract\n            Theoretical works in social psychology and neuroscientific evidence have proposed that social rewards have intrinsic value, suggesting that people place a high premium on the ability to influence others. To test this hypothesis, we asked whether, and under what conditions, people are willing to forgo monetary reward for the sake of influencing others’ decisions. In four experiments, online and lab-based participants competed with a rival for influence over a client. The majority of participants sacrificed some of their financial reward to increase their chance of being selected over their rival within the experiment. Willingness to pay was affected by the participant’s current level of influence and performance, as participants were most likely to pay to promote their competence after having given good advice that had been ignored by the client using a situation where monetary incentives fail to explain human motivations, our experiments highlight the intrinsic value of social influence.","container-title":"Scientific Reports","DOI":"10.1038/s41598-020-74857-5","ISSN":"2045-2322","issue":"1","journalAbbreviation":"Sci Rep","language":"en","page":"17813","source":"DOI.org (Crossref)","title":"Self-competence increases the willingness to pay for social influence","volume":"10","author":[{"family":"Hertz","given":"Uri"},{"family":"Tyropoulou","given":"Evangelia"},{"family":"Traberg","given":"Cecilie"},{"family":"Bahrami","given":"Bahador"}],"issued":{"date-parts":[["2020",12]]}}}],"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8</w:t>
      </w:r>
      <w:r w:rsidR="008769A8">
        <w:rPr>
          <w:rFonts w:ascii="Arial" w:hAnsi="Arial" w:cs="Arial"/>
          <w:vertAlign w:val="superscript"/>
        </w:rPr>
        <w:fldChar w:fldCharType="end"/>
      </w:r>
      <w:r>
        <w:rPr>
          <w:rFonts w:ascii="Arial" w:hAnsi="Arial" w:cs="Arial"/>
        </w:rPr>
        <w:t>, and t</w:t>
      </w:r>
      <w:r w:rsidRPr="009C4E37">
        <w:rPr>
          <w:rFonts w:ascii="Arial" w:hAnsi="Arial" w:cs="Arial"/>
        </w:rPr>
        <w:t xml:space="preserve">he </w:t>
      </w:r>
      <w:r w:rsidRPr="0033499E">
        <w:rPr>
          <w:rFonts w:ascii="Arial" w:hAnsi="Arial" w:cs="Arial"/>
          <w:u w:val="single"/>
        </w:rPr>
        <w:t>presence of ambiguous social stressors during this period predicts long-term susceptibility to, and severity of, anxiety and depression</w:t>
      </w:r>
      <w:r>
        <w:rPr>
          <w:rFonts w:ascii="Arial" w:hAnsi="Arial" w:cs="Arial"/>
        </w:rPr>
        <w:t xml:space="preserve"> </w:t>
      </w:r>
      <w:r>
        <w:rPr>
          <w:rFonts w:ascii="Arial" w:hAnsi="Arial" w:cs="Arial"/>
        </w:rPr>
        <w:fldChar w:fldCharType="begin"/>
      </w:r>
      <w:r w:rsidR="008769A8">
        <w:rPr>
          <w:rFonts w:ascii="Arial" w:hAnsi="Arial" w:cs="Arial"/>
        </w:rPr>
        <w:instrText xml:space="preserve"> ADDIN ZOTERO_ITEM CSL_CITATION {"citationID":"RbrDLTax","properties":{"formattedCitation":"\\super 9\\nosupersub{}","plainCitation":"9","noteIndex":0},"citationItems":[{"id":12079,"uris":["http://zotero.org/users/6239255/items/QMR68UU5"],"itemData":{"id":12079,"type":"article-journal","container-title":"Journal of Child Psychology and Psychiatry","DOI":"10.1111/jcpp.13690","ISSN":"0021-9630, 1469-7610","journalAbbreviation":"Child Psychology Psychiatry","language":"en","page":"jcpp.13690","source":"DOI.org (Crossref)","title":"Neural sensitivity to peer feedback and depression symptoms in adolescents: a &lt;span style=\"font-variant:small-caps;\"&gt;2</w:instrText>
      </w:r>
      <w:r w:rsidR="008769A8">
        <w:rPr>
          <w:rFonts w:ascii="Cambria Math" w:hAnsi="Cambria Math" w:cs="Cambria Math"/>
        </w:rPr>
        <w:instrText>‐</w:instrText>
      </w:r>
      <w:r w:rsidR="008769A8">
        <w:rPr>
          <w:rFonts w:ascii="Arial" w:hAnsi="Arial" w:cs="Arial"/>
        </w:rPr>
        <w:instrText xml:space="preserve">year&lt;/span&gt; multiwave longitudinal study","title-short":"Neural sensitivity to peer feedback and depression symptoms in adolescents","author":[{"family":"Pagliaccio","given":"David"},{"family":"Kumar","given":"Poornima"},{"family":"Kamath","given":"Rahil A."},{"family":"Pizzagalli","given":"Diego A."},{"family":"Auerbach","given":"Randy P."}],"issued":{"date-parts":[["2022",9,9]]}}}],"schema":"https://github.com/citation-style-language/schema/raw/master/csl-citation.json"} </w:instrText>
      </w:r>
      <w:r>
        <w:rPr>
          <w:rFonts w:ascii="Arial" w:hAnsi="Arial" w:cs="Arial"/>
        </w:rPr>
        <w:fldChar w:fldCharType="separate"/>
      </w:r>
      <w:r w:rsidR="008769A8" w:rsidRPr="008769A8">
        <w:rPr>
          <w:rFonts w:ascii="Arial" w:hAnsi="Arial" w:cs="Arial"/>
          <w:szCs w:val="24"/>
          <w:vertAlign w:val="superscript"/>
        </w:rPr>
        <w:t>9</w:t>
      </w:r>
      <w:r>
        <w:rPr>
          <w:rFonts w:ascii="Arial" w:hAnsi="Arial" w:cs="Arial"/>
        </w:rPr>
        <w:fldChar w:fldCharType="end"/>
      </w:r>
      <w:r>
        <w:rPr>
          <w:rFonts w:ascii="Arial" w:hAnsi="Arial" w:cs="Arial"/>
        </w:rPr>
        <w:t>. Furthermore, adolescence represents a period of pronounced attention towards and prioritization of social stimuli</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{"citationID":"h3RoEO8V","properties":{"formattedCitation":"\\super 10,11\\nosupersub{}","plainCitation":"10,11","noteIndex":0},"citationItems":[{"id":12073,"uris":["http://zotero.org/users/6239255/items/BU6ECP9J"],"itemData":{"id":12073,"type":"article-journal","abstract":"Relative to childhood, peer relationships take on a heightened importance during adolescence. Might adolescents be highly attuned to information that concerns when and how they are being evaluated and what their peers think of them? This review evaluates how continuing brain development—which influences brain function—partially explains and reflects adolescents’ attunement to social evaluation. Though preliminary, evidence is mounting to suggest that while processing information relevant to social evaluation and the internal states of other people, adolescents respond with heightened emotional intensity and corresponding nonlinear recruitment of socioaffective brain circuitry. This review highlights research findings that relate trajectories of brain development to social behavior and discusses promising avenues of future research that will inform how brain development might lead adolescents to be sensitized to social evaluation.","container-title":"Current Directions in Psychological Science","DOI":"10.1177/0963721413476512","ISSN":"0963-7214, 1467-8721","issue":"2","journalAbbreviation":"Curr Dir Psychol Sci","language":"en","page":"121-127","source":"DOI.org (Crossref)","title":"The Teenage Brain: Sensitivity to Social Evaluation","title-short":"The Teenage Brain","volume":"22","author":[{"family":"Somerville","given":"Leah H."}],"issued":{"date-parts":[["2013",4]]}}},{"id":12089,"uris":["http://zotero.org/users/6239255/items/JBI43MVR"],"itemData":{"id":12089,"type":"article-journal","abstract":"Adolescence is a period of life during which peers play a pivotal role in decision-making. The narrative of social inﬂuence during adolescence often revolves around risky and maladaptive decisions, like driving under the inﬂuence, and using illegal substances (Steinberg, 2005). However, research has also shown that social inﬂuence can lead to increased prosocial behaviors (Van Hoorn et al., 2017) and a reduction in risk-taking (Braams et al., 2019). While many studies support the notion that adolescents are more sensitive to peer inﬂuence than children or adults, the developmental processes that underlie this sensitivity remain poorly understood. We argue that one important reason for this lack of understanding is the absence of precisely formulated models. To make a ﬁrst step toward formal models of social inﬂuence during adolescence, we ﬁrst identify three prominent verbal models of social inﬂuence in the literature: (1) social motivation, (2) reward sensitivity, and (3) distraction. We then illustrate how these can be translated into formal models, and how such formal models can inform experimental design and help identify developmental processes. Finally, by applying our formal models to existing datasets, we demonstrate the usefulness of formalization by synthesizing different studies with seemingly disparate results. We conclude with a discussion on how formal modeling can be utilized to better investigate the development of peer inﬂuence in adolescence.","container-title":"Frontiers in Psychology","DOI":"10.3389/fpsyg.2019.01915","ISSN":"1664-1078","journalAbbreviation":"Front. Psychol.","language":"en","page":"1915","source":"DOI.org (Crossref)","title":"Social Influence in Adolescent Decision-Making: A Formal Framework","title-short":"Social Influence in Adolescent Decision-Making","volume":"10","author":[{"family":"Ciranka","given":"Simon"},{"family":"Bos","given":"Wouter","non-dropping-particle":"van den"}],"issued":{"date-parts":[["2019",8,29]]}}}],"schema":"https://github.com/citation-style-language/schema/raw/master/csl-citation.json"}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10,11</w:t>
      </w:r>
      <w:r w:rsidR="008769A8">
        <w:rPr>
          <w:rFonts w:ascii="Arial" w:hAnsi="Arial" w:cs="Arial"/>
          <w:vertAlign w:val="superscript"/>
        </w:rPr>
        <w:fldChar w:fldCharType="end"/>
      </w:r>
      <w:r>
        <w:rPr>
          <w:rFonts w:ascii="Arial" w:hAnsi="Arial" w:cs="Arial"/>
        </w:rPr>
        <w:t xml:space="preserve">, which might make adolescents especially sensitive to potential social losses. This evidence supports the existence of an interaction between developmental stage and domain-specificity in ambiguity responses. Characterizing differences in certainty judgments should be of importance to clinical and non-clinical researchers alike, as early intolerance of uncertainty predicts anxiety, emotion dysregulation, and other psychopathologies </w:t>
      </w:r>
      <w:r w:rsidR="008769A8">
        <w:rPr>
          <w:rFonts w:ascii="Arial" w:hAnsi="Arial" w:cs="Arial"/>
        </w:rPr>
        <w:fldChar w:fldCharType="begin"/>
      </w:r>
      <w:r w:rsidR="008769A8">
        <w:rPr>
          <w:rFonts w:ascii="Arial" w:hAnsi="Arial" w:cs="Arial"/>
        </w:rPr>
        <w:instrText xml:space="preserve"> ADDIN ZOTERO_ITEM CSL_CITATION {"citationID":"i2NxH6aH","properties":{"formattedCitation":"\\super 5,12,13\\nosupersub{}","plainCitation":"5,12,13","noteIndex":0},"citationItems":[{"id":11977,"uris":["http://zotero.org/users/6239255/items/HPULKJF9"],"itemData":{"id":11977,"type":"article-journal","abstract":"Sensory processing abnormalities, anxiety and restricted and repetitive behaviours (RRBs) frequently cooccur in Autism Spectrum Disorders (ASD). Though the relationship between these phenomena is not well understood, emerging evidence indicates intolerance of uncertainty (IU) may play an important role. This study aimed to determine pathways between sensory abnormalities and RRBs, and the role anxiety and IU may have. We gathered caregiver report data for 53 children with ASD aged 8–16 years. We found sensory under responsiveness and sensory over responsiveness were signiﬁcantly associated with repetitive motor and insistence on sameness behaviours, and the relationships signiﬁcantly mediated by IU and anxiety. Our ﬁndings indicate different mechanisms may underpin repetitive motor and insistence on sameness RRBs, which can inform treatment interventions.","container-title":"Journal of Autism and Developmental Disorders","DOI":"10.1007/s10803-014-2248-x","ISSN":"0162-3257, 1573-3432","issue":"4","journalAbbreviation":"J Autism Dev Disord","language":"en","page":"943-952","source":"DOI.org (Crossref)","title":"The Interplay Between Sensory Processing Abnormalities, Intolerance of Uncertainty, Anxiety and Restricted and Repetitive Behaviours in Autism Spectrum Disorder","volume":"45","author":[{"family":"Wigham","given":"Sarah"},{"family":"Rodgers","given":"Jacqui"},{"family":"South","given":"Mikle"},{"family":"McConachie","given":"Helen"},{"family":"Freeston","given":"Mark"}],"issued":{"date-parts":[["2015",4]]}}},{"id":5538,"uris":["http://zotero.org/users/6239255/items/4JFEY45F"],"itemData":{"id":5538,"type":"article-journal","abstract":"The current study examines cooperation and cardiovascular responses in individuals that were defected on by their opponent in the first round of an iterated Prisoner’s Dilemma. In this scenario, participants were either primed with the emotion regulation strategy of reappraisal or no emotion regulation strategy, and their opponent either expressed an amused smile or a polite smile after the results were presented. We found that cooperation behavior decreased in the no emotion regulation group when the opponent expressed an amused smile compared to a polite smile. In the cardiovascular measures, we found significant differences between the emotion regulation conditions using the biopsychosocial (BPS) model of challenge and threat. However, the cardiovascular measures of participants instructed with the reappraisal strategy were only weakly comparable with a threat state of the BPS model, which involves decreased blood flow and perception of greater task demands than resources to cope with those demands. Conversely, the cardiovascular measures of participants without an emotion regulation were only weakly comparable with a challenge state of the BPS model, which involves increased blood flow and perception of having enough or more resources to cope with task demands. (PsycINFO Database Record (c) 2019 APA, all rights reserved)","archive":"psyh","archive_location":"2019-11774-001","container-title":"Frontiers in Human Neuroscience","DOI":"10.3389/fnhum.2019.00050","ISSN":"1662-5161","journalAbbreviation":"Frontiers in Human Neuroscience","note":"publisher: Frontiers Media S.A.","source":"EBSCOhost","title":"Emotion regulation in the prisoner’s dilemma: Effects of reappraisal on behavioral measures and cardiovascular measures of challenge and threat","URL":"http://libproxy.temple.edu/login?url=https://search.ebscohost.com/login.aspx?direct=true&amp;db=psyh&amp;AN=2019-11774-001&amp;site=ehost-live&amp;scope=site","volume":"13","author":[{"family":"Chu","given":"Veronica C."},{"family":"Lucas","given":"Gale M."},{"family":"Lei","given":"Su"},{"family":"Mozgai","given":"Sharon"},{"family":"Khooshabeh","given":"Peter"},{"family":"Gratch","given":"Jonathan"}],"issued":{"date-parts":[["2019",2,14]]}}},{"id":11971,"uris":["http://zotero.org/users/6239255/items/LEN8FTUK"],"itemData":{"id":11971,"type":"article-journal","abstract":"Several studies have been conducted to examine whether the construct of intolerance of uncertainty (IU) (Dugas, Gagnon, Ladouceur, &amp; Freeston, Behaviour Research and Therapy, 36, 215–226, 1998b) meets formal criteria as a cognitive vulnerability for excessive and uncontrollable worry. Cognitive models of anxiety suggest that vulnerability is manifest in the manner in which individuals process information. As such, cognitive bias is expected to be observed in individuals characterized by high levels of a putative cognitive vulnerability. In this study, individuals low (n = 110) and high (n = 89) on IU were compared on their appraisals of ambiguous, negative, and positive situations. Individuals high on IU appraised all situation types as more disconcerting relative to the comparison group. However, when controlling for demographics, generalized anxiety disorder (GAD) symptoms, and mood variables, the groups differed only in their appraisals of ambiguous situations. Further, in the high-vulnerability group, degree of IU was a stronger predictor of appraisals of ambiguous situations than were GAD symptoms and mood variables. Tests of mediation showed that appraisals of ambiguous situations partly mediated the relationship of IU to worry, the main symptom of GAD; however, worry also emerged as a partial mediator of the relation of IU to appraisals of ambiguous situations. An exploratory analysis revealed that in individuals high on IU, appraisals were not speciﬁc to the content of current worries, whereas they were to some extent in individuals low on IU. The results are discussed within the context of ﬁndings emerging from cognitive models of GAD, in particular the model proposed by Dugas et al. (1998b).","container-title":"Cognitive Therapy and Research","DOI":"10.1007/s10608-007-9125-2","ISSN":"0147-5916, 1573-2819","issue":"5","journalAbbreviation":"Cogn Ther Res","language":"en","page":"619-638","source":"DOI.org (Crossref)","title":"An investigation of appraisals in individuals vulnerable to excessive worry: the role of intolerance of uncertainty","title-short":"An investigation of appraisals in individuals vulnerable to excessive worry","volume":"32","author":[{"family":"Koerner","given":"Naomi"},{"family":"Dugas","given":"Michel J."}],"issued":{"date-parts":[["2008",10]]}}}],"schema":"https://github.com/citation-style-language/schema/raw/master/csl-citation.json"} </w:instrText>
      </w:r>
      <w:r w:rsidR="008769A8">
        <w:rPr>
          <w:rFonts w:ascii="Arial" w:hAnsi="Arial" w:cs="Arial"/>
        </w:rPr>
        <w:fldChar w:fldCharType="separate"/>
      </w:r>
      <w:r w:rsidR="008769A8" w:rsidRPr="008769A8">
        <w:rPr>
          <w:rFonts w:ascii="Arial" w:hAnsi="Arial" w:cs="Arial"/>
          <w:szCs w:val="24"/>
          <w:vertAlign w:val="superscript"/>
        </w:rPr>
        <w:t>5,12,13</w:t>
      </w:r>
      <w:r w:rsidR="008769A8">
        <w:rPr>
          <w:rFonts w:ascii="Arial" w:hAnsi="Arial" w:cs="Arial"/>
        </w:rPr>
        <w:fldChar w:fldCharType="end"/>
      </w:r>
      <w:r>
        <w:rPr>
          <w:rFonts w:ascii="Arial" w:hAnsi="Arial" w:cs="Arial"/>
        </w:rPr>
        <w:t xml:space="preserve"> as well as </w:t>
      </w:r>
      <w:r w:rsidR="00A97C10">
        <w:rPr>
          <w:rFonts w:ascii="Arial" w:hAnsi="Arial" w:cs="Arial"/>
        </w:rPr>
        <w:t xml:space="preserve">suboptimal </w:t>
      </w:r>
      <w:r>
        <w:rPr>
          <w:rFonts w:ascii="Arial" w:hAnsi="Arial" w:cs="Arial"/>
        </w:rPr>
        <w:t>performance in risk-taking paradigms</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{"citationID":"gXy9aXdE","properties":{"formattedCitation":"\\super 6\\nosupersub{}","plainCitation":"6","noteIndex":0},"citationItems":[{"id":12011,"uris":["http://zotero.org/users/6239255/items/FTRIDRN9"],"itemData":{"id":12011,"type":"article-journal","abstract":"Adolescents engage in a wide range of risky behaviors that their older peers shun, and at an enormous cost. Despite being older, stronger, and healthier than children, adolescents face twice the risk of mortality and morbidity faced by their younger peers. Are adolescents really risk-seekers or does some richer underlying preference drive their love of the uncertain? To answer that question, we used standard experimental economic methods to assess the attitudes of 65 individuals ranging in age from 12 to 50 toward risk and ambiguity. Perhaps surprisingly, we found that adolescents were, if anything, more averse to clearly stated risks than their older peers. What distinguished adolescents was their willingness to accept ambiguous conditions—situations in which the likelihood of winning and losing is unknown. Though adults find ambiguous monetary lotteries undesirable, adolescents find them tolerable. This finding suggests that the higher level of risk-taking observed among adolescents may reflect a higher tolerance for the unknown. Biologically, such a tolerance may make sense, because it would allow young organisms to take better advantage of learning opportunities; it also suggests that policies that seek to inform adolescents of the risks, costs, and benefits of unexperienced dangerous behaviors may be effective and, when appropriate, could be used to complement policies that limit their experiences.","container-title":"Proceedings of the National Academy of Sciences","DOI":"10.1073/pnas.1207144109","ISSN":"0027-8424, 1091-6490","issue":"42","journalAbbreviation":"Proc. Natl. Acad. Sci. U.S.A.","language":"en","page":"17135-17140","source":"DOI.org (Crossref)","title":"Adolescents’ risk-taking behavior is driven by tolerance to ambiguity","volume":"109","author":[{"family":"Tymula","given":"Agnieszka"},{"family":"Rosenberg Belmaker","given":"Lior A."},{"family":"Roy","given":"Amy K."},{"family":"Ruderman","given":"Lital"},{"family":"Manson","given":"Kirk"},{"family":"Glimcher","given":"Paul W."},{"family":"Levy","given":"Ifat"}],"issued":{"date-parts":[["2012",10,16]]}}}],"schema":"https://github.com/citation-style-language/schema/raw/master/csl-citation.json"}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6</w:t>
      </w:r>
      <w:r w:rsidR="008769A8">
        <w:rPr>
          <w:rFonts w:ascii="Arial" w:hAnsi="Arial" w:cs="Arial"/>
          <w:vertAlign w:val="superscript"/>
        </w:rPr>
        <w:fldChar w:fldCharType="end"/>
      </w:r>
      <w:r w:rsidR="008769A8">
        <w:rPr>
          <w:rFonts w:ascii="Arial" w:hAnsi="Arial" w:cs="Arial"/>
        </w:rPr>
        <w:t xml:space="preserve">, </w:t>
      </w:r>
      <w:r>
        <w:rPr>
          <w:rFonts w:ascii="Arial" w:hAnsi="Arial" w:cs="Arial"/>
        </w:rPr>
        <w:t>and peer-pressure susceptibility</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{"citationID":"d4VenRJD","properties":{"formattedCitation":"\\super 14\\nosupersub{}","plainCitation":"14","noteIndex":0},"citationItems":[{"id":12006,"uris":["http://zotero.org/users/6239255/items/HGUA2C92"],"itemData":{"id":12006,"type":"article-journal","abstract":"We study risk attitudes, ambiguity attitudes, and time preferences of 661 children and adolescents, aged ten to eighteen years, in an incentivized experiment and relate experimental choices to field behavior. Experimental measures of impatience are found to be significant predictors of health-related field behavior, saving decisions, and conduct at school. In particular, more impatient children and adolescents are more likely to spend money on alcohol and cigarettes, have a higher body mass index, are less likely to save money, and show worse conduct at school. Experimental measures for risk and ambiguity attitudes are only weak predictors of field behavior.","container-title":"American Economic Review","DOI":"10.1257/aer.103.1.510","ISSN":"0002-8282","issue":"1","journalAbbreviation":"American Economic Review","language":"en","page":"510-531","source":"DOI.org (Crossref)","title":"Impatience and Uncertainty: Experimental Decisions Predict Adolescents' Field Behavior","title-short":"Impatience and Uncertainty","volume":"103","author":[{"family":"Sutter","given":"Matthias"},{"family":"Kocher","given":"Martin G"},{"family":"Glätzle-Rützler","given":"Daniela"},{"family":"Trautmann","given":"Stefan T"}],"issued":{"date-parts":[["2013",2,1]]}}}],"schema":"https://github.com/citation-style-language/schema/raw/master/csl-citation.json"}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14</w:t>
      </w:r>
      <w:r w:rsidR="008769A8">
        <w:rPr>
          <w:rFonts w:ascii="Arial" w:hAnsi="Arial" w:cs="Arial"/>
          <w:vertAlign w:val="superscript"/>
        </w:rPr>
        <w:fldChar w:fldCharType="end"/>
      </w:r>
      <w:r>
        <w:rPr>
          <w:rFonts w:ascii="Arial" w:hAnsi="Arial" w:cs="Arial"/>
        </w:rPr>
        <w:t>. Furthermore, immature prefrontal regulatory circuitry</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{"citationID":"yQvdtOON","properties":{"formattedCitation":"\\super 15\\uc0\\u8211{}19\\nosupersub{}","plainCitation":"15–19","noteIndex":0},"citationItems":[{"id":3060,"uris":["http://zotero.org/users/6239255/items/R6SMTXAF"],"itemData":{"id":3060,"type":"article-journal","abstract":"Recently, an animal model for neurodevelopmental disorders has been developed. In this model, the effects of an early neonatal (postnatal day 7 [Pd 7]) basolateral amygdala lesion are compared with the effects of a lesion later in life (Pd 21). The reported data indicate that amygdala damage at a speciﬁc point early in life results in enduring behavioral disturbances that become more manifest after puberty, for example, only an early lesion resulted in a disruption of the prepulse inhibition, which is also observed in people suffering from schizophrenia. Accordingly, it was postulated that the early damage may affect the neuroanatomic and neurochemical organization and functioning of other brain structures. This was studied by use of the anterograde tracers biotinylated dextran amine and Phaseolus vulgarisleucoagglutinin. At neonatal days 7, 9, 11, 13, and 26, amygdaloid ﬁbers were in particular present in the mediodorsal thalamus (MDT), nucleus accumbens (Acb), and prefrontal cortex (PFC). The development of the topography of the amygdaloid innervation, however, differed markedly for the MDT and Acb compared with the PFC. For the MDT and Acb, no major changes in innervation were observed between Pd 7 and Pd 26, whereas the innervation of the PFC reorganized from a neonatal diffuse (Pd 7 and 9) to a restricted pattern (Pd 11, 13, and 26). In addition, the innervation changed to an adult-like bilaminar pattern. These data provide information on the circuitry that may be involved in the aberrant neurodevelopment of neonatally amygdala-lesioned rats, which have been proposed as an animal model for neurodevelopmental psychopathological disorders. J. Comp. Neurol. 442:239 –249, 2002. © 2001 Wiley-Liss, Inc.","container-title":"The Journal of Comparative Neurology","DOI":"10.1002/cne.10084","ISSN":"0021-9967, 1096-9861","issue":"3","journalAbbreviation":"J. Comp. Neurol.","language":"en","page":"239-249","source":"DOI.org (Crossref)","title":"Neonatal development of projections from the basolateral amygdala to prefrontal, striatal, and thalamic structures in the rat","volume":"442","author":[{"family":"Bouwmeester","given":"Hans"},{"family":"Wolterink","given":"Gerrit"},{"family":"Van Ree","given":"Jan M."}],"issued":{"date-parts":[["2002",1,14]]}}},{"id":3062,"uris":["http://zotero.org/users/6239255/items/XRDHUD32"],"itemData":{"id":3062,"type":"article-journal","abstract":"Recently an animal model for neurodevelopmental disorders has been developed. In this model the effects of an early neonatal [postnatal day 7 (Pd7)] basolateral amygdala lesion are compared with the effects of a lesion later in life (Pd21). Early amygdala damage results in enduring behavioral disturbances that become more manifest after puberty. These disturbances were not present in animals lesioned at Pd21. Accordingly it was postulated that the early damage may affect the neuroanatomical and neurochemical organization and functioning of other brain structures. To obtain information on the innervation of the amygdala during normal development, we used the retrograde tracer ﬂuoro-gold. From neonatal day 7 onward (studied until Pd19), retrogradely labeled cells were present in the caudal and rostral thalamus, the substantia innominata, and the prefrontal but not the caudal cortex. Development of the topography of the projecting cells differed substantially for the thalamic regions and substantia innominata vs. the cortical regions. In thalamic regions and substantia innominata. no changes were observed during the studied period (Pd7–Pd9). In the prefrontal cortex, the number of labeled cells increased (from Pd7 to Pd13), the topography of the location of the cells changed from unilateral to bilaminar (from Pd9 to Pd13), and the number of subareas in which the cells were present increased (from Pd7 to Pd13). In the caudal cortex, relatively few cells were present up to Pd15. From Pd17 onward, a bilaminar topography of the location of the cells was observed. These data provide information on the circuitry that may be involved in the aberrant neurodevelopment of neonatally amygdalalesioned rats, which has been proposed as an animal model for neurodevelopmental psychopathological disorders. J. Comp. Neurol. 450:241–255, 2002. © 2002 Wiley-Liss, Inc.","container-title":"The Journal of Comparative Neurology","DOI":"10.1002/cne.10321","ISSN":"0021-9967, 1096-9861","issue":"3","journalAbbreviation":"J. Comp. Neurol.","language":"en","page":"241-255","source":"DOI.org (Crossref)","title":"Neonatal development of projections to the basolateral amygdala from prefrontal and thalamic structures in rat","volume":"450","author":[{"family":"Bouwmeester","given":"Hans"},{"family":"Smits","given":"Kim"},{"family":"Van Ree","given":"Jan M."}],"issued":{"date-parts":[["2002",8,26]]}}},{"id":49,"uris":["http://zotero.org/users/6239255/items/48AK6IAC"],"itemData":{"id":49,"type":"article-journal","abstract":"Although adolescents’ emotional lives are thought to be more turbulent than those of adults, it is unknown whether this difference is attributable to developmental changes in emotional reactivity or emotion regulation. Study 1 addressed this question by presenting healthy individuals aged 10 –23 with negative and neutral pictures and asking them to respond naturally or use cognitive reappraisal to down-regulate their responses on a trial-by-trial basis. Results indicated that age exerted both linear and quadratic effects on regulation success but was unrelated to emotional reactivity. Study 2 replicated and extended these findings using a different reappraisal task and further showed that situational (i.e., social vs. nonsocial stimuli) and dispositional (i.e., level of rejection sensitivity) social factors interacted with age to predict regulation success: young adolescents were less successful at regulating responses to social than to nonsocial stimuli, particularly if the adolescents were high in rejection sensitivity. Taken together, these results have important implications for the inclusion of emotion regulation in models of emotional and cognitive development.","container-title":"Emotion","DOI":"10.1037/a0028297","ISSN":"1931-1516, 1528-3542","issue":"6","journalAbbreviation":"Emotion","language":"en","page":"1235-1247","source":"DOI.org (Crossref)","title":"Age-related differences in emotional reactivity, regulation, and rejection sensitivity in adolescence.","volume":"12","author":[{"family":"Silvers","given":"Jennifer A."},{"family":"McRae","given":"Kateri"},{"family":"Gabrieli","given":"John D. E."},{"family":"Gross","given":"James J."},{"family":"Remy","given":"Katherine A."},{"family":"Ochsner","given":"Kevin N."}],"issued":{"date-parts":[["2012"]]}}},{"id":646,"uris":["http://zotero.org/users/6239255/items/IRZKFY2A"],"itemData":{"id":646,"type":"article-journal","abstract":"Emotion regulation is a critical life skill that develops throughout childhood and adolescence. Despite this development in emotional processes, little is known about how the underlying brain systems develop with age. This study examined emotion regulation in 112 individuals (aged 6–23 years) as they viewed aversive and neutral images using a reappraisal task. On “reappraisal” trials, participants were instructed to view the images as distant, a strategy that has been previously shown to reduce negative affect. On “reactivity” trials, participants were instructed to view the images without regulating emotions to assess baseline emotional responding. During reappraisal, age predicted less negative affect, reduced amygdala responses and inverse coupling between the ventromedial prefrontal cortex (vmPFC) and amygdala. Moreover, left ventrolateral prefrontal (vlPFC) recruitment mediated the relationship between increasing age and diminishing amygdala responses. This negative vlPFC–amygdala association was stronger for individuals with inverse coupling between the amygdala and vmPFC. These data provide evidence that vmPFC–amygdala connectivity facilitates vlPFC-related amygdala modulation across development.","container-title":"Cerebral Cortex","DOI":"https://doi-org.libproxy.temple.edu/10.1093/cercor/bhw073","issue":"7","language":"en","page":"3502-3514","source":"Zotero","title":"vlPFC–vmPFC–Amygdala Interactions Underlie Age-Related Differences in Cognitive Regulation of Emotion","volume":"27","author":[{"family":"Silvers","given":"Jennifer A"},{"family":"Insel","given":"Catherine"},{"family":"Powers","given":"Alisa"},{"family":"Franz","given":"Peter"},{"family":"Helion","given":"Chelsea"},{"family":"Martin","given":"Rebecca E"},{"family":"Weber","given":"Jochen"},{"family":"Mischel","given":"Walter"},{"family":"Casey","given":"B J"},{"family":"Ochsner","given":"Kevin N"}],"issued":{"date-parts":[["2017"]]}}},{"id":3223,"uris":["http://zotero.org/users/6239255/items/VBQ3GZZM"],"itemData":{"id":3223,"type":"article-journal","container-title":"Journal of Neuroscience","DOI":"10.1523/JNEUROSCI.3446-12.2013","ISSN":"0270-6474, 1529-2401","issue":"10","journalAbbreviation":"Journal of Neuroscience","language":"en","page":"4584-4593","source":"DOI.org (Crossref)","title":"A Developmental Shift from Positive to Negative Connectivity in Human Amygdala-Prefrontal Circuitry","volume":"33","author":[{"family":"Gee","given":"D. G."},{"family":"Humphreys","given":"K. L."},{"family":"Flannery","given":"J."},{"family":"Goff","given":"B."},{"family":"Telzer","given":"E. H."},{"family":"Shapiro","given":"M."},{"family":"Hare","given":"T. A."},{"family":"Bookheimer","given":"S. Y."},{"family":"Tottenham","given":"N."}],"issued":{"date-parts":[["2013",3,6]]}}}],"schema":"https://github.com/citation-style-language/schema/raw/master/csl-citation.json"}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15–19</w:t>
      </w:r>
      <w:r w:rsidR="008769A8">
        <w:rPr>
          <w:rFonts w:ascii="Arial" w:hAnsi="Arial" w:cs="Arial"/>
          <w:vertAlign w:val="superscript"/>
        </w:rPr>
        <w:fldChar w:fldCharType="end"/>
      </w:r>
      <w:r>
        <w:rPr>
          <w:rFonts w:ascii="Arial" w:hAnsi="Arial" w:cs="Arial"/>
        </w:rPr>
        <w:t xml:space="preserve"> may leave adolescents without adequate cognitive resources to manage these experiences, potentially resulting in heightened susceptibility to the negative outcomes of social uncertainty. As such, </w:t>
      </w:r>
      <w:r w:rsidRPr="0033499E">
        <w:rPr>
          <w:rFonts w:ascii="Arial" w:hAnsi="Arial" w:cs="Arial"/>
          <w:u w:val="single"/>
        </w:rPr>
        <w:t>identifying the behavioral and neural bases of uncertainty resolution in development is of critical importance for better understanding how to manage the aversive emotion, and vulnerability to negative outcomes, associated with uncertainty exposure</w:t>
      </w:r>
      <w:r w:rsidRPr="00C3757B">
        <w:rPr>
          <w:rFonts w:ascii="Arial" w:hAnsi="Arial" w:cs="Arial"/>
        </w:rPr>
        <w:t xml:space="preserve">. </w:t>
      </w:r>
    </w:p>
    <w:p w14:paraId="50A11FE4" w14:textId="77777777" w:rsidR="00702CA7" w:rsidRDefault="00702CA7" w:rsidP="00702CA7">
      <w:pPr>
        <w:spacing w:after="0" w:line="240" w:lineRule="auto"/>
        <w:ind w:firstLine="720"/>
        <w:jc w:val="both"/>
        <w:rPr>
          <w:rFonts w:ascii="Arial" w:hAnsi="Arial" w:cs="Arial"/>
        </w:rPr>
      </w:pPr>
      <w:r w:rsidRPr="00D65652">
        <w:rPr>
          <w:rFonts w:ascii="Arial" w:hAnsi="Arial" w:cs="Arial"/>
          <w:u w:val="single"/>
        </w:rPr>
        <w:t xml:space="preserve">My goal in this grant proposal is to investigate how behavioral and neural representations of uncertainty mature through </w:t>
      </w:r>
      <w:r>
        <w:rPr>
          <w:rFonts w:ascii="Arial" w:hAnsi="Arial" w:cs="Arial"/>
          <w:u w:val="single"/>
        </w:rPr>
        <w:t>adolescence</w:t>
      </w:r>
      <w:r w:rsidRPr="00D65652">
        <w:rPr>
          <w:rFonts w:ascii="Arial" w:hAnsi="Arial" w:cs="Arial"/>
          <w:u w:val="single"/>
        </w:rPr>
        <w:t>, as well as how these certainty judgements might be self-regulated to mitigate aversive emotional responses</w:t>
      </w:r>
      <w:r>
        <w:rPr>
          <w:rFonts w:ascii="Arial" w:hAnsi="Arial" w:cs="Arial"/>
        </w:rPr>
        <w:t>. My specific aims are as follows:</w:t>
      </w:r>
    </w:p>
    <w:p w14:paraId="50515681" w14:textId="68FF642B" w:rsidR="00702CA7" w:rsidRDefault="00702CA7" w:rsidP="00702CA7">
      <w:pPr>
        <w:spacing w:after="0" w:line="240" w:lineRule="auto"/>
        <w:jc w:val="both"/>
        <w:rPr>
          <w:rFonts w:ascii="Arial" w:hAnsi="Arial" w:cs="Arial"/>
        </w:rPr>
      </w:pPr>
      <w:r w:rsidRPr="008731C0">
        <w:rPr>
          <w:rFonts w:ascii="Arial" w:hAnsi="Arial" w:cs="Arial"/>
          <w:b/>
          <w:bCs/>
          <w:i/>
          <w:iCs/>
        </w:rPr>
        <w:t xml:space="preserve">Aim </w:t>
      </w:r>
      <w:r>
        <w:rPr>
          <w:rFonts w:ascii="Arial" w:hAnsi="Arial" w:cs="Arial"/>
          <w:b/>
          <w:bCs/>
          <w:i/>
          <w:iCs/>
        </w:rPr>
        <w:t>1</w:t>
      </w:r>
      <w:r w:rsidRPr="008731C0">
        <w:rPr>
          <w:rFonts w:ascii="Arial" w:hAnsi="Arial" w:cs="Arial"/>
          <w:b/>
          <w:bCs/>
          <w:i/>
          <w:iCs/>
        </w:rPr>
        <w:t>.</w:t>
      </w:r>
      <w:r>
        <w:rPr>
          <w:rFonts w:ascii="Arial" w:hAnsi="Arial" w:cs="Arial"/>
          <w:b/>
          <w:bCs/>
          <w:i/>
          <w:iCs/>
        </w:rPr>
        <w:t xml:space="preserve"> The Dissertation Research Project</w:t>
      </w:r>
      <w:r w:rsidRPr="008731C0">
        <w:rPr>
          <w:rFonts w:ascii="Arial" w:hAnsi="Arial" w:cs="Arial"/>
          <w:b/>
          <w:bCs/>
          <w:i/>
          <w:iCs/>
        </w:rPr>
        <w:t xml:space="preserve"> </w:t>
      </w:r>
      <w:r>
        <w:rPr>
          <w:rFonts w:ascii="Arial" w:hAnsi="Arial" w:cs="Arial"/>
          <w:b/>
          <w:bCs/>
          <w:i/>
          <w:iCs/>
        </w:rPr>
        <w:t>(F99 Phase) – To explore the formation of outcome-based social uncertainty judgements across normative adolescent development</w:t>
      </w:r>
      <w:r w:rsidRPr="008731C0">
        <w:rPr>
          <w:rFonts w:ascii="Arial" w:hAnsi="Arial" w:cs="Arial"/>
          <w:b/>
          <w:bCs/>
          <w:i/>
          <w:iCs/>
        </w:rPr>
        <w:t>.</w:t>
      </w:r>
      <w:r w:rsidRPr="008731C0">
        <w:rPr>
          <w:rFonts w:ascii="Arial" w:hAnsi="Arial" w:cs="Arial"/>
        </w:rPr>
        <w:t xml:space="preserve"> </w:t>
      </w:r>
      <w:r>
        <w:rPr>
          <w:rFonts w:ascii="Arial" w:hAnsi="Arial" w:cs="Arial"/>
        </w:rPr>
        <w:t>Using a novel social uncertainty paradigm, and age-appropriate video stimuli, we will identify neural correlates demonstrating differential activation underlying certainty judgments through adolescent development (13 – 20 years). This paradigm has participants watch a novel video stimulus (e.g., a crime mystery) while continuously rating how certain they are of a socially-relevant outcome (e.g., a character’s guilt or innocence). This will be followed by a surprise free recall for the video’s contents.</w:t>
      </w:r>
      <w:r w:rsidRPr="00CC1AAC">
        <w:rPr>
          <w:rFonts w:ascii="Arial" w:hAnsi="Arial" w:cs="Arial"/>
        </w:rPr>
        <w:t xml:space="preserve"> </w:t>
      </w:r>
      <w:r>
        <w:rPr>
          <w:rFonts w:ascii="Arial" w:hAnsi="Arial" w:cs="Arial"/>
        </w:rPr>
        <w:t xml:space="preserve"> Using this approach, we can identify patterns in which features are more or less relevant towards certainty judgments </w:t>
      </w:r>
      <w:r w:rsidR="008769A8">
        <w:rPr>
          <w:rFonts w:ascii="Arial" w:hAnsi="Arial" w:cs="Arial"/>
        </w:rPr>
        <w:fldChar w:fldCharType="begin"/>
      </w:r>
      <w:r w:rsidR="008769A8">
        <w:rPr>
          <w:rFonts w:ascii="Arial" w:hAnsi="Arial" w:cs="Arial"/>
        </w:rPr>
        <w:instrText xml:space="preserve"> ADDIN ZOTERO_ITEM CSL_CITATION {"citationID":"QIoLP25N","properties":{"formattedCitation":"\\super 20\\nosupersub{}","plainCitation":"20","noteIndex":0},"citationItems":[{"id":12005,"uris":["http://zotero.org/users/6239255/items/EX4RESCF"],"itemData":{"id":12005,"type":"article-journal","container-title":"Nature Human Behaviour","DOI":"10.1038/s41562-021-01051-6","ISSN":"2397-3374","issue":"7","journalAbbreviation":"Nat Hum Behav","language":"en","page":"905-919","source":"DOI.org (Crossref)","title":"Geometric models reveal behavioural and neural signatures of transforming experiences into memories","volume":"5","author":[{"family":"Heusser","given":"Andrew C."},{"family":"Fitzpatrick","given":"Paxton C."},{"family":"Manning","given":"Jeremy R."}],"issued":{"date-parts":[["2021",7]]}}}],"schema":"https://github.com/citation-style-language/schema/raw/master/csl-citation.json"} </w:instrText>
      </w:r>
      <w:r w:rsidR="008769A8">
        <w:rPr>
          <w:rFonts w:ascii="Arial" w:hAnsi="Arial" w:cs="Arial"/>
        </w:rPr>
        <w:fldChar w:fldCharType="separate"/>
      </w:r>
      <w:r w:rsidR="008769A8" w:rsidRPr="008769A8">
        <w:rPr>
          <w:rFonts w:ascii="Arial" w:hAnsi="Arial" w:cs="Arial"/>
          <w:szCs w:val="24"/>
          <w:vertAlign w:val="superscript"/>
        </w:rPr>
        <w:t>20</w:t>
      </w:r>
      <w:r w:rsidR="008769A8">
        <w:rPr>
          <w:rFonts w:ascii="Arial" w:hAnsi="Arial" w:cs="Arial"/>
        </w:rPr>
        <w:fldChar w:fldCharType="end"/>
      </w:r>
      <w:r>
        <w:rPr>
          <w:rFonts w:ascii="Arial" w:hAnsi="Arial" w:cs="Arial"/>
        </w:rPr>
        <w:t xml:space="preserve">. Furthermore, </w:t>
      </w:r>
      <w:r w:rsidRPr="0033499E">
        <w:rPr>
          <w:rFonts w:ascii="Arial" w:hAnsi="Arial" w:cs="Arial"/>
          <w:u w:val="single"/>
        </w:rPr>
        <w:t>intersubject representational similarity analyses will be employed to explore the extent to which similar information processing yields similar neural representations of certainty across development and across domains</w:t>
      </w:r>
      <w:r>
        <w:rPr>
          <w:rFonts w:ascii="Arial" w:hAnsi="Arial" w:cs="Arial"/>
        </w:rPr>
        <w:t xml:space="preserve">. This </w:t>
      </w:r>
      <w:r w:rsidR="008769A8">
        <w:rPr>
          <w:rFonts w:ascii="Arial" w:hAnsi="Arial" w:cs="Arial"/>
        </w:rPr>
        <w:t>paradigm</w:t>
      </w:r>
      <w:r>
        <w:rPr>
          <w:rFonts w:ascii="Arial" w:hAnsi="Arial" w:cs="Arial"/>
        </w:rPr>
        <w:t xml:space="preserve"> has already been successfully employed among adult populations and has yielded promising results (</w:t>
      </w:r>
      <w:r>
        <w:rPr>
          <w:rFonts w:ascii="Arial" w:hAnsi="Arial" w:cs="Arial"/>
          <w:i/>
          <w:iCs/>
        </w:rPr>
        <w:t>See</w:t>
      </w:r>
      <w:r>
        <w:rPr>
          <w:rFonts w:ascii="Arial" w:hAnsi="Arial" w:cs="Arial"/>
        </w:rPr>
        <w:t xml:space="preserve"> </w:t>
      </w:r>
      <w:r w:rsidRPr="008769A8">
        <w:rPr>
          <w:rFonts w:ascii="Arial" w:hAnsi="Arial" w:cs="Arial"/>
          <w:b/>
          <w:bCs/>
        </w:rPr>
        <w:t>Research Strategy A.2.2.</w:t>
      </w:r>
      <w:r>
        <w:rPr>
          <w:rFonts w:ascii="Arial" w:hAnsi="Arial" w:cs="Arial"/>
        </w:rPr>
        <w:t xml:space="preserve">) </w:t>
      </w:r>
    </w:p>
    <w:p w14:paraId="5B70632F" w14:textId="74241D36" w:rsidR="00702CA7" w:rsidRDefault="00702CA7" w:rsidP="00702CA7">
      <w:pPr>
        <w:spacing w:after="0" w:line="240" w:lineRule="auto"/>
        <w:jc w:val="both"/>
        <w:rPr>
          <w:rFonts w:ascii="Arial" w:hAnsi="Arial" w:cs="Arial"/>
        </w:rPr>
      </w:pPr>
      <w:r>
        <w:rPr>
          <w:rFonts w:ascii="Arial" w:hAnsi="Arial" w:cs="Arial"/>
          <w:b/>
          <w:bCs/>
          <w:i/>
          <w:iCs/>
        </w:rPr>
        <w:t>Aim 2. The Postdoctoral Research Direction (K00 Phase) – To compare the efficacy of and mechanisms behind regulatory strategies to manage uncertainty.</w:t>
      </w:r>
      <w:r>
        <w:rPr>
          <w:rFonts w:ascii="Arial" w:hAnsi="Arial" w:cs="Arial"/>
        </w:rPr>
        <w:t xml:space="preserve"> In my postdoctoral fellowship, I will expand upon my predoctoral work by testing how effective competing regulatory strategies (i.e., reappraisal, role-play) are at managing social uncertainty. My prior research found that the magnitude and variance of certainty judgments could be manipulated by assigning participants to adopt a role relevant to the stimulus (e.g., detective, friend of the accused) prior to the start of the task. As role-play develops as early as 3 years of age</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{"citationID":"UJOoxlz9","properties":{"formattedCitation":"\\super 21\\nosupersub{}","plainCitation":"21","noteIndex":0},"citationItems":[{"id":12026,"uris":["http://zotero.org/users/6239255/items/LTYW53FN"],"itemData":{"id":12026,"type":"article-journal","abstract":"Children's ability to structure sociodramatic play may depend on their ability to communicate pretence transformations effectively. In order to investigate the relation of children's differential use of verbal meta-communication to play theme, player's age, and episode duration, the naturally occurring sociodramatic play of 30 preschoolers (ages 29 to 68 months) was observed in a university day care facility. We found that children's use of within-frame and out-of-frame meta-communication (Giffin, 1984) was unrelated to the duration of sociodramatic play. However, children's use of out-of-frame meta-communication was related to age: Older children used a greater percentage of out-of-frame meta-communication than younger children. Furthermore, although there was no main effect of theme, there was an interaction between age and theme. Older children used less within-frame meta-communication than younger children during adventure/fantastic episodes, but used an equivalent proportion during domestic/occupational episodes. The findings suggest that older children are more flexible in their use of meta-communication.","container-title":"International Journal of Behavioral Development","DOI":"10.1177/016502549501800304","ISSN":"0165-0254, 1464-0651","issue":"3","journalAbbreviation":"International Journal of Behavioral Development","language":"en","page":"451-461","source":"DOI.org (Crossref)","title":"Learning to Pretend: Preschoolers' use of Meta-communication in Sociodramatic Play","title-short":"Learning to Pretend","volume":"18","author":[{"family":"Halliday-Scher","given":"Kathy"},{"family":"Urberg","given":"Kathryn A."},{"family":"Kaplan-Estrin","given":"Melissa"}],"issued":{"date-parts":[["1995",9]]}}}],"schema":"https://github.com/citation-style-language/schema/raw/master/csl-citation.json"}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21</w:t>
      </w:r>
      <w:r w:rsidR="008769A8">
        <w:rPr>
          <w:rFonts w:ascii="Arial" w:hAnsi="Arial" w:cs="Arial"/>
          <w:vertAlign w:val="superscript"/>
        </w:rPr>
        <w:fldChar w:fldCharType="end"/>
      </w:r>
      <w:r>
        <w:rPr>
          <w:rFonts w:ascii="Arial" w:hAnsi="Arial" w:cs="Arial"/>
        </w:rPr>
        <w:t xml:space="preserve"> and relies upon different neural circuitry than other well-studied self-regulatory techniques</w:t>
      </w:r>
      <w:r>
        <w:rPr>
          <w:rFonts w:ascii="Arial" w:hAnsi="Arial" w:cs="Arial"/>
          <w:vertAlign w:val="superscript"/>
        </w:rPr>
        <w:t xml:space="preserve"> </w:t>
      </w:r>
      <w:r w:rsidR="008769A8">
        <w:rPr>
          <w:rFonts w:ascii="Arial" w:hAnsi="Arial" w:cs="Arial"/>
          <w:vertAlign w:val="superscript"/>
        </w:rPr>
        <w:fldChar w:fldCharType="begin"/>
      </w:r>
      <w:r w:rsidR="008769A8">
        <w:rPr>
          <w:rFonts w:ascii="Arial" w:hAnsi="Arial" w:cs="Arial"/>
          <w:vertAlign w:val="superscript"/>
        </w:rPr>
        <w:instrText xml:space="preserve"> ADDIN ZOTERO_ITEM CSL_CITATION {"citationID":"Evh6GnNf","properties":{"formattedCitation":"\\super 22\\nosupersub{}","plainCitation":"22","noteIndex":0},"citationItems":[{"id":12024,"uris":["http://zotero.org/users/6239255/items/H62IT33N"],"itemData":{"id":12024,"type":"article-journal","abstract":"Cognitive reappraisal is an important emotion regulation strategy that shows considerable developmental change in its use and effectiveness. This paper presents a systematic review of the evidence base regarding the development of cognitive reappraisal from early childhood through adolescence and provides methodological recommendations for future research. We searched Scopus, PsycINFO, and ERIC for empirical papers measuring cognitive reappraisal in normative samples of children and youth between the ages of 3 and 18 years published in peer-reviewed journals through August 9th, 2018. We identiﬁed 118 studies that met our inclusion criteria. We ﬁrst present a quantitative review of the methodologies used to investigate cognitive reappraisal in children and adolescents, with attention to variations in methodologies by the sample age range. We then present a qualitative review of ﬁndings with attention to: (1) the age at which children begin to effectively use cognitive reappraisal to regulate their emotions, and (2) developmental changes in cognitive reappraisal from early childhood through adolescence. We consider how methodological differences may contribute to inconsistencies in ﬁndings, highlight gaps in the literature that remain to be addressed, and make recommendations for future directions.","container-title":"Frontiers in Psychology","DOI":"10.3389/fpsyg.2022.875964","ISSN":"1664-1078","journalAbbreviation":"Front. Psychol.","language":"en","page":"875964","source":"DOI.org (Crossref)","title":"The Development of Cognitive Reappraisal From Early Childhood Through Adolescence: A Systematic Review and Methodological Recommendations","title-short":"The Development of Cognitive Reappraisal From Early Childhood Through Adolescence","volume":"13","author":[{"family":"Willner","given":"Cynthia J."},{"family":"Hoffmann","given":"Jessica D."},{"family":"Bailey","given":"Craig S."},{"family":"Harrison","given":"Alexandra P."},{"family":"Garcia","given":"Beatris"},{"family":"Ng","given":"Zi Jia"},{"family":"Cipriano","given":"Christina"},{"family":"Brackett","given":"Marc A."}],"issued":{"date-parts":[["2022",6,22]]}}}],"schema":"https://github.com/citation-style-language/schema/raw/master/csl-citation.json"} </w:instrText>
      </w:r>
      <w:r w:rsidR="008769A8">
        <w:rPr>
          <w:rFonts w:ascii="Arial" w:hAnsi="Arial" w:cs="Arial"/>
          <w:vertAlign w:val="superscript"/>
        </w:rPr>
        <w:fldChar w:fldCharType="separate"/>
      </w:r>
      <w:r w:rsidR="008769A8" w:rsidRPr="008769A8">
        <w:rPr>
          <w:rFonts w:ascii="Arial" w:hAnsi="Arial" w:cs="Arial"/>
          <w:szCs w:val="24"/>
          <w:vertAlign w:val="superscript"/>
        </w:rPr>
        <w:t>22</w:t>
      </w:r>
      <w:r w:rsidR="008769A8">
        <w:rPr>
          <w:rFonts w:ascii="Arial" w:hAnsi="Arial" w:cs="Arial"/>
          <w:vertAlign w:val="superscript"/>
        </w:rPr>
        <w:fldChar w:fldCharType="end"/>
      </w:r>
      <w:r>
        <w:rPr>
          <w:rFonts w:ascii="Arial" w:hAnsi="Arial" w:cs="Arial"/>
        </w:rPr>
        <w:t xml:space="preserve">, it may be an effective form of regulating uncertainty independent of age. Using the same methods outlined in Aim 1, </w:t>
      </w:r>
      <w:r w:rsidRPr="0033499E">
        <w:rPr>
          <w:rFonts w:ascii="Arial" w:hAnsi="Arial" w:cs="Arial"/>
          <w:u w:val="single"/>
        </w:rPr>
        <w:t xml:space="preserve">I will </w:t>
      </w:r>
      <w:bookmarkEnd w:id="0"/>
      <w:r w:rsidRPr="0033499E">
        <w:rPr>
          <w:rFonts w:ascii="Arial" w:hAnsi="Arial" w:cs="Arial"/>
          <w:u w:val="single"/>
        </w:rPr>
        <w:t>compare reappraisal and role-play as regulatory strategies for reducing the negative emotions associated with uncertainty across development</w:t>
      </w:r>
      <w:r>
        <w:rPr>
          <w:rFonts w:ascii="Arial" w:hAnsi="Arial" w:cs="Arial"/>
        </w:rPr>
        <w:t xml:space="preserve">. </w:t>
      </w:r>
    </w:p>
    <w:p w14:paraId="3419F35C" w14:textId="0C36969C" w:rsidR="00845EFF" w:rsidRPr="00DD4184" w:rsidRDefault="00702CA7" w:rsidP="00DD4184">
      <w:pPr>
        <w:spacing w:after="0" w:line="240" w:lineRule="auto"/>
        <w:ind w:firstLine="720"/>
        <w:jc w:val="both"/>
        <w:rPr>
          <w:rFonts w:ascii="Arial" w:hAnsi="Arial" w:cs="Arial"/>
        </w:rPr>
      </w:pPr>
      <w:r>
        <w:rPr>
          <w:rFonts w:ascii="Arial" w:hAnsi="Arial" w:cs="Arial"/>
        </w:rPr>
        <w:t xml:space="preserve">Taken together, this combination of training in computational neuroscience, developmental neuroimaging, and early developmental self-regulatory neuroscience literature will facilitate my long-term goal of establishing my own lab dedicated to computational social affective developmental neuroscience research. </w:t>
      </w:r>
      <w:bookmarkEnd w:id="1"/>
    </w:p>
    <w:sectPr w:rsidR="00845EFF" w:rsidRPr="00DD4184" w:rsidSect="00623B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516D" w14:textId="77777777" w:rsidR="00A23A08" w:rsidRDefault="00A23A08" w:rsidP="00C04421">
      <w:pPr>
        <w:spacing w:after="0" w:line="240" w:lineRule="auto"/>
      </w:pPr>
      <w:r>
        <w:separator/>
      </w:r>
    </w:p>
  </w:endnote>
  <w:endnote w:type="continuationSeparator" w:id="0">
    <w:p w14:paraId="63FAFDD2" w14:textId="77777777" w:rsidR="00A23A08" w:rsidRDefault="00A23A08" w:rsidP="00C0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7FE8" w14:textId="77777777" w:rsidR="00A23A08" w:rsidRDefault="00A23A08" w:rsidP="00C04421">
      <w:pPr>
        <w:spacing w:after="0" w:line="240" w:lineRule="auto"/>
      </w:pPr>
      <w:r>
        <w:separator/>
      </w:r>
    </w:p>
  </w:footnote>
  <w:footnote w:type="continuationSeparator" w:id="0">
    <w:p w14:paraId="3C7401B7" w14:textId="77777777" w:rsidR="00A23A08" w:rsidRDefault="00A23A08" w:rsidP="00C0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316"/>
    <w:multiLevelType w:val="hybridMultilevel"/>
    <w:tmpl w:val="4C220BD8"/>
    <w:lvl w:ilvl="0" w:tplc="D77C671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20090"/>
    <w:multiLevelType w:val="hybridMultilevel"/>
    <w:tmpl w:val="06F65BF4"/>
    <w:lvl w:ilvl="0" w:tplc="F1ECAF1E">
      <w:start w:val="1"/>
      <w:numFmt w:val="decimal"/>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900947">
    <w:abstractNumId w:val="1"/>
  </w:num>
  <w:num w:numId="2" w16cid:durableId="42010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3A"/>
    <w:rsid w:val="00007F0D"/>
    <w:rsid w:val="00010264"/>
    <w:rsid w:val="00012054"/>
    <w:rsid w:val="00017C82"/>
    <w:rsid w:val="000202BA"/>
    <w:rsid w:val="00021B1A"/>
    <w:rsid w:val="00021C64"/>
    <w:rsid w:val="00023AD2"/>
    <w:rsid w:val="000241A0"/>
    <w:rsid w:val="00031924"/>
    <w:rsid w:val="0003540D"/>
    <w:rsid w:val="00036663"/>
    <w:rsid w:val="000366CD"/>
    <w:rsid w:val="00036DED"/>
    <w:rsid w:val="0004509E"/>
    <w:rsid w:val="0004787C"/>
    <w:rsid w:val="00047BE6"/>
    <w:rsid w:val="000526BF"/>
    <w:rsid w:val="0005622B"/>
    <w:rsid w:val="00057DEA"/>
    <w:rsid w:val="000601B6"/>
    <w:rsid w:val="00060914"/>
    <w:rsid w:val="00061212"/>
    <w:rsid w:val="00063AA7"/>
    <w:rsid w:val="00080B6B"/>
    <w:rsid w:val="00083057"/>
    <w:rsid w:val="00085708"/>
    <w:rsid w:val="00090DE0"/>
    <w:rsid w:val="00093E9D"/>
    <w:rsid w:val="00095C72"/>
    <w:rsid w:val="00095EA9"/>
    <w:rsid w:val="00096337"/>
    <w:rsid w:val="000A3DAB"/>
    <w:rsid w:val="000A4111"/>
    <w:rsid w:val="000C02BA"/>
    <w:rsid w:val="000C29C2"/>
    <w:rsid w:val="000C41A6"/>
    <w:rsid w:val="000D32CE"/>
    <w:rsid w:val="000D5FD6"/>
    <w:rsid w:val="000E2437"/>
    <w:rsid w:val="000F0282"/>
    <w:rsid w:val="000F0310"/>
    <w:rsid w:val="000F0DDD"/>
    <w:rsid w:val="000F1BE1"/>
    <w:rsid w:val="000F31DC"/>
    <w:rsid w:val="000F65A1"/>
    <w:rsid w:val="000F6E57"/>
    <w:rsid w:val="0010665E"/>
    <w:rsid w:val="00112AD5"/>
    <w:rsid w:val="00114D5C"/>
    <w:rsid w:val="00115306"/>
    <w:rsid w:val="00117DA9"/>
    <w:rsid w:val="001202DC"/>
    <w:rsid w:val="00125A75"/>
    <w:rsid w:val="00126A59"/>
    <w:rsid w:val="00126CB4"/>
    <w:rsid w:val="00130FDA"/>
    <w:rsid w:val="00137948"/>
    <w:rsid w:val="00141BAA"/>
    <w:rsid w:val="001471F6"/>
    <w:rsid w:val="00147961"/>
    <w:rsid w:val="0015214C"/>
    <w:rsid w:val="0015224F"/>
    <w:rsid w:val="00154618"/>
    <w:rsid w:val="001576FE"/>
    <w:rsid w:val="0016203C"/>
    <w:rsid w:val="00163337"/>
    <w:rsid w:val="00165DEF"/>
    <w:rsid w:val="001667C2"/>
    <w:rsid w:val="00172DF6"/>
    <w:rsid w:val="00183AE1"/>
    <w:rsid w:val="00184DD4"/>
    <w:rsid w:val="001862C5"/>
    <w:rsid w:val="00192C9C"/>
    <w:rsid w:val="0019616D"/>
    <w:rsid w:val="001974A7"/>
    <w:rsid w:val="0019762B"/>
    <w:rsid w:val="001A0B4F"/>
    <w:rsid w:val="001A1DF1"/>
    <w:rsid w:val="001A5BE0"/>
    <w:rsid w:val="001A72FD"/>
    <w:rsid w:val="001B2590"/>
    <w:rsid w:val="001B666D"/>
    <w:rsid w:val="001C617F"/>
    <w:rsid w:val="001C7424"/>
    <w:rsid w:val="001D232F"/>
    <w:rsid w:val="001D4F26"/>
    <w:rsid w:val="001E28DF"/>
    <w:rsid w:val="001E4423"/>
    <w:rsid w:val="001E612F"/>
    <w:rsid w:val="001E6AB0"/>
    <w:rsid w:val="001F4078"/>
    <w:rsid w:val="00200E67"/>
    <w:rsid w:val="0020496D"/>
    <w:rsid w:val="00205163"/>
    <w:rsid w:val="00206D87"/>
    <w:rsid w:val="00210AC8"/>
    <w:rsid w:val="002138D9"/>
    <w:rsid w:val="00216D1B"/>
    <w:rsid w:val="00221918"/>
    <w:rsid w:val="00224C86"/>
    <w:rsid w:val="00225BF1"/>
    <w:rsid w:val="00226EC9"/>
    <w:rsid w:val="00230314"/>
    <w:rsid w:val="00233530"/>
    <w:rsid w:val="002336C2"/>
    <w:rsid w:val="00233A2B"/>
    <w:rsid w:val="00243DF4"/>
    <w:rsid w:val="00245D54"/>
    <w:rsid w:val="0024664C"/>
    <w:rsid w:val="00251DBE"/>
    <w:rsid w:val="00252E2D"/>
    <w:rsid w:val="00257C23"/>
    <w:rsid w:val="002640C5"/>
    <w:rsid w:val="00267207"/>
    <w:rsid w:val="002679F6"/>
    <w:rsid w:val="00267DF4"/>
    <w:rsid w:val="0027042C"/>
    <w:rsid w:val="002725CA"/>
    <w:rsid w:val="00272DB9"/>
    <w:rsid w:val="00277D4C"/>
    <w:rsid w:val="00280A3B"/>
    <w:rsid w:val="002813A1"/>
    <w:rsid w:val="0028194F"/>
    <w:rsid w:val="00286B41"/>
    <w:rsid w:val="0028788E"/>
    <w:rsid w:val="00290527"/>
    <w:rsid w:val="002921AA"/>
    <w:rsid w:val="00295FCD"/>
    <w:rsid w:val="002A36D3"/>
    <w:rsid w:val="002A3991"/>
    <w:rsid w:val="002A401D"/>
    <w:rsid w:val="002A633F"/>
    <w:rsid w:val="002B2C07"/>
    <w:rsid w:val="002B4BEA"/>
    <w:rsid w:val="002C068A"/>
    <w:rsid w:val="002C5191"/>
    <w:rsid w:val="002C5534"/>
    <w:rsid w:val="002C6D68"/>
    <w:rsid w:val="002C6F22"/>
    <w:rsid w:val="002C705A"/>
    <w:rsid w:val="002C738C"/>
    <w:rsid w:val="002D19E2"/>
    <w:rsid w:val="002D659F"/>
    <w:rsid w:val="002E19E3"/>
    <w:rsid w:val="002E23BD"/>
    <w:rsid w:val="002E26C4"/>
    <w:rsid w:val="002E49FD"/>
    <w:rsid w:val="002E4C06"/>
    <w:rsid w:val="002F39FA"/>
    <w:rsid w:val="002F5075"/>
    <w:rsid w:val="003028BB"/>
    <w:rsid w:val="00310EF4"/>
    <w:rsid w:val="00311A5D"/>
    <w:rsid w:val="003223AF"/>
    <w:rsid w:val="003224BE"/>
    <w:rsid w:val="00322CE3"/>
    <w:rsid w:val="00331FC4"/>
    <w:rsid w:val="00332DA7"/>
    <w:rsid w:val="00333157"/>
    <w:rsid w:val="003348D8"/>
    <w:rsid w:val="0033499E"/>
    <w:rsid w:val="003359ED"/>
    <w:rsid w:val="003375C5"/>
    <w:rsid w:val="0034149A"/>
    <w:rsid w:val="00342755"/>
    <w:rsid w:val="00350B29"/>
    <w:rsid w:val="003512D7"/>
    <w:rsid w:val="003656BA"/>
    <w:rsid w:val="00370FE7"/>
    <w:rsid w:val="003710FD"/>
    <w:rsid w:val="00373608"/>
    <w:rsid w:val="00377DF1"/>
    <w:rsid w:val="003812AE"/>
    <w:rsid w:val="003826AB"/>
    <w:rsid w:val="00383495"/>
    <w:rsid w:val="003837E8"/>
    <w:rsid w:val="0038385B"/>
    <w:rsid w:val="00384AAC"/>
    <w:rsid w:val="00387227"/>
    <w:rsid w:val="0038752B"/>
    <w:rsid w:val="00387C6A"/>
    <w:rsid w:val="003924FF"/>
    <w:rsid w:val="00397B2B"/>
    <w:rsid w:val="003A377C"/>
    <w:rsid w:val="003A4443"/>
    <w:rsid w:val="003C00CA"/>
    <w:rsid w:val="003C0882"/>
    <w:rsid w:val="003C2851"/>
    <w:rsid w:val="003C2A77"/>
    <w:rsid w:val="003C484A"/>
    <w:rsid w:val="003C4C26"/>
    <w:rsid w:val="003C52B1"/>
    <w:rsid w:val="003D22D5"/>
    <w:rsid w:val="003D3AD9"/>
    <w:rsid w:val="003E47AD"/>
    <w:rsid w:val="003E530D"/>
    <w:rsid w:val="003F0041"/>
    <w:rsid w:val="003F0549"/>
    <w:rsid w:val="003F19FC"/>
    <w:rsid w:val="003F2449"/>
    <w:rsid w:val="003F3ED7"/>
    <w:rsid w:val="003F40C1"/>
    <w:rsid w:val="003F47BC"/>
    <w:rsid w:val="00404E3A"/>
    <w:rsid w:val="00405163"/>
    <w:rsid w:val="004054B0"/>
    <w:rsid w:val="00405DC8"/>
    <w:rsid w:val="00414EC2"/>
    <w:rsid w:val="0042447E"/>
    <w:rsid w:val="00427E28"/>
    <w:rsid w:val="00430543"/>
    <w:rsid w:val="00433109"/>
    <w:rsid w:val="004343A6"/>
    <w:rsid w:val="004350A5"/>
    <w:rsid w:val="004359EA"/>
    <w:rsid w:val="00441414"/>
    <w:rsid w:val="0044209D"/>
    <w:rsid w:val="004422C4"/>
    <w:rsid w:val="004438B0"/>
    <w:rsid w:val="00443A23"/>
    <w:rsid w:val="00443D5D"/>
    <w:rsid w:val="00444A0A"/>
    <w:rsid w:val="00446D2E"/>
    <w:rsid w:val="00451AE6"/>
    <w:rsid w:val="004558AF"/>
    <w:rsid w:val="00457752"/>
    <w:rsid w:val="00465CC3"/>
    <w:rsid w:val="004665DA"/>
    <w:rsid w:val="004717D7"/>
    <w:rsid w:val="004727AF"/>
    <w:rsid w:val="0047404B"/>
    <w:rsid w:val="0047632B"/>
    <w:rsid w:val="00485A5B"/>
    <w:rsid w:val="00495CD5"/>
    <w:rsid w:val="004A1C7B"/>
    <w:rsid w:val="004B0795"/>
    <w:rsid w:val="004B0CDC"/>
    <w:rsid w:val="004B102B"/>
    <w:rsid w:val="004B63A1"/>
    <w:rsid w:val="004B7B4F"/>
    <w:rsid w:val="004C2FD0"/>
    <w:rsid w:val="004C33B0"/>
    <w:rsid w:val="004C3B3D"/>
    <w:rsid w:val="004C4CAE"/>
    <w:rsid w:val="004C4F4A"/>
    <w:rsid w:val="004C56F0"/>
    <w:rsid w:val="004C5A82"/>
    <w:rsid w:val="004C606E"/>
    <w:rsid w:val="004D06E5"/>
    <w:rsid w:val="004D326A"/>
    <w:rsid w:val="004D3854"/>
    <w:rsid w:val="004D44A9"/>
    <w:rsid w:val="004D7C6C"/>
    <w:rsid w:val="004E755D"/>
    <w:rsid w:val="004F28B2"/>
    <w:rsid w:val="004F412B"/>
    <w:rsid w:val="00501488"/>
    <w:rsid w:val="00505627"/>
    <w:rsid w:val="00505CA4"/>
    <w:rsid w:val="005061E1"/>
    <w:rsid w:val="0050775F"/>
    <w:rsid w:val="0051332C"/>
    <w:rsid w:val="005163A9"/>
    <w:rsid w:val="00523A57"/>
    <w:rsid w:val="00524843"/>
    <w:rsid w:val="00524D95"/>
    <w:rsid w:val="00526F67"/>
    <w:rsid w:val="0053727D"/>
    <w:rsid w:val="00542E60"/>
    <w:rsid w:val="00545AD0"/>
    <w:rsid w:val="005465D6"/>
    <w:rsid w:val="00546CC8"/>
    <w:rsid w:val="00553CA4"/>
    <w:rsid w:val="00556950"/>
    <w:rsid w:val="00566AF5"/>
    <w:rsid w:val="005705CD"/>
    <w:rsid w:val="00576EE6"/>
    <w:rsid w:val="00581B33"/>
    <w:rsid w:val="005856A7"/>
    <w:rsid w:val="00587037"/>
    <w:rsid w:val="00587F2A"/>
    <w:rsid w:val="005A04E5"/>
    <w:rsid w:val="005A1166"/>
    <w:rsid w:val="005A3B7F"/>
    <w:rsid w:val="005B0A1F"/>
    <w:rsid w:val="005B148B"/>
    <w:rsid w:val="005B2CD1"/>
    <w:rsid w:val="005B65DA"/>
    <w:rsid w:val="005B6B0C"/>
    <w:rsid w:val="005B7332"/>
    <w:rsid w:val="005C160A"/>
    <w:rsid w:val="005C2138"/>
    <w:rsid w:val="005C2FD9"/>
    <w:rsid w:val="005C4405"/>
    <w:rsid w:val="005C51D3"/>
    <w:rsid w:val="005C52F0"/>
    <w:rsid w:val="005C736D"/>
    <w:rsid w:val="005E02E4"/>
    <w:rsid w:val="005E1A88"/>
    <w:rsid w:val="005E1D0C"/>
    <w:rsid w:val="005E508A"/>
    <w:rsid w:val="005E54FE"/>
    <w:rsid w:val="005F1B52"/>
    <w:rsid w:val="005F334B"/>
    <w:rsid w:val="005F5ABD"/>
    <w:rsid w:val="006013B7"/>
    <w:rsid w:val="0060320C"/>
    <w:rsid w:val="00603543"/>
    <w:rsid w:val="00605ED1"/>
    <w:rsid w:val="0060640E"/>
    <w:rsid w:val="006101F7"/>
    <w:rsid w:val="00613C0A"/>
    <w:rsid w:val="00615CF4"/>
    <w:rsid w:val="0061607C"/>
    <w:rsid w:val="0062308A"/>
    <w:rsid w:val="00623B3A"/>
    <w:rsid w:val="0063058F"/>
    <w:rsid w:val="00630FA2"/>
    <w:rsid w:val="00631500"/>
    <w:rsid w:val="0063222F"/>
    <w:rsid w:val="00634F7C"/>
    <w:rsid w:val="006419A0"/>
    <w:rsid w:val="00642541"/>
    <w:rsid w:val="006431D5"/>
    <w:rsid w:val="00644E71"/>
    <w:rsid w:val="00646535"/>
    <w:rsid w:val="00646A55"/>
    <w:rsid w:val="0064718A"/>
    <w:rsid w:val="00652888"/>
    <w:rsid w:val="0065343A"/>
    <w:rsid w:val="00654674"/>
    <w:rsid w:val="00656AF9"/>
    <w:rsid w:val="006615C9"/>
    <w:rsid w:val="00663367"/>
    <w:rsid w:val="006660DF"/>
    <w:rsid w:val="0066735F"/>
    <w:rsid w:val="00674291"/>
    <w:rsid w:val="00674D70"/>
    <w:rsid w:val="00677297"/>
    <w:rsid w:val="00677955"/>
    <w:rsid w:val="006818A5"/>
    <w:rsid w:val="006819E6"/>
    <w:rsid w:val="006841CE"/>
    <w:rsid w:val="0068773A"/>
    <w:rsid w:val="00687EF1"/>
    <w:rsid w:val="00693348"/>
    <w:rsid w:val="00693CAE"/>
    <w:rsid w:val="006A0AF8"/>
    <w:rsid w:val="006A12F9"/>
    <w:rsid w:val="006A57C5"/>
    <w:rsid w:val="006A60D1"/>
    <w:rsid w:val="006B1281"/>
    <w:rsid w:val="006B1733"/>
    <w:rsid w:val="006B419A"/>
    <w:rsid w:val="006C1239"/>
    <w:rsid w:val="006D22BF"/>
    <w:rsid w:val="006D4888"/>
    <w:rsid w:val="006D544A"/>
    <w:rsid w:val="006D5FE3"/>
    <w:rsid w:val="006D77B3"/>
    <w:rsid w:val="006E00BC"/>
    <w:rsid w:val="006E602E"/>
    <w:rsid w:val="006E77F4"/>
    <w:rsid w:val="006F74CB"/>
    <w:rsid w:val="00701ADC"/>
    <w:rsid w:val="00702CA7"/>
    <w:rsid w:val="00706339"/>
    <w:rsid w:val="00707960"/>
    <w:rsid w:val="00714CFE"/>
    <w:rsid w:val="007153B1"/>
    <w:rsid w:val="00717D4D"/>
    <w:rsid w:val="007200C2"/>
    <w:rsid w:val="00720436"/>
    <w:rsid w:val="00724CFD"/>
    <w:rsid w:val="00724F2F"/>
    <w:rsid w:val="0073309D"/>
    <w:rsid w:val="0073357E"/>
    <w:rsid w:val="00736CBD"/>
    <w:rsid w:val="007407D2"/>
    <w:rsid w:val="007522AE"/>
    <w:rsid w:val="00752360"/>
    <w:rsid w:val="00752DF4"/>
    <w:rsid w:val="00754510"/>
    <w:rsid w:val="00756584"/>
    <w:rsid w:val="00756E60"/>
    <w:rsid w:val="00763E4E"/>
    <w:rsid w:val="0076473F"/>
    <w:rsid w:val="00766EB6"/>
    <w:rsid w:val="00770BE3"/>
    <w:rsid w:val="007722D0"/>
    <w:rsid w:val="00774949"/>
    <w:rsid w:val="00776B28"/>
    <w:rsid w:val="00787F61"/>
    <w:rsid w:val="007912BD"/>
    <w:rsid w:val="007948A9"/>
    <w:rsid w:val="007A1CDB"/>
    <w:rsid w:val="007A2708"/>
    <w:rsid w:val="007A2A89"/>
    <w:rsid w:val="007B408A"/>
    <w:rsid w:val="007B4C94"/>
    <w:rsid w:val="007B6E5C"/>
    <w:rsid w:val="007B6EC0"/>
    <w:rsid w:val="007C0491"/>
    <w:rsid w:val="007C3467"/>
    <w:rsid w:val="007C7150"/>
    <w:rsid w:val="007D22A8"/>
    <w:rsid w:val="007D241F"/>
    <w:rsid w:val="007D3D03"/>
    <w:rsid w:val="007D690F"/>
    <w:rsid w:val="007E1DF5"/>
    <w:rsid w:val="007E4E67"/>
    <w:rsid w:val="007F11ED"/>
    <w:rsid w:val="007F2377"/>
    <w:rsid w:val="007F379B"/>
    <w:rsid w:val="008004F6"/>
    <w:rsid w:val="0080472B"/>
    <w:rsid w:val="008054A0"/>
    <w:rsid w:val="008065D0"/>
    <w:rsid w:val="00806D19"/>
    <w:rsid w:val="00810178"/>
    <w:rsid w:val="0081079B"/>
    <w:rsid w:val="008108C4"/>
    <w:rsid w:val="008145C1"/>
    <w:rsid w:val="00814B4E"/>
    <w:rsid w:val="00817A2B"/>
    <w:rsid w:val="00820218"/>
    <w:rsid w:val="0082071E"/>
    <w:rsid w:val="008207ED"/>
    <w:rsid w:val="00825DB3"/>
    <w:rsid w:val="008277E4"/>
    <w:rsid w:val="008303F6"/>
    <w:rsid w:val="00833C4A"/>
    <w:rsid w:val="00833DCE"/>
    <w:rsid w:val="00842A3D"/>
    <w:rsid w:val="008454C2"/>
    <w:rsid w:val="00845EFF"/>
    <w:rsid w:val="0085425B"/>
    <w:rsid w:val="00854C7B"/>
    <w:rsid w:val="008551A6"/>
    <w:rsid w:val="008558E4"/>
    <w:rsid w:val="008566BF"/>
    <w:rsid w:val="00860281"/>
    <w:rsid w:val="0086270D"/>
    <w:rsid w:val="00862AE8"/>
    <w:rsid w:val="00866235"/>
    <w:rsid w:val="00866494"/>
    <w:rsid w:val="00866A28"/>
    <w:rsid w:val="0086744D"/>
    <w:rsid w:val="00870C68"/>
    <w:rsid w:val="00875B8E"/>
    <w:rsid w:val="008769A8"/>
    <w:rsid w:val="00880A22"/>
    <w:rsid w:val="00881185"/>
    <w:rsid w:val="00881D5A"/>
    <w:rsid w:val="00883235"/>
    <w:rsid w:val="0088344F"/>
    <w:rsid w:val="00895471"/>
    <w:rsid w:val="00895680"/>
    <w:rsid w:val="008A20D1"/>
    <w:rsid w:val="008A2630"/>
    <w:rsid w:val="008A4060"/>
    <w:rsid w:val="008A456E"/>
    <w:rsid w:val="008A6EFD"/>
    <w:rsid w:val="008B0DA9"/>
    <w:rsid w:val="008B2157"/>
    <w:rsid w:val="008B5531"/>
    <w:rsid w:val="008B7F2F"/>
    <w:rsid w:val="008C0130"/>
    <w:rsid w:val="008C4BFB"/>
    <w:rsid w:val="008C6C12"/>
    <w:rsid w:val="008D1BB7"/>
    <w:rsid w:val="008D2A89"/>
    <w:rsid w:val="008D2EE1"/>
    <w:rsid w:val="008D7008"/>
    <w:rsid w:val="008E02B2"/>
    <w:rsid w:val="008E0300"/>
    <w:rsid w:val="008E6390"/>
    <w:rsid w:val="008E683E"/>
    <w:rsid w:val="008E6BCB"/>
    <w:rsid w:val="008F1FC7"/>
    <w:rsid w:val="008F25F2"/>
    <w:rsid w:val="008F34C1"/>
    <w:rsid w:val="008F3E52"/>
    <w:rsid w:val="008F50E0"/>
    <w:rsid w:val="009022A5"/>
    <w:rsid w:val="00905FAF"/>
    <w:rsid w:val="00907E33"/>
    <w:rsid w:val="009165AA"/>
    <w:rsid w:val="00916BB7"/>
    <w:rsid w:val="00922AD0"/>
    <w:rsid w:val="00922DDE"/>
    <w:rsid w:val="00923B95"/>
    <w:rsid w:val="009240C1"/>
    <w:rsid w:val="00924B23"/>
    <w:rsid w:val="00930450"/>
    <w:rsid w:val="00937310"/>
    <w:rsid w:val="00943E4B"/>
    <w:rsid w:val="00944DD0"/>
    <w:rsid w:val="00953917"/>
    <w:rsid w:val="00953945"/>
    <w:rsid w:val="00953F29"/>
    <w:rsid w:val="00955B94"/>
    <w:rsid w:val="00957469"/>
    <w:rsid w:val="00965CA4"/>
    <w:rsid w:val="009719C2"/>
    <w:rsid w:val="00976162"/>
    <w:rsid w:val="00976664"/>
    <w:rsid w:val="00977FAC"/>
    <w:rsid w:val="009808D3"/>
    <w:rsid w:val="00982842"/>
    <w:rsid w:val="00982975"/>
    <w:rsid w:val="009923E8"/>
    <w:rsid w:val="009945D3"/>
    <w:rsid w:val="00997503"/>
    <w:rsid w:val="009A075C"/>
    <w:rsid w:val="009A2D96"/>
    <w:rsid w:val="009A51D8"/>
    <w:rsid w:val="009B0CCE"/>
    <w:rsid w:val="009B4477"/>
    <w:rsid w:val="009B7A82"/>
    <w:rsid w:val="009C0315"/>
    <w:rsid w:val="009C31BF"/>
    <w:rsid w:val="009C4AF2"/>
    <w:rsid w:val="009C6903"/>
    <w:rsid w:val="009C755C"/>
    <w:rsid w:val="009D0A90"/>
    <w:rsid w:val="009D275A"/>
    <w:rsid w:val="009D4897"/>
    <w:rsid w:val="009D489E"/>
    <w:rsid w:val="009D491B"/>
    <w:rsid w:val="009D630A"/>
    <w:rsid w:val="009E0007"/>
    <w:rsid w:val="009E3FC7"/>
    <w:rsid w:val="009E7105"/>
    <w:rsid w:val="009E7A89"/>
    <w:rsid w:val="009F3780"/>
    <w:rsid w:val="009F6D97"/>
    <w:rsid w:val="00A01163"/>
    <w:rsid w:val="00A06262"/>
    <w:rsid w:val="00A1242E"/>
    <w:rsid w:val="00A15D51"/>
    <w:rsid w:val="00A23441"/>
    <w:rsid w:val="00A23A08"/>
    <w:rsid w:val="00A24439"/>
    <w:rsid w:val="00A24E65"/>
    <w:rsid w:val="00A31F09"/>
    <w:rsid w:val="00A43764"/>
    <w:rsid w:val="00A455A7"/>
    <w:rsid w:val="00A45818"/>
    <w:rsid w:val="00A47AD4"/>
    <w:rsid w:val="00A47DF1"/>
    <w:rsid w:val="00A54775"/>
    <w:rsid w:val="00A556EE"/>
    <w:rsid w:val="00A55E82"/>
    <w:rsid w:val="00A61C18"/>
    <w:rsid w:val="00A801B9"/>
    <w:rsid w:val="00A82CF7"/>
    <w:rsid w:val="00A837A7"/>
    <w:rsid w:val="00A9431A"/>
    <w:rsid w:val="00A97C10"/>
    <w:rsid w:val="00AA177D"/>
    <w:rsid w:val="00AA1FC8"/>
    <w:rsid w:val="00AA3306"/>
    <w:rsid w:val="00AA72FD"/>
    <w:rsid w:val="00AA7699"/>
    <w:rsid w:val="00AB01E3"/>
    <w:rsid w:val="00AB10D1"/>
    <w:rsid w:val="00AB3011"/>
    <w:rsid w:val="00AB6CAF"/>
    <w:rsid w:val="00AC3ED5"/>
    <w:rsid w:val="00AC760D"/>
    <w:rsid w:val="00AD3387"/>
    <w:rsid w:val="00AD515A"/>
    <w:rsid w:val="00AD6049"/>
    <w:rsid w:val="00AD69E1"/>
    <w:rsid w:val="00AE0B0C"/>
    <w:rsid w:val="00AE57BB"/>
    <w:rsid w:val="00AF0071"/>
    <w:rsid w:val="00AF09AE"/>
    <w:rsid w:val="00AF5372"/>
    <w:rsid w:val="00AF65EF"/>
    <w:rsid w:val="00B00584"/>
    <w:rsid w:val="00B01DA9"/>
    <w:rsid w:val="00B06220"/>
    <w:rsid w:val="00B10A11"/>
    <w:rsid w:val="00B13B74"/>
    <w:rsid w:val="00B15A6C"/>
    <w:rsid w:val="00B22EFD"/>
    <w:rsid w:val="00B24CD5"/>
    <w:rsid w:val="00B25F22"/>
    <w:rsid w:val="00B27AA2"/>
    <w:rsid w:val="00B30680"/>
    <w:rsid w:val="00B30ED8"/>
    <w:rsid w:val="00B326B8"/>
    <w:rsid w:val="00B3421F"/>
    <w:rsid w:val="00B368A2"/>
    <w:rsid w:val="00B36D2D"/>
    <w:rsid w:val="00B375E7"/>
    <w:rsid w:val="00B45C70"/>
    <w:rsid w:val="00B532E7"/>
    <w:rsid w:val="00B540DA"/>
    <w:rsid w:val="00B55280"/>
    <w:rsid w:val="00B55A47"/>
    <w:rsid w:val="00B606E5"/>
    <w:rsid w:val="00B648EA"/>
    <w:rsid w:val="00B70623"/>
    <w:rsid w:val="00B74A42"/>
    <w:rsid w:val="00B74F8E"/>
    <w:rsid w:val="00B9344C"/>
    <w:rsid w:val="00B946BC"/>
    <w:rsid w:val="00B95B7D"/>
    <w:rsid w:val="00BA0EA6"/>
    <w:rsid w:val="00BA19B0"/>
    <w:rsid w:val="00BA232D"/>
    <w:rsid w:val="00BA30C4"/>
    <w:rsid w:val="00BB4382"/>
    <w:rsid w:val="00BB7342"/>
    <w:rsid w:val="00BC58CF"/>
    <w:rsid w:val="00BC74F7"/>
    <w:rsid w:val="00BD4B6C"/>
    <w:rsid w:val="00BD5972"/>
    <w:rsid w:val="00BD7BB1"/>
    <w:rsid w:val="00BE0C17"/>
    <w:rsid w:val="00BE125F"/>
    <w:rsid w:val="00BE2015"/>
    <w:rsid w:val="00BE5A60"/>
    <w:rsid w:val="00BE658C"/>
    <w:rsid w:val="00BE68EA"/>
    <w:rsid w:val="00BF5799"/>
    <w:rsid w:val="00C04421"/>
    <w:rsid w:val="00C06400"/>
    <w:rsid w:val="00C10C51"/>
    <w:rsid w:val="00C11794"/>
    <w:rsid w:val="00C12C54"/>
    <w:rsid w:val="00C134EF"/>
    <w:rsid w:val="00C23097"/>
    <w:rsid w:val="00C318D5"/>
    <w:rsid w:val="00C32E5F"/>
    <w:rsid w:val="00C33D2F"/>
    <w:rsid w:val="00C36F8C"/>
    <w:rsid w:val="00C41112"/>
    <w:rsid w:val="00C42300"/>
    <w:rsid w:val="00C440F4"/>
    <w:rsid w:val="00C45130"/>
    <w:rsid w:val="00C466DC"/>
    <w:rsid w:val="00C4739A"/>
    <w:rsid w:val="00C517A6"/>
    <w:rsid w:val="00C547B0"/>
    <w:rsid w:val="00C54F94"/>
    <w:rsid w:val="00C56762"/>
    <w:rsid w:val="00C61D8F"/>
    <w:rsid w:val="00C64F42"/>
    <w:rsid w:val="00C66094"/>
    <w:rsid w:val="00C66DDC"/>
    <w:rsid w:val="00C67F27"/>
    <w:rsid w:val="00C80538"/>
    <w:rsid w:val="00C82E5C"/>
    <w:rsid w:val="00C83D2E"/>
    <w:rsid w:val="00C863EE"/>
    <w:rsid w:val="00C90ED9"/>
    <w:rsid w:val="00CA004D"/>
    <w:rsid w:val="00CA026A"/>
    <w:rsid w:val="00CA20AA"/>
    <w:rsid w:val="00CA2BAA"/>
    <w:rsid w:val="00CA4210"/>
    <w:rsid w:val="00CA46E3"/>
    <w:rsid w:val="00CA6E55"/>
    <w:rsid w:val="00CB1A9F"/>
    <w:rsid w:val="00CB5049"/>
    <w:rsid w:val="00CB61A6"/>
    <w:rsid w:val="00CB6F61"/>
    <w:rsid w:val="00CC44B7"/>
    <w:rsid w:val="00CC6C33"/>
    <w:rsid w:val="00CC7101"/>
    <w:rsid w:val="00CD4DAF"/>
    <w:rsid w:val="00CD543D"/>
    <w:rsid w:val="00CD73AE"/>
    <w:rsid w:val="00CE2962"/>
    <w:rsid w:val="00CE6B5F"/>
    <w:rsid w:val="00CF01AE"/>
    <w:rsid w:val="00CF1170"/>
    <w:rsid w:val="00CF241F"/>
    <w:rsid w:val="00CF4534"/>
    <w:rsid w:val="00CF63FE"/>
    <w:rsid w:val="00CF7664"/>
    <w:rsid w:val="00D00668"/>
    <w:rsid w:val="00D007C3"/>
    <w:rsid w:val="00D02080"/>
    <w:rsid w:val="00D05B04"/>
    <w:rsid w:val="00D06212"/>
    <w:rsid w:val="00D06D66"/>
    <w:rsid w:val="00D07E2A"/>
    <w:rsid w:val="00D12C93"/>
    <w:rsid w:val="00D13547"/>
    <w:rsid w:val="00D13DF2"/>
    <w:rsid w:val="00D248DC"/>
    <w:rsid w:val="00D319A8"/>
    <w:rsid w:val="00D36FC8"/>
    <w:rsid w:val="00D37A94"/>
    <w:rsid w:val="00D41DA1"/>
    <w:rsid w:val="00D44509"/>
    <w:rsid w:val="00D4661A"/>
    <w:rsid w:val="00D47C71"/>
    <w:rsid w:val="00D50991"/>
    <w:rsid w:val="00D60E37"/>
    <w:rsid w:val="00D62B48"/>
    <w:rsid w:val="00D65188"/>
    <w:rsid w:val="00D656EA"/>
    <w:rsid w:val="00D66D8E"/>
    <w:rsid w:val="00D751E1"/>
    <w:rsid w:val="00D76143"/>
    <w:rsid w:val="00D76F00"/>
    <w:rsid w:val="00D8028D"/>
    <w:rsid w:val="00D802C0"/>
    <w:rsid w:val="00D810D5"/>
    <w:rsid w:val="00D81ADD"/>
    <w:rsid w:val="00D838E9"/>
    <w:rsid w:val="00D84421"/>
    <w:rsid w:val="00D853EA"/>
    <w:rsid w:val="00D96D0F"/>
    <w:rsid w:val="00D97E2B"/>
    <w:rsid w:val="00DA10FC"/>
    <w:rsid w:val="00DA1DBE"/>
    <w:rsid w:val="00DA6B7A"/>
    <w:rsid w:val="00DC2B67"/>
    <w:rsid w:val="00DC3300"/>
    <w:rsid w:val="00DC4088"/>
    <w:rsid w:val="00DD4184"/>
    <w:rsid w:val="00DD4650"/>
    <w:rsid w:val="00DD6F28"/>
    <w:rsid w:val="00DD724A"/>
    <w:rsid w:val="00DE51A2"/>
    <w:rsid w:val="00DE59C9"/>
    <w:rsid w:val="00DF3ECB"/>
    <w:rsid w:val="00DF412D"/>
    <w:rsid w:val="00DF5838"/>
    <w:rsid w:val="00E0346E"/>
    <w:rsid w:val="00E12578"/>
    <w:rsid w:val="00E159AF"/>
    <w:rsid w:val="00E21C17"/>
    <w:rsid w:val="00E227D2"/>
    <w:rsid w:val="00E26411"/>
    <w:rsid w:val="00E305DE"/>
    <w:rsid w:val="00E3141D"/>
    <w:rsid w:val="00E34535"/>
    <w:rsid w:val="00E40D66"/>
    <w:rsid w:val="00E42374"/>
    <w:rsid w:val="00E42FAF"/>
    <w:rsid w:val="00E42FC5"/>
    <w:rsid w:val="00E4404D"/>
    <w:rsid w:val="00E4764F"/>
    <w:rsid w:val="00E528C5"/>
    <w:rsid w:val="00E54926"/>
    <w:rsid w:val="00E600F4"/>
    <w:rsid w:val="00E66C42"/>
    <w:rsid w:val="00E66CE4"/>
    <w:rsid w:val="00E676B7"/>
    <w:rsid w:val="00E70846"/>
    <w:rsid w:val="00E70B89"/>
    <w:rsid w:val="00E74EBB"/>
    <w:rsid w:val="00E75AB0"/>
    <w:rsid w:val="00E75D88"/>
    <w:rsid w:val="00E84F09"/>
    <w:rsid w:val="00E92856"/>
    <w:rsid w:val="00E92B18"/>
    <w:rsid w:val="00E979C3"/>
    <w:rsid w:val="00EA25D8"/>
    <w:rsid w:val="00EA2855"/>
    <w:rsid w:val="00EA4B87"/>
    <w:rsid w:val="00EA7F5C"/>
    <w:rsid w:val="00EB099D"/>
    <w:rsid w:val="00EB5096"/>
    <w:rsid w:val="00EC4010"/>
    <w:rsid w:val="00EC58A4"/>
    <w:rsid w:val="00EC5BA7"/>
    <w:rsid w:val="00EC6EAF"/>
    <w:rsid w:val="00ED27AA"/>
    <w:rsid w:val="00EE4C0A"/>
    <w:rsid w:val="00EE4E72"/>
    <w:rsid w:val="00EE5D94"/>
    <w:rsid w:val="00EE6013"/>
    <w:rsid w:val="00EF32EF"/>
    <w:rsid w:val="00EF6C4E"/>
    <w:rsid w:val="00F008DE"/>
    <w:rsid w:val="00F053C0"/>
    <w:rsid w:val="00F06450"/>
    <w:rsid w:val="00F06870"/>
    <w:rsid w:val="00F077BF"/>
    <w:rsid w:val="00F07BAE"/>
    <w:rsid w:val="00F1499E"/>
    <w:rsid w:val="00F17C09"/>
    <w:rsid w:val="00F17DD4"/>
    <w:rsid w:val="00F22BDB"/>
    <w:rsid w:val="00F2450D"/>
    <w:rsid w:val="00F26072"/>
    <w:rsid w:val="00F322EC"/>
    <w:rsid w:val="00F35637"/>
    <w:rsid w:val="00F414AB"/>
    <w:rsid w:val="00F41D16"/>
    <w:rsid w:val="00F46490"/>
    <w:rsid w:val="00F505C9"/>
    <w:rsid w:val="00F53805"/>
    <w:rsid w:val="00F54BD1"/>
    <w:rsid w:val="00F54DB5"/>
    <w:rsid w:val="00F6197B"/>
    <w:rsid w:val="00F709D2"/>
    <w:rsid w:val="00F721C9"/>
    <w:rsid w:val="00F72678"/>
    <w:rsid w:val="00F73310"/>
    <w:rsid w:val="00F7353E"/>
    <w:rsid w:val="00F805B2"/>
    <w:rsid w:val="00F87C9C"/>
    <w:rsid w:val="00F94160"/>
    <w:rsid w:val="00F954E2"/>
    <w:rsid w:val="00F969A0"/>
    <w:rsid w:val="00F973EC"/>
    <w:rsid w:val="00FA05E1"/>
    <w:rsid w:val="00FA3DC3"/>
    <w:rsid w:val="00FA6D16"/>
    <w:rsid w:val="00FB0101"/>
    <w:rsid w:val="00FB125E"/>
    <w:rsid w:val="00FB2AB5"/>
    <w:rsid w:val="00FB488C"/>
    <w:rsid w:val="00FC7EA1"/>
    <w:rsid w:val="00FD100A"/>
    <w:rsid w:val="00FD5B5B"/>
    <w:rsid w:val="00FD6A6E"/>
    <w:rsid w:val="00FD7C0F"/>
    <w:rsid w:val="00FE37E3"/>
    <w:rsid w:val="00FE79DC"/>
    <w:rsid w:val="00FF06B6"/>
    <w:rsid w:val="00FF176D"/>
    <w:rsid w:val="00FF6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BAA6F"/>
  <w15:docId w15:val="{ABD6CCD1-D9EA-4DF1-A006-FE95BDC2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2B"/>
    <w:rPr>
      <w:rFonts w:ascii="Georgia" w:hAnsi="Georgia" w:cs="Times New Roman"/>
    </w:rPr>
  </w:style>
  <w:style w:type="paragraph" w:styleId="Heading1">
    <w:name w:val="heading 1"/>
    <w:basedOn w:val="Normal"/>
    <w:next w:val="Normal"/>
    <w:link w:val="Heading1Char"/>
    <w:uiPriority w:val="9"/>
    <w:qFormat/>
    <w:rsid w:val="004558AF"/>
    <w:pPr>
      <w:keepNext/>
      <w:keepLines/>
      <w:spacing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42A3D"/>
    <w:pPr>
      <w:keepNext/>
      <w:keepLines/>
      <w:numPr>
        <w:numId w:val="2"/>
      </w:numPr>
      <w:spacing w:after="0"/>
      <w:ind w:left="36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842A3D"/>
    <w:pPr>
      <w:keepNext/>
      <w:keepLines/>
      <w:spacing w:before="40" w:after="0"/>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707960"/>
    <w:pPr>
      <w:keepNext/>
      <w:keepLines/>
      <w:spacing w:before="40" w:after="0"/>
      <w:outlineLvl w:val="3"/>
    </w:pPr>
    <w:rPr>
      <w:rFonts w:ascii="Arial" w:hAnsi="Arial" w:cs="Arial"/>
      <w:u w:val="single"/>
    </w:rPr>
  </w:style>
  <w:style w:type="paragraph" w:styleId="Heading5">
    <w:name w:val="heading 5"/>
    <w:basedOn w:val="Normal"/>
    <w:next w:val="Normal"/>
    <w:link w:val="Heading5Char"/>
    <w:uiPriority w:val="9"/>
    <w:unhideWhenUsed/>
    <w:qFormat/>
    <w:rsid w:val="00623B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AF"/>
    <w:rPr>
      <w:rFonts w:ascii="Georgia" w:eastAsiaTheme="majorEastAsia" w:hAnsi="Georgia" w:cs="Times New Roman"/>
      <w:b/>
      <w:bCs/>
      <w:sz w:val="32"/>
      <w:szCs w:val="32"/>
    </w:rPr>
  </w:style>
  <w:style w:type="character" w:customStyle="1" w:styleId="Heading2Char">
    <w:name w:val="Heading 2 Char"/>
    <w:basedOn w:val="DefaultParagraphFont"/>
    <w:link w:val="Heading2"/>
    <w:uiPriority w:val="9"/>
    <w:rsid w:val="00842A3D"/>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842A3D"/>
    <w:rPr>
      <w:rFonts w:ascii="Arial" w:eastAsiaTheme="majorEastAsia" w:hAnsi="Arial" w:cs="Arial"/>
      <w:b/>
      <w:bCs/>
      <w:sz w:val="24"/>
      <w:szCs w:val="24"/>
    </w:rPr>
  </w:style>
  <w:style w:type="character" w:customStyle="1" w:styleId="Heading4Char">
    <w:name w:val="Heading 4 Char"/>
    <w:basedOn w:val="DefaultParagraphFont"/>
    <w:link w:val="Heading4"/>
    <w:uiPriority w:val="9"/>
    <w:rsid w:val="00707960"/>
    <w:rPr>
      <w:rFonts w:ascii="Arial" w:hAnsi="Arial" w:cs="Arial"/>
      <w:u w:val="single"/>
    </w:rPr>
  </w:style>
  <w:style w:type="character" w:customStyle="1" w:styleId="Heading5Char">
    <w:name w:val="Heading 5 Char"/>
    <w:basedOn w:val="DefaultParagraphFont"/>
    <w:link w:val="Heading5"/>
    <w:uiPriority w:val="9"/>
    <w:rsid w:val="00623B3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23B3A"/>
    <w:pPr>
      <w:ind w:left="720"/>
      <w:contextualSpacing/>
    </w:pPr>
  </w:style>
  <w:style w:type="paragraph" w:styleId="BalloonText">
    <w:name w:val="Balloon Text"/>
    <w:basedOn w:val="Normal"/>
    <w:link w:val="BalloonTextChar"/>
    <w:uiPriority w:val="99"/>
    <w:semiHidden/>
    <w:unhideWhenUsed/>
    <w:rsid w:val="006933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3348"/>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0914"/>
    <w:rPr>
      <w:sz w:val="18"/>
      <w:szCs w:val="18"/>
    </w:rPr>
  </w:style>
  <w:style w:type="paragraph" w:styleId="CommentText">
    <w:name w:val="annotation text"/>
    <w:basedOn w:val="Normal"/>
    <w:link w:val="CommentTextChar"/>
    <w:uiPriority w:val="99"/>
    <w:unhideWhenUsed/>
    <w:rsid w:val="00060914"/>
    <w:pPr>
      <w:spacing w:line="240" w:lineRule="auto"/>
    </w:pPr>
    <w:rPr>
      <w:sz w:val="24"/>
      <w:szCs w:val="24"/>
    </w:rPr>
  </w:style>
  <w:style w:type="character" w:customStyle="1" w:styleId="CommentTextChar">
    <w:name w:val="Comment Text Char"/>
    <w:basedOn w:val="DefaultParagraphFont"/>
    <w:link w:val="CommentText"/>
    <w:uiPriority w:val="99"/>
    <w:rsid w:val="00060914"/>
    <w:rPr>
      <w:sz w:val="24"/>
      <w:szCs w:val="24"/>
    </w:rPr>
  </w:style>
  <w:style w:type="paragraph" w:styleId="CommentSubject">
    <w:name w:val="annotation subject"/>
    <w:basedOn w:val="CommentText"/>
    <w:next w:val="CommentText"/>
    <w:link w:val="CommentSubjectChar"/>
    <w:uiPriority w:val="99"/>
    <w:semiHidden/>
    <w:unhideWhenUsed/>
    <w:rsid w:val="00060914"/>
    <w:rPr>
      <w:b/>
      <w:bCs/>
      <w:sz w:val="20"/>
      <w:szCs w:val="20"/>
    </w:rPr>
  </w:style>
  <w:style w:type="character" w:customStyle="1" w:styleId="CommentSubjectChar">
    <w:name w:val="Comment Subject Char"/>
    <w:basedOn w:val="CommentTextChar"/>
    <w:link w:val="CommentSubject"/>
    <w:uiPriority w:val="99"/>
    <w:semiHidden/>
    <w:rsid w:val="00060914"/>
    <w:rPr>
      <w:b/>
      <w:bCs/>
      <w:sz w:val="20"/>
      <w:szCs w:val="20"/>
    </w:rPr>
  </w:style>
  <w:style w:type="paragraph" w:styleId="NoSpacing">
    <w:name w:val="No Spacing"/>
    <w:uiPriority w:val="1"/>
    <w:qFormat/>
    <w:rsid w:val="009D275A"/>
    <w:pPr>
      <w:spacing w:after="0" w:line="240" w:lineRule="auto"/>
    </w:pPr>
    <w:rPr>
      <w:rFonts w:ascii="Arial" w:hAnsi="Arial" w:cs="Arial"/>
    </w:rPr>
  </w:style>
  <w:style w:type="character" w:customStyle="1" w:styleId="apple-converted-space">
    <w:name w:val="apple-converted-space"/>
    <w:basedOn w:val="DefaultParagraphFont"/>
    <w:rsid w:val="00C547B0"/>
  </w:style>
  <w:style w:type="character" w:styleId="Hyperlink">
    <w:name w:val="Hyperlink"/>
    <w:basedOn w:val="DefaultParagraphFont"/>
    <w:uiPriority w:val="99"/>
    <w:semiHidden/>
    <w:unhideWhenUsed/>
    <w:rsid w:val="00C547B0"/>
    <w:rPr>
      <w:color w:val="0000FF"/>
      <w:u w:val="single"/>
    </w:rPr>
  </w:style>
  <w:style w:type="paragraph" w:customStyle="1" w:styleId="EndNoteBibliography">
    <w:name w:val="EndNote Bibliography"/>
    <w:basedOn w:val="Normal"/>
    <w:link w:val="EndNoteBibliographyChar"/>
    <w:rsid w:val="009E7A89"/>
    <w:pPr>
      <w:spacing w:after="0" w:line="240" w:lineRule="auto"/>
    </w:pPr>
    <w:rPr>
      <w:rFonts w:ascii="Times New Roman" w:eastAsia="Times New Roman" w:hAnsi="Times New Roman"/>
      <w:sz w:val="24"/>
      <w:szCs w:val="24"/>
    </w:rPr>
  </w:style>
  <w:style w:type="character" w:customStyle="1" w:styleId="EndNoteBibliographyChar">
    <w:name w:val="EndNote Bibliography Char"/>
    <w:basedOn w:val="DefaultParagraphFont"/>
    <w:link w:val="EndNoteBibliography"/>
    <w:rsid w:val="009E7A89"/>
    <w:rPr>
      <w:rFonts w:ascii="Times New Roman" w:eastAsia="Times New Roman" w:hAnsi="Times New Roman" w:cs="Times New Roman"/>
      <w:sz w:val="24"/>
      <w:szCs w:val="24"/>
    </w:rPr>
  </w:style>
  <w:style w:type="table" w:styleId="TableGrid">
    <w:name w:val="Table Grid"/>
    <w:basedOn w:val="TableNormal"/>
    <w:uiPriority w:val="39"/>
    <w:rsid w:val="00CA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09AE"/>
    <w:rPr>
      <w:color w:val="808080"/>
    </w:rPr>
  </w:style>
  <w:style w:type="table" w:customStyle="1" w:styleId="TableGrid5">
    <w:name w:val="Table Grid5"/>
    <w:basedOn w:val="TableNormal"/>
    <w:next w:val="TableGrid"/>
    <w:uiPriority w:val="39"/>
    <w:rsid w:val="004C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0ED8"/>
    <w:pPr>
      <w:spacing w:after="0" w:line="240" w:lineRule="auto"/>
    </w:pPr>
    <w:rPr>
      <w:rFonts w:ascii="Georgia" w:hAnsi="Georgia" w:cs="Times New Roman"/>
    </w:rPr>
  </w:style>
  <w:style w:type="paragraph" w:styleId="Bibliography">
    <w:name w:val="Bibliography"/>
    <w:basedOn w:val="Normal"/>
    <w:next w:val="Normal"/>
    <w:uiPriority w:val="37"/>
    <w:unhideWhenUsed/>
    <w:rsid w:val="00845EFF"/>
  </w:style>
  <w:style w:type="paragraph" w:styleId="Header">
    <w:name w:val="header"/>
    <w:basedOn w:val="Normal"/>
    <w:link w:val="HeaderChar"/>
    <w:uiPriority w:val="99"/>
    <w:unhideWhenUsed/>
    <w:rsid w:val="00C04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421"/>
    <w:rPr>
      <w:rFonts w:ascii="Georgia" w:hAnsi="Georgia" w:cs="Times New Roman"/>
    </w:rPr>
  </w:style>
  <w:style w:type="paragraph" w:styleId="Footer">
    <w:name w:val="footer"/>
    <w:basedOn w:val="Normal"/>
    <w:link w:val="FooterChar"/>
    <w:uiPriority w:val="99"/>
    <w:unhideWhenUsed/>
    <w:rsid w:val="00C04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421"/>
    <w:rPr>
      <w:rFonts w:ascii="Georgia"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36640">
      <w:bodyDiv w:val="1"/>
      <w:marLeft w:val="0"/>
      <w:marRight w:val="0"/>
      <w:marTop w:val="0"/>
      <w:marBottom w:val="0"/>
      <w:divBdr>
        <w:top w:val="none" w:sz="0" w:space="0" w:color="auto"/>
        <w:left w:val="none" w:sz="0" w:space="0" w:color="auto"/>
        <w:bottom w:val="none" w:sz="0" w:space="0" w:color="auto"/>
        <w:right w:val="none" w:sz="0" w:space="0" w:color="auto"/>
      </w:divBdr>
    </w:div>
    <w:div w:id="19734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F3BD1-514E-4492-8A9A-CCEA04EF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7521</Words>
  <Characters>42873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Mitchell</dc:creator>
  <cp:keywords/>
  <dc:description/>
  <cp:lastModifiedBy>William Mitchell</cp:lastModifiedBy>
  <cp:revision>4</cp:revision>
  <dcterms:created xsi:type="dcterms:W3CDTF">2022-12-08T04:38:00Z</dcterms:created>
  <dcterms:modified xsi:type="dcterms:W3CDTF">2022-12-08T19:32:00Z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f18cc4f6-cfb7-3f42-8fe3-a9cf01596034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zotero-version="6.0.18"&gt;&lt;session id="nvdbyyUd"/&gt;&lt;style id="http://www.zotero.org/styles/nature" hasBibliography="1" bibliographyStyleHasBeenSet="1"/&gt;&lt;prefs&gt;&lt;pref name="fieldType" value="Field"/&gt;&lt;pref name="dontAskDelayCitationUpdate</vt:lpwstr>
  </property>
  <property fmtid="{D5CDD505-2E9C-101B-9397-08002B2CF9AE}" pid="26" name="ZOTERO_PREF_2">
    <vt:lpwstr>s" value="true"/&gt;&lt;/prefs&gt;&lt;/data&gt;</vt:lpwstr>
  </property>
</Properties>
</file>