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16D3" w14:textId="77777777" w:rsidR="007B2F9D" w:rsidRDefault="007B2F9D" w:rsidP="007B2F9D">
      <w:pPr>
        <w:pStyle w:val="OMBInfo"/>
      </w:pPr>
      <w:r>
        <w:t>OMB No. 0925-0001 and 0925-0002 (Rev. 10/2021</w:t>
      </w:r>
      <w:r w:rsidRPr="007E6E1E">
        <w:t xml:space="preserve"> </w:t>
      </w:r>
      <w:r>
        <w:t>Approved Through 09/30/2024)</w:t>
      </w:r>
    </w:p>
    <w:p w14:paraId="48D07FF5" w14:textId="77777777" w:rsidR="002B7443" w:rsidRPr="006F78B0" w:rsidRDefault="002B7443" w:rsidP="006E6FB5">
      <w:pPr>
        <w:pStyle w:val="Title"/>
        <w:rPr>
          <w:rFonts w:cs="Arial"/>
        </w:rPr>
      </w:pPr>
      <w:r w:rsidRPr="006F78B0">
        <w:rPr>
          <w:rFonts w:cs="Arial"/>
        </w:rPr>
        <w:t>BIOGRAPHICAL SKETCH</w:t>
      </w:r>
    </w:p>
    <w:p w14:paraId="01C9B6C5" w14:textId="7EDF005C" w:rsidR="002B7443" w:rsidRPr="006F78B0" w:rsidRDefault="002B7443" w:rsidP="00F7284D">
      <w:pPr>
        <w:pStyle w:val="HeadingNote"/>
      </w:pPr>
      <w:r w:rsidRPr="006F78B0">
        <w:t>Provide the following information for the Senior/key personnel and other significant contributors.</w:t>
      </w:r>
      <w:r w:rsidRPr="006F78B0">
        <w:br w:type="textWrapping" w:clear="all"/>
        <w:t xml:space="preserve">Follow this format for each person.  </w:t>
      </w:r>
      <w:r w:rsidRPr="006F78B0">
        <w:rPr>
          <w:b/>
        </w:rPr>
        <w:t>DO NOT EXCEED FIVE PAGES.</w:t>
      </w:r>
    </w:p>
    <w:p w14:paraId="4F46CDBB" w14:textId="7C0BDD6B" w:rsidR="002B7443" w:rsidRPr="006F78B0" w:rsidRDefault="002B7443" w:rsidP="002B7443">
      <w:pPr>
        <w:pStyle w:val="FormFieldCaption1"/>
        <w:pBdr>
          <w:between w:val="single" w:sz="4" w:space="1" w:color="auto"/>
        </w:pBdr>
        <w:rPr>
          <w:sz w:val="32"/>
        </w:rPr>
      </w:pPr>
      <w:r w:rsidRPr="006F78B0">
        <w:rPr>
          <w:sz w:val="22"/>
        </w:rPr>
        <w:t>NAME:</w:t>
      </w:r>
      <w:r w:rsidR="00E03323" w:rsidRPr="006F78B0">
        <w:rPr>
          <w:sz w:val="22"/>
        </w:rPr>
        <w:t xml:space="preserve"> </w:t>
      </w:r>
      <w:r w:rsidR="002F126D" w:rsidRPr="006F78B0">
        <w:rPr>
          <w:sz w:val="22"/>
        </w:rPr>
        <w:t>Chelsea Helion</w:t>
      </w:r>
    </w:p>
    <w:p w14:paraId="7FFF41C1" w14:textId="2F176BE2" w:rsidR="002B7443" w:rsidRPr="006F78B0" w:rsidRDefault="00E047AD" w:rsidP="002B7443">
      <w:pPr>
        <w:pStyle w:val="FormFieldCaption1"/>
        <w:pBdr>
          <w:between w:val="single" w:sz="4" w:space="1" w:color="auto"/>
        </w:pBdr>
        <w:rPr>
          <w:sz w:val="32"/>
        </w:rPr>
      </w:pPr>
      <w:proofErr w:type="spellStart"/>
      <w:r w:rsidRPr="006F78B0">
        <w:rPr>
          <w:sz w:val="22"/>
        </w:rPr>
        <w:t>eRA</w:t>
      </w:r>
      <w:proofErr w:type="spellEnd"/>
      <w:r w:rsidRPr="006F78B0">
        <w:rPr>
          <w:sz w:val="22"/>
        </w:rPr>
        <w:t xml:space="preserve"> COMMONS USER NAME (credential, e.g., agency login)</w:t>
      </w:r>
      <w:r w:rsidR="002B7443" w:rsidRPr="006F78B0">
        <w:rPr>
          <w:sz w:val="22"/>
        </w:rPr>
        <w:t>:</w:t>
      </w:r>
      <w:r w:rsidR="00E03323" w:rsidRPr="006F78B0">
        <w:rPr>
          <w:sz w:val="22"/>
        </w:rPr>
        <w:t xml:space="preserve"> </w:t>
      </w:r>
    </w:p>
    <w:p w14:paraId="74873D9A" w14:textId="0845BE5E" w:rsidR="002B7443" w:rsidRPr="006F78B0" w:rsidRDefault="00E047AD" w:rsidP="002B7443">
      <w:pPr>
        <w:pStyle w:val="FormFieldCaption1"/>
        <w:pBdr>
          <w:between w:val="single" w:sz="4" w:space="1" w:color="auto"/>
        </w:pBdr>
        <w:rPr>
          <w:sz w:val="32"/>
        </w:rPr>
      </w:pPr>
      <w:r w:rsidRPr="006F78B0">
        <w:rPr>
          <w:sz w:val="22"/>
        </w:rPr>
        <w:t>POSITION TITLE</w:t>
      </w:r>
      <w:r w:rsidR="002B7443" w:rsidRPr="006F78B0">
        <w:rPr>
          <w:sz w:val="22"/>
        </w:rPr>
        <w:t>:</w:t>
      </w:r>
      <w:r w:rsidR="002F126D" w:rsidRPr="006F78B0">
        <w:rPr>
          <w:sz w:val="22"/>
        </w:rPr>
        <w:t xml:space="preserve"> Assistant Professor, Temple University Psychology Department</w:t>
      </w:r>
    </w:p>
    <w:p w14:paraId="035344DF" w14:textId="571DC801" w:rsidR="002B7443" w:rsidRPr="006F78B0" w:rsidRDefault="002B7443" w:rsidP="002B7443">
      <w:pPr>
        <w:pStyle w:val="FormFieldCaption1"/>
        <w:pBdr>
          <w:between w:val="single" w:sz="4" w:space="1" w:color="auto"/>
        </w:pBdr>
        <w:rPr>
          <w:sz w:val="22"/>
        </w:rPr>
      </w:pPr>
      <w:r w:rsidRPr="006F78B0">
        <w:rPr>
          <w:sz w:val="22"/>
        </w:rPr>
        <w:t xml:space="preserve">EDUCATION/TRAINING </w:t>
      </w:r>
      <w:r w:rsidRPr="006F78B0">
        <w:rPr>
          <w:rStyle w:val="Emphasis"/>
          <w:sz w:val="22"/>
        </w:rPr>
        <w:t>(Begin with baccalaureate or other initial professional education, such as nursing, include postdoctoral training and residency training if applicable.</w:t>
      </w:r>
      <w:r w:rsidR="00C1247F" w:rsidRPr="006F78B0">
        <w:rPr>
          <w:rStyle w:val="Emphasis"/>
          <w:sz w:val="22"/>
        </w:rPr>
        <w:t xml:space="preserve"> Add/delete rows as necessary.</w:t>
      </w:r>
      <w:r w:rsidRPr="006F78B0">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6F78B0"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6F78B0" w:rsidRDefault="00933173" w:rsidP="000B5732">
            <w:pPr>
              <w:pStyle w:val="FormFieldCaption"/>
              <w:jc w:val="center"/>
              <w:rPr>
                <w:sz w:val="22"/>
              </w:rPr>
            </w:pPr>
            <w:r w:rsidRPr="006F78B0">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6F78B0" w:rsidRDefault="00933173" w:rsidP="000B5732">
            <w:pPr>
              <w:pStyle w:val="FormFieldCaption"/>
              <w:jc w:val="center"/>
              <w:rPr>
                <w:sz w:val="22"/>
              </w:rPr>
            </w:pPr>
            <w:r w:rsidRPr="006F78B0">
              <w:rPr>
                <w:sz w:val="22"/>
              </w:rPr>
              <w:t>DEGREE</w:t>
            </w:r>
          </w:p>
          <w:p w14:paraId="0DEF5BC8" w14:textId="77777777" w:rsidR="00933173" w:rsidRPr="006F78B0" w:rsidRDefault="00933173" w:rsidP="000B5732">
            <w:pPr>
              <w:pStyle w:val="FormFieldCaption"/>
              <w:jc w:val="center"/>
              <w:rPr>
                <w:rStyle w:val="Emphasis"/>
                <w:sz w:val="22"/>
              </w:rPr>
            </w:pPr>
            <w:r w:rsidRPr="006F78B0">
              <w:rPr>
                <w:rStyle w:val="Emphasis"/>
                <w:sz w:val="22"/>
              </w:rPr>
              <w:t>(if applicable)</w:t>
            </w:r>
          </w:p>
          <w:p w14:paraId="32A0C014" w14:textId="77777777" w:rsidR="00933173" w:rsidRPr="006F78B0"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6F78B0" w:rsidRDefault="00C1247F" w:rsidP="000B5732">
            <w:pPr>
              <w:pStyle w:val="FormFieldCaption"/>
              <w:jc w:val="center"/>
              <w:rPr>
                <w:sz w:val="22"/>
              </w:rPr>
            </w:pPr>
            <w:r w:rsidRPr="006F78B0">
              <w:rPr>
                <w:sz w:val="22"/>
              </w:rPr>
              <w:t>Completion Date</w:t>
            </w:r>
          </w:p>
          <w:p w14:paraId="76B4E15A" w14:textId="09B57E40" w:rsidR="00933173" w:rsidRPr="006F78B0" w:rsidRDefault="00933173" w:rsidP="000B5732">
            <w:pPr>
              <w:pStyle w:val="FormFieldCaption"/>
              <w:jc w:val="center"/>
              <w:rPr>
                <w:sz w:val="22"/>
              </w:rPr>
            </w:pPr>
            <w:r w:rsidRPr="006F78B0">
              <w:rPr>
                <w:sz w:val="22"/>
              </w:rPr>
              <w:t>MM/YYYY</w:t>
            </w:r>
          </w:p>
          <w:p w14:paraId="143620A6" w14:textId="77777777" w:rsidR="00933173" w:rsidRPr="006F78B0"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6F78B0" w:rsidRDefault="00933173" w:rsidP="000B5732">
            <w:pPr>
              <w:pStyle w:val="FormFieldCaption"/>
              <w:jc w:val="center"/>
              <w:rPr>
                <w:sz w:val="22"/>
              </w:rPr>
            </w:pPr>
            <w:r w:rsidRPr="006F78B0">
              <w:rPr>
                <w:sz w:val="22"/>
              </w:rPr>
              <w:t>FIELD OF STUDY</w:t>
            </w:r>
          </w:p>
          <w:p w14:paraId="4198E5FC" w14:textId="77777777" w:rsidR="00933173" w:rsidRPr="006F78B0" w:rsidRDefault="00933173" w:rsidP="000B5732">
            <w:pPr>
              <w:pStyle w:val="FormFieldCaption"/>
              <w:rPr>
                <w:sz w:val="22"/>
              </w:rPr>
            </w:pPr>
          </w:p>
        </w:tc>
      </w:tr>
      <w:tr w:rsidR="00933173" w:rsidRPr="006F78B0" w14:paraId="5CD50646" w14:textId="77777777" w:rsidTr="005F0B12">
        <w:trPr>
          <w:cantSplit/>
          <w:trHeight w:val="395"/>
        </w:trPr>
        <w:tc>
          <w:tcPr>
            <w:tcW w:w="5220" w:type="dxa"/>
            <w:tcBorders>
              <w:top w:val="single" w:sz="4" w:space="0" w:color="auto"/>
            </w:tcBorders>
          </w:tcPr>
          <w:p w14:paraId="3B0C531B" w14:textId="0834A0B2" w:rsidR="00933173" w:rsidRPr="006F78B0" w:rsidRDefault="002F126D" w:rsidP="00ED35D7">
            <w:pPr>
              <w:pStyle w:val="FormFieldCaption"/>
              <w:spacing w:before="20" w:after="20"/>
              <w:rPr>
                <w:sz w:val="22"/>
                <w:szCs w:val="22"/>
              </w:rPr>
            </w:pPr>
            <w:r w:rsidRPr="006F78B0">
              <w:rPr>
                <w:sz w:val="22"/>
                <w:szCs w:val="22"/>
              </w:rPr>
              <w:t>Temple University, Philadelphia, PA</w:t>
            </w:r>
          </w:p>
        </w:tc>
        <w:tc>
          <w:tcPr>
            <w:tcW w:w="1440" w:type="dxa"/>
            <w:tcBorders>
              <w:top w:val="single" w:sz="4" w:space="0" w:color="auto"/>
            </w:tcBorders>
          </w:tcPr>
          <w:p w14:paraId="62DD05C1" w14:textId="6B398B6B" w:rsidR="00933173" w:rsidRPr="006F78B0" w:rsidRDefault="002F126D" w:rsidP="003E4A92">
            <w:pPr>
              <w:pStyle w:val="FormFieldCaption"/>
              <w:spacing w:before="20" w:after="20"/>
              <w:jc w:val="center"/>
              <w:rPr>
                <w:sz w:val="22"/>
                <w:szCs w:val="22"/>
              </w:rPr>
            </w:pPr>
            <w:r w:rsidRPr="006F78B0">
              <w:rPr>
                <w:sz w:val="22"/>
                <w:szCs w:val="22"/>
              </w:rPr>
              <w:t>B.A.</w:t>
            </w:r>
          </w:p>
        </w:tc>
        <w:tc>
          <w:tcPr>
            <w:tcW w:w="1584" w:type="dxa"/>
            <w:tcBorders>
              <w:top w:val="single" w:sz="4" w:space="0" w:color="auto"/>
            </w:tcBorders>
          </w:tcPr>
          <w:p w14:paraId="543299E0" w14:textId="34E84BF8" w:rsidR="00933173" w:rsidRPr="006F78B0" w:rsidRDefault="002F126D" w:rsidP="003E4A92">
            <w:pPr>
              <w:pStyle w:val="FormFieldCaption"/>
              <w:spacing w:before="20" w:after="20"/>
              <w:jc w:val="center"/>
              <w:rPr>
                <w:sz w:val="22"/>
                <w:szCs w:val="22"/>
              </w:rPr>
            </w:pPr>
            <w:r w:rsidRPr="006F78B0">
              <w:rPr>
                <w:sz w:val="22"/>
                <w:szCs w:val="22"/>
              </w:rPr>
              <w:t>05/2009</w:t>
            </w:r>
          </w:p>
        </w:tc>
        <w:tc>
          <w:tcPr>
            <w:tcW w:w="2592" w:type="dxa"/>
            <w:tcBorders>
              <w:top w:val="single" w:sz="4" w:space="0" w:color="auto"/>
            </w:tcBorders>
          </w:tcPr>
          <w:p w14:paraId="7BC5582F" w14:textId="6BAA1337" w:rsidR="00933173" w:rsidRPr="006F78B0" w:rsidRDefault="002F126D" w:rsidP="00ED35D7">
            <w:pPr>
              <w:pStyle w:val="FormFieldCaption"/>
              <w:spacing w:before="20" w:after="20"/>
              <w:rPr>
                <w:sz w:val="22"/>
                <w:szCs w:val="22"/>
              </w:rPr>
            </w:pPr>
            <w:r w:rsidRPr="006F78B0">
              <w:rPr>
                <w:sz w:val="22"/>
                <w:szCs w:val="22"/>
              </w:rPr>
              <w:t>Psychology</w:t>
            </w:r>
          </w:p>
        </w:tc>
      </w:tr>
      <w:tr w:rsidR="00933173" w:rsidRPr="006F78B0" w14:paraId="1515F345" w14:textId="77777777" w:rsidTr="005F0B12">
        <w:trPr>
          <w:cantSplit/>
          <w:trHeight w:val="395"/>
        </w:trPr>
        <w:tc>
          <w:tcPr>
            <w:tcW w:w="5220" w:type="dxa"/>
          </w:tcPr>
          <w:p w14:paraId="7DED23E7" w14:textId="42BC8714" w:rsidR="00933173" w:rsidRPr="006F78B0" w:rsidRDefault="002F126D" w:rsidP="00ED35D7">
            <w:pPr>
              <w:pStyle w:val="FormFieldCaption"/>
              <w:spacing w:before="20" w:after="20"/>
              <w:rPr>
                <w:sz w:val="22"/>
                <w:szCs w:val="22"/>
              </w:rPr>
            </w:pPr>
            <w:r w:rsidRPr="006F78B0">
              <w:rPr>
                <w:sz w:val="22"/>
                <w:szCs w:val="22"/>
              </w:rPr>
              <w:t>Cornell University, Ithaca, NY</w:t>
            </w:r>
          </w:p>
        </w:tc>
        <w:tc>
          <w:tcPr>
            <w:tcW w:w="1440" w:type="dxa"/>
          </w:tcPr>
          <w:p w14:paraId="0D874BFC" w14:textId="7E4EEB1B" w:rsidR="00933173" w:rsidRPr="006F78B0" w:rsidRDefault="002F126D" w:rsidP="003E4A92">
            <w:pPr>
              <w:pStyle w:val="FormFieldCaption"/>
              <w:spacing w:before="20" w:after="20"/>
              <w:jc w:val="center"/>
              <w:rPr>
                <w:sz w:val="22"/>
                <w:szCs w:val="22"/>
              </w:rPr>
            </w:pPr>
            <w:r w:rsidRPr="006F78B0">
              <w:rPr>
                <w:sz w:val="22"/>
                <w:szCs w:val="22"/>
              </w:rPr>
              <w:t>Ph.D.</w:t>
            </w:r>
          </w:p>
        </w:tc>
        <w:tc>
          <w:tcPr>
            <w:tcW w:w="1584" w:type="dxa"/>
          </w:tcPr>
          <w:p w14:paraId="1A7AA7CA" w14:textId="06C0873F" w:rsidR="00933173" w:rsidRPr="006F78B0" w:rsidRDefault="002F126D" w:rsidP="003E4A92">
            <w:pPr>
              <w:pStyle w:val="FormFieldCaption"/>
              <w:spacing w:before="20" w:after="20"/>
              <w:jc w:val="center"/>
              <w:rPr>
                <w:sz w:val="22"/>
                <w:szCs w:val="22"/>
              </w:rPr>
            </w:pPr>
            <w:r w:rsidRPr="006F78B0">
              <w:rPr>
                <w:sz w:val="22"/>
                <w:szCs w:val="22"/>
              </w:rPr>
              <w:t>08/2014</w:t>
            </w:r>
          </w:p>
        </w:tc>
        <w:tc>
          <w:tcPr>
            <w:tcW w:w="2592" w:type="dxa"/>
          </w:tcPr>
          <w:p w14:paraId="4CC74E5C" w14:textId="4C798C87" w:rsidR="00933173" w:rsidRPr="006F78B0" w:rsidRDefault="002F126D" w:rsidP="00ED35D7">
            <w:pPr>
              <w:pStyle w:val="FormFieldCaption"/>
              <w:spacing w:before="20" w:after="20"/>
              <w:rPr>
                <w:sz w:val="22"/>
                <w:szCs w:val="22"/>
              </w:rPr>
            </w:pPr>
            <w:r w:rsidRPr="006F78B0">
              <w:rPr>
                <w:sz w:val="22"/>
                <w:szCs w:val="22"/>
              </w:rPr>
              <w:t>Social Psychology</w:t>
            </w:r>
          </w:p>
        </w:tc>
      </w:tr>
      <w:tr w:rsidR="00933173" w:rsidRPr="006F78B0" w14:paraId="51E27C1C" w14:textId="77777777" w:rsidTr="005F0B12">
        <w:trPr>
          <w:cantSplit/>
          <w:trHeight w:val="395"/>
        </w:trPr>
        <w:tc>
          <w:tcPr>
            <w:tcW w:w="5220" w:type="dxa"/>
          </w:tcPr>
          <w:p w14:paraId="66BC8FF0" w14:textId="24936E5E" w:rsidR="00933173" w:rsidRPr="006F78B0" w:rsidRDefault="002F126D" w:rsidP="00ED35D7">
            <w:pPr>
              <w:pStyle w:val="FormFieldCaption"/>
              <w:spacing w:before="20" w:after="20"/>
              <w:rPr>
                <w:sz w:val="22"/>
                <w:szCs w:val="22"/>
              </w:rPr>
            </w:pPr>
            <w:r w:rsidRPr="006F78B0">
              <w:rPr>
                <w:sz w:val="22"/>
                <w:szCs w:val="22"/>
              </w:rPr>
              <w:t>Columbia University, New York, NY</w:t>
            </w:r>
          </w:p>
        </w:tc>
        <w:tc>
          <w:tcPr>
            <w:tcW w:w="1440" w:type="dxa"/>
          </w:tcPr>
          <w:p w14:paraId="6AEADABA" w14:textId="0A5DFC24" w:rsidR="00933173" w:rsidRPr="006F78B0" w:rsidRDefault="002F126D" w:rsidP="003E4A92">
            <w:pPr>
              <w:pStyle w:val="FormFieldCaption"/>
              <w:spacing w:before="20" w:after="20"/>
              <w:jc w:val="center"/>
              <w:rPr>
                <w:sz w:val="22"/>
                <w:szCs w:val="22"/>
              </w:rPr>
            </w:pPr>
            <w:r w:rsidRPr="006F78B0">
              <w:rPr>
                <w:sz w:val="22"/>
                <w:szCs w:val="22"/>
              </w:rPr>
              <w:t>Postdoc</w:t>
            </w:r>
          </w:p>
        </w:tc>
        <w:tc>
          <w:tcPr>
            <w:tcW w:w="1584" w:type="dxa"/>
          </w:tcPr>
          <w:p w14:paraId="4ED60B07" w14:textId="1353D3E9" w:rsidR="00933173" w:rsidRPr="006F78B0" w:rsidRDefault="002F126D" w:rsidP="003E4A92">
            <w:pPr>
              <w:pStyle w:val="FormFieldCaption"/>
              <w:spacing w:before="20" w:after="20"/>
              <w:jc w:val="center"/>
              <w:rPr>
                <w:sz w:val="22"/>
                <w:szCs w:val="22"/>
              </w:rPr>
            </w:pPr>
            <w:r w:rsidRPr="006F78B0">
              <w:rPr>
                <w:sz w:val="22"/>
                <w:szCs w:val="22"/>
              </w:rPr>
              <w:t>07/2019</w:t>
            </w:r>
          </w:p>
        </w:tc>
        <w:tc>
          <w:tcPr>
            <w:tcW w:w="2592" w:type="dxa"/>
          </w:tcPr>
          <w:p w14:paraId="2303550C" w14:textId="6B91EFD7" w:rsidR="00933173" w:rsidRPr="006F78B0" w:rsidRDefault="002F126D" w:rsidP="00ED35D7">
            <w:pPr>
              <w:pStyle w:val="FormFieldCaption"/>
              <w:spacing w:before="20" w:after="20"/>
              <w:rPr>
                <w:sz w:val="22"/>
                <w:szCs w:val="22"/>
              </w:rPr>
            </w:pPr>
            <w:r w:rsidRPr="006F78B0">
              <w:rPr>
                <w:sz w:val="22"/>
                <w:szCs w:val="22"/>
              </w:rPr>
              <w:t>Social and Cognitive Neuroscience</w:t>
            </w:r>
          </w:p>
        </w:tc>
      </w:tr>
    </w:tbl>
    <w:p w14:paraId="6FC868BE" w14:textId="735E875D" w:rsidR="009E52CA" w:rsidRPr="006F78B0" w:rsidRDefault="009E52CA">
      <w:pPr>
        <w:pStyle w:val="DataField11pt-Single"/>
      </w:pPr>
    </w:p>
    <w:p w14:paraId="1695BFF0" w14:textId="77777777" w:rsidR="002C51BC" w:rsidRPr="006F78B0" w:rsidRDefault="002C51BC" w:rsidP="00FC5F9E">
      <w:pPr>
        <w:rPr>
          <w:rFonts w:cs="Arial"/>
        </w:rPr>
      </w:pPr>
    </w:p>
    <w:p w14:paraId="00977992" w14:textId="666D2D3C" w:rsidR="002C51BC" w:rsidRPr="006F78B0" w:rsidRDefault="002C51BC" w:rsidP="002C51BC">
      <w:pPr>
        <w:pStyle w:val="DataField11pt-Single"/>
        <w:rPr>
          <w:rStyle w:val="Strong"/>
        </w:rPr>
      </w:pPr>
      <w:r w:rsidRPr="006F78B0">
        <w:rPr>
          <w:rStyle w:val="Strong"/>
        </w:rPr>
        <w:t>A.</w:t>
      </w:r>
      <w:r w:rsidRPr="006F78B0">
        <w:rPr>
          <w:rStyle w:val="Strong"/>
        </w:rPr>
        <w:tab/>
        <w:t>Personal Statement</w:t>
      </w:r>
      <w:r w:rsidR="00FE10AD" w:rsidRPr="006F78B0">
        <w:rPr>
          <w:rStyle w:val="Strong"/>
        </w:rPr>
        <w:br/>
      </w:r>
    </w:p>
    <w:p w14:paraId="22D53212" w14:textId="77878921" w:rsidR="004D0A44" w:rsidRDefault="003641B1" w:rsidP="00F843EE">
      <w:pPr>
        <w:autoSpaceDE/>
        <w:autoSpaceDN/>
        <w:rPr>
          <w:rStyle w:val="Strong"/>
          <w:b w:val="0"/>
          <w:bCs w:val="0"/>
        </w:rPr>
      </w:pPr>
      <w:r w:rsidRPr="00F843EE">
        <w:rPr>
          <w:rStyle w:val="Strong"/>
          <w:b w:val="0"/>
          <w:bCs w:val="0"/>
        </w:rPr>
        <w:t xml:space="preserve">My research focuses on emotion and </w:t>
      </w:r>
      <w:r w:rsidR="003D051C">
        <w:rPr>
          <w:rStyle w:val="Strong"/>
          <w:b w:val="0"/>
          <w:bCs w:val="0"/>
        </w:rPr>
        <w:t>social cognition</w:t>
      </w:r>
      <w:r w:rsidRPr="00F843EE">
        <w:rPr>
          <w:rStyle w:val="Strong"/>
          <w:b w:val="0"/>
          <w:bCs w:val="0"/>
        </w:rPr>
        <w:t xml:space="preserve"> in adult and developmental populations. </w:t>
      </w:r>
      <w:r w:rsidR="00E01B15" w:rsidRPr="00F843EE">
        <w:rPr>
          <w:rStyle w:val="Strong"/>
          <w:b w:val="0"/>
          <w:bCs w:val="0"/>
        </w:rPr>
        <w:t>Since 2019, I have been the director of the Social and Affective Neuroscience Lab at Temple University, wherein we examine how emotional experience</w:t>
      </w:r>
      <w:r w:rsidR="00F843EE" w:rsidRPr="00F843EE">
        <w:rPr>
          <w:rStyle w:val="Strong"/>
          <w:b w:val="0"/>
          <w:bCs w:val="0"/>
        </w:rPr>
        <w:t xml:space="preserve"> and intensity</w:t>
      </w:r>
      <w:r w:rsidR="00E01B15" w:rsidRPr="00F843EE">
        <w:rPr>
          <w:rStyle w:val="Strong"/>
          <w:b w:val="0"/>
          <w:bCs w:val="0"/>
        </w:rPr>
        <w:t xml:space="preserve"> impacts</w:t>
      </w:r>
      <w:r w:rsidR="003D051C">
        <w:rPr>
          <w:rStyle w:val="Strong"/>
          <w:b w:val="0"/>
          <w:bCs w:val="0"/>
        </w:rPr>
        <w:t xml:space="preserve"> social decision-making, self-</w:t>
      </w:r>
      <w:r w:rsidR="00F843EE" w:rsidRPr="00F843EE">
        <w:rPr>
          <w:rStyle w:val="Strong"/>
          <w:b w:val="0"/>
          <w:bCs w:val="0"/>
        </w:rPr>
        <w:t xml:space="preserve">regulation ability, </w:t>
      </w:r>
      <w:r w:rsidR="003D051C">
        <w:rPr>
          <w:rStyle w:val="Strong"/>
          <w:b w:val="0"/>
          <w:bCs w:val="0"/>
        </w:rPr>
        <w:t xml:space="preserve">and </w:t>
      </w:r>
      <w:r w:rsidR="00E01B15" w:rsidRPr="00F843EE">
        <w:rPr>
          <w:rStyle w:val="Strong"/>
          <w:b w:val="0"/>
          <w:bCs w:val="0"/>
        </w:rPr>
        <w:t xml:space="preserve">memory. </w:t>
      </w:r>
      <w:r w:rsidR="004D0A44">
        <w:rPr>
          <w:rStyle w:val="Strong"/>
          <w:b w:val="0"/>
          <w:bCs w:val="0"/>
        </w:rPr>
        <w:t xml:space="preserve">Within Temple’s department, I am affiliated with the Social Psychology and Cognition and Neuroscience subareas, and advise PhD students in both programs. The goal of the proposed research is to examine </w:t>
      </w:r>
      <w:r w:rsidR="003D051C">
        <w:rPr>
          <w:rStyle w:val="Strong"/>
          <w:b w:val="0"/>
          <w:bCs w:val="0"/>
        </w:rPr>
        <w:t xml:space="preserve">cerebellar computation in social cognition during development. </w:t>
      </w:r>
      <w:r w:rsidR="00C617A9">
        <w:rPr>
          <w:rStyle w:val="Strong"/>
          <w:b w:val="0"/>
          <w:bCs w:val="0"/>
        </w:rPr>
        <w:t xml:space="preserve">The proposed approach, of combining social psychological theory with cognitive </w:t>
      </w:r>
      <w:r w:rsidR="0013512A">
        <w:rPr>
          <w:rStyle w:val="Strong"/>
          <w:b w:val="0"/>
          <w:bCs w:val="0"/>
        </w:rPr>
        <w:t xml:space="preserve">neuroscience </w:t>
      </w:r>
      <w:r w:rsidR="00C617A9">
        <w:rPr>
          <w:rStyle w:val="Strong"/>
          <w:b w:val="0"/>
          <w:bCs w:val="0"/>
        </w:rPr>
        <w:t xml:space="preserve">methods has been one that I have utilized throughout my career to date. I completed my graduate school training at Cornell University and Weill Cornell Medical College with Dr. David Pizarro and Dr. BJ Casey, exploring emotional influences on </w:t>
      </w:r>
      <w:r w:rsidR="003D051C">
        <w:rPr>
          <w:rStyle w:val="Strong"/>
          <w:b w:val="0"/>
          <w:bCs w:val="0"/>
        </w:rPr>
        <w:t>social</w:t>
      </w:r>
      <w:r w:rsidR="00F1780C">
        <w:rPr>
          <w:rStyle w:val="Strong"/>
          <w:b w:val="0"/>
          <w:bCs w:val="0"/>
        </w:rPr>
        <w:t xml:space="preserve"> cognition </w:t>
      </w:r>
      <w:r w:rsidR="00C617A9">
        <w:rPr>
          <w:rStyle w:val="Strong"/>
          <w:b w:val="0"/>
          <w:bCs w:val="0"/>
        </w:rPr>
        <w:t>in adult and developmental populations. I completed my postdoctoral training at Columbia University with Dr. Kevin Ochsner, and focused on how specific social contexts (i.e., moral vs. nonmoral) influence emotion regulation ability</w:t>
      </w:r>
      <w:r w:rsidR="003D051C">
        <w:rPr>
          <w:rStyle w:val="Strong"/>
          <w:b w:val="0"/>
          <w:bCs w:val="0"/>
        </w:rPr>
        <w:t xml:space="preserve"> in children and adults</w:t>
      </w:r>
      <w:r w:rsidR="00C617A9">
        <w:rPr>
          <w:rStyle w:val="Strong"/>
          <w:b w:val="0"/>
          <w:bCs w:val="0"/>
        </w:rPr>
        <w:t xml:space="preserve">. </w:t>
      </w:r>
      <w:r w:rsidR="0013512A" w:rsidRPr="00161028">
        <w:rPr>
          <w:rStyle w:val="Strong"/>
          <w:b w:val="0"/>
          <w:bCs w:val="0"/>
          <w:u w:val="single"/>
        </w:rPr>
        <w:t xml:space="preserve">I </w:t>
      </w:r>
      <w:r w:rsidR="00C617A9" w:rsidRPr="00161028">
        <w:rPr>
          <w:rStyle w:val="Strong"/>
          <w:b w:val="0"/>
          <w:bCs w:val="0"/>
          <w:u w:val="single"/>
        </w:rPr>
        <w:t xml:space="preserve">have a great deal of experience studying emotional and social influences on </w:t>
      </w:r>
      <w:r w:rsidR="003D051C" w:rsidRPr="00161028">
        <w:rPr>
          <w:rStyle w:val="Strong"/>
          <w:b w:val="0"/>
          <w:bCs w:val="0"/>
          <w:u w:val="single"/>
        </w:rPr>
        <w:t>cognition</w:t>
      </w:r>
      <w:r w:rsidR="0013512A" w:rsidRPr="00161028">
        <w:rPr>
          <w:rStyle w:val="Strong"/>
          <w:b w:val="0"/>
          <w:bCs w:val="0"/>
          <w:u w:val="single"/>
        </w:rPr>
        <w:t>, particularly within naturalistic experimental designs</w:t>
      </w:r>
      <w:r w:rsidR="00161028" w:rsidRPr="00161028">
        <w:rPr>
          <w:rStyle w:val="Strong"/>
          <w:b w:val="0"/>
          <w:bCs w:val="0"/>
          <w:u w:val="single"/>
        </w:rPr>
        <w:t xml:space="preserve"> including film clips, such as </w:t>
      </w:r>
      <w:r w:rsidR="00E7188B">
        <w:rPr>
          <w:rStyle w:val="Strong"/>
          <w:b w:val="0"/>
          <w:bCs w:val="0"/>
          <w:u w:val="single"/>
        </w:rPr>
        <w:t xml:space="preserve">those </w:t>
      </w:r>
      <w:r w:rsidR="00161028" w:rsidRPr="00161028">
        <w:rPr>
          <w:rStyle w:val="Strong"/>
          <w:b w:val="0"/>
          <w:bCs w:val="0"/>
          <w:u w:val="single"/>
        </w:rPr>
        <w:t>used in this proposal</w:t>
      </w:r>
      <w:r w:rsidR="00C617A9" w:rsidRPr="00161028">
        <w:rPr>
          <w:rStyle w:val="Strong"/>
          <w:b w:val="0"/>
          <w:bCs w:val="0"/>
          <w:u w:val="single"/>
        </w:rPr>
        <w:t>.</w:t>
      </w:r>
      <w:r w:rsidR="00C617A9">
        <w:rPr>
          <w:rStyle w:val="Strong"/>
          <w:b w:val="0"/>
          <w:bCs w:val="0"/>
        </w:rPr>
        <w:t xml:space="preserve"> </w:t>
      </w:r>
    </w:p>
    <w:p w14:paraId="4E1F882A" w14:textId="77777777" w:rsidR="002C51BC" w:rsidRPr="006F78B0" w:rsidRDefault="002C51BC" w:rsidP="002C51BC">
      <w:pPr>
        <w:pStyle w:val="DataField11pt-Single"/>
        <w:rPr>
          <w:rStyle w:val="Strong"/>
        </w:rPr>
      </w:pPr>
    </w:p>
    <w:p w14:paraId="0B47CCE8" w14:textId="10F9107C" w:rsidR="003641B1" w:rsidRPr="006F78B0" w:rsidRDefault="002C51BC" w:rsidP="002C51BC">
      <w:pPr>
        <w:pStyle w:val="DataField11pt-Single"/>
        <w:rPr>
          <w:rStyle w:val="Strong"/>
        </w:rPr>
      </w:pPr>
      <w:r w:rsidRPr="006F78B0">
        <w:rPr>
          <w:rStyle w:val="Strong"/>
        </w:rPr>
        <w:t>B.</w:t>
      </w:r>
      <w:r w:rsidRPr="006F78B0">
        <w:rPr>
          <w:rStyle w:val="Strong"/>
        </w:rPr>
        <w:tab/>
        <w:t>Positions</w:t>
      </w:r>
      <w:r w:rsidR="00DE3E83">
        <w:rPr>
          <w:rStyle w:val="Strong"/>
        </w:rPr>
        <w:t>, Scientific Appointments,</w:t>
      </w:r>
      <w:r w:rsidRPr="006F78B0">
        <w:rPr>
          <w:rStyle w:val="Strong"/>
        </w:rPr>
        <w:t xml:space="preserve"> and Honors</w:t>
      </w:r>
    </w:p>
    <w:p w14:paraId="1663DE4B" w14:textId="5B1AFA3A" w:rsidR="003641B1" w:rsidRPr="006F78B0" w:rsidRDefault="003641B1" w:rsidP="002C51BC">
      <w:pPr>
        <w:pStyle w:val="DataField11pt-Single"/>
        <w:rPr>
          <w:rStyle w:val="Strong"/>
        </w:rPr>
      </w:pPr>
    </w:p>
    <w:p w14:paraId="34FE6A9F" w14:textId="18884D85" w:rsidR="003641B1" w:rsidRPr="006F78B0" w:rsidRDefault="003641B1" w:rsidP="002C51BC">
      <w:pPr>
        <w:pStyle w:val="DataField11pt-Single"/>
        <w:rPr>
          <w:rStyle w:val="Strong"/>
          <w:u w:val="single"/>
        </w:rPr>
      </w:pPr>
      <w:r w:rsidRPr="006F78B0">
        <w:rPr>
          <w:rStyle w:val="Strong"/>
          <w:u w:val="single"/>
        </w:rPr>
        <w:t>Positions:</w:t>
      </w:r>
    </w:p>
    <w:p w14:paraId="7A345D3F" w14:textId="4012B8EA" w:rsidR="003641B1" w:rsidRPr="006F78B0" w:rsidRDefault="003641B1" w:rsidP="002C51BC">
      <w:pPr>
        <w:pStyle w:val="DataField11pt-Single"/>
        <w:rPr>
          <w:rStyle w:val="Strong"/>
          <w:b w:val="0"/>
          <w:bCs w:val="0"/>
        </w:rPr>
      </w:pPr>
      <w:r w:rsidRPr="006F78B0">
        <w:rPr>
          <w:rStyle w:val="Strong"/>
          <w:b w:val="0"/>
          <w:bCs w:val="0"/>
        </w:rPr>
        <w:t>Assistant Professor, Temple University Psychology Department (2019 – present)</w:t>
      </w:r>
    </w:p>
    <w:p w14:paraId="4C64F17E" w14:textId="134F249F" w:rsidR="003641B1" w:rsidRPr="006F78B0" w:rsidRDefault="003641B1" w:rsidP="002C51BC">
      <w:pPr>
        <w:pStyle w:val="DataField11pt-Single"/>
        <w:rPr>
          <w:rStyle w:val="Strong"/>
          <w:b w:val="0"/>
          <w:bCs w:val="0"/>
        </w:rPr>
      </w:pPr>
      <w:r w:rsidRPr="006F78B0">
        <w:rPr>
          <w:rStyle w:val="Strong"/>
          <w:b w:val="0"/>
          <w:bCs w:val="0"/>
        </w:rPr>
        <w:t>Postdoctoral Research Scientist, Columbia University (2017 – 2019)</w:t>
      </w:r>
      <w:r w:rsidR="00E01B15" w:rsidRPr="006F78B0">
        <w:rPr>
          <w:rStyle w:val="Strong"/>
          <w:b w:val="0"/>
          <w:bCs w:val="0"/>
        </w:rPr>
        <w:t xml:space="preserve"> </w:t>
      </w:r>
    </w:p>
    <w:p w14:paraId="7BE8E135" w14:textId="5E3CAF3E" w:rsidR="003641B1" w:rsidRPr="006F78B0" w:rsidRDefault="003641B1" w:rsidP="002C51BC">
      <w:pPr>
        <w:pStyle w:val="DataField11pt-Single"/>
        <w:rPr>
          <w:rStyle w:val="Strong"/>
          <w:b w:val="0"/>
          <w:bCs w:val="0"/>
        </w:rPr>
      </w:pPr>
    </w:p>
    <w:p w14:paraId="591BC24D" w14:textId="157C3FDF" w:rsidR="00E01B15" w:rsidRPr="006F78B0" w:rsidRDefault="00E01B15" w:rsidP="002C51BC">
      <w:pPr>
        <w:pStyle w:val="DataField11pt-Single"/>
        <w:rPr>
          <w:rStyle w:val="Strong"/>
          <w:u w:val="single"/>
        </w:rPr>
      </w:pPr>
      <w:r w:rsidRPr="006F78B0">
        <w:rPr>
          <w:rStyle w:val="Strong"/>
          <w:u w:val="single"/>
        </w:rPr>
        <w:t>Honors/Fellowships:</w:t>
      </w:r>
    </w:p>
    <w:p w14:paraId="2A057248" w14:textId="77777777" w:rsidR="003641B1" w:rsidRPr="006F78B0" w:rsidRDefault="003641B1" w:rsidP="00F03B10">
      <w:pPr>
        <w:rPr>
          <w:rFonts w:cs="Arial"/>
        </w:rPr>
      </w:pPr>
      <w:r w:rsidRPr="006F78B0">
        <w:rPr>
          <w:rFonts w:cs="Arial"/>
        </w:rPr>
        <w:t xml:space="preserve">Ruth L. </w:t>
      </w:r>
      <w:proofErr w:type="spellStart"/>
      <w:r w:rsidRPr="006F78B0">
        <w:rPr>
          <w:rFonts w:cs="Arial"/>
        </w:rPr>
        <w:t>Kirschstein</w:t>
      </w:r>
      <w:proofErr w:type="spellEnd"/>
      <w:r w:rsidRPr="006F78B0">
        <w:rPr>
          <w:rFonts w:cs="Arial"/>
        </w:rPr>
        <w:t xml:space="preserve"> National Research Service Award NIH (F32HD081960)</w:t>
      </w:r>
      <w:r w:rsidRPr="006F78B0">
        <w:rPr>
          <w:rFonts w:cs="Arial"/>
        </w:rPr>
        <w:tab/>
        <w:t xml:space="preserve">    </w:t>
      </w:r>
      <w:r w:rsidRPr="006F78B0">
        <w:rPr>
          <w:rFonts w:cs="Arial"/>
        </w:rPr>
        <w:tab/>
        <w:t xml:space="preserve">  2014-2017</w:t>
      </w:r>
    </w:p>
    <w:p w14:paraId="2DFDF545" w14:textId="5AAB0B87" w:rsidR="003641B1" w:rsidRPr="006F78B0" w:rsidRDefault="003641B1" w:rsidP="00F03B10">
      <w:pPr>
        <w:rPr>
          <w:rFonts w:cs="Arial"/>
        </w:rPr>
      </w:pPr>
      <w:r w:rsidRPr="006F78B0">
        <w:rPr>
          <w:rFonts w:cs="Arial"/>
        </w:rPr>
        <w:t>Fellow, Summer Institute in Cognitive Neuroscience—UC Santa Barbara</w:t>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2014</w:t>
      </w:r>
      <w:r w:rsidRPr="006F78B0">
        <w:rPr>
          <w:rFonts w:cs="Arial"/>
        </w:rPr>
        <w:tab/>
      </w:r>
    </w:p>
    <w:p w14:paraId="73E056AB" w14:textId="6EE618C0" w:rsidR="003641B1" w:rsidRPr="006F78B0" w:rsidRDefault="003641B1" w:rsidP="00F03B10">
      <w:pPr>
        <w:rPr>
          <w:rFonts w:cs="Arial"/>
        </w:rPr>
      </w:pPr>
      <w:r w:rsidRPr="006F78B0">
        <w:rPr>
          <w:rFonts w:cs="Arial"/>
        </w:rPr>
        <w:t>Fellow, Summer Institute in Social Psychology—Princeton University</w:t>
      </w:r>
      <w:r w:rsidRPr="006F78B0">
        <w:rPr>
          <w:rFonts w:cs="Arial"/>
        </w:rPr>
        <w:tab/>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2011</w:t>
      </w:r>
    </w:p>
    <w:p w14:paraId="0069CC1F" w14:textId="0C506E5F" w:rsidR="003641B1" w:rsidRPr="006F78B0" w:rsidRDefault="003641B1" w:rsidP="00F03B10">
      <w:pPr>
        <w:rPr>
          <w:rFonts w:cs="Arial"/>
        </w:rPr>
      </w:pPr>
      <w:r w:rsidRPr="006F78B0">
        <w:rPr>
          <w:rFonts w:cs="Arial"/>
        </w:rPr>
        <w:t>Merck Fellowship, Biology of Developmental Disorders--Cornell University</w:t>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2010</w:t>
      </w:r>
    </w:p>
    <w:p w14:paraId="75C8673F" w14:textId="76879114" w:rsidR="003641B1" w:rsidRPr="006F78B0" w:rsidRDefault="003641B1" w:rsidP="00F03B10">
      <w:pPr>
        <w:rPr>
          <w:rFonts w:cs="Arial"/>
        </w:rPr>
      </w:pPr>
      <w:r w:rsidRPr="006F78B0">
        <w:rPr>
          <w:rFonts w:cs="Arial"/>
        </w:rPr>
        <w:t>NIH Multidisciplinary Training in Development and Learning Grant (PI: Finlay; T32 HD055177</w:t>
      </w:r>
      <w:r w:rsidR="00E01B15" w:rsidRPr="006F78B0">
        <w:rPr>
          <w:rFonts w:cs="Arial"/>
        </w:rPr>
        <w:t>)</w:t>
      </w:r>
    </w:p>
    <w:p w14:paraId="242DDF9D" w14:textId="77777777" w:rsidR="003641B1" w:rsidRPr="006F78B0" w:rsidRDefault="003641B1" w:rsidP="00F03B10">
      <w:pPr>
        <w:ind w:firstLine="720"/>
        <w:rPr>
          <w:rFonts w:cs="Arial"/>
        </w:rPr>
      </w:pPr>
      <w:r w:rsidRPr="006F78B0">
        <w:rPr>
          <w:rFonts w:cs="Arial"/>
        </w:rPr>
        <w:t xml:space="preserve">Graduate Trainee, Cornell University &amp; Weill Cornell Medical College </w:t>
      </w:r>
      <w:r w:rsidRPr="006F78B0">
        <w:rPr>
          <w:rFonts w:cs="Arial"/>
        </w:rPr>
        <w:tab/>
        <w:t xml:space="preserve">     </w:t>
      </w:r>
      <w:r w:rsidRPr="006F78B0">
        <w:rPr>
          <w:rFonts w:cs="Arial"/>
        </w:rPr>
        <w:tab/>
        <w:t xml:space="preserve">    2010-2014</w:t>
      </w:r>
    </w:p>
    <w:p w14:paraId="0EE85857" w14:textId="5F0DCE3A" w:rsidR="003641B1" w:rsidRPr="006F78B0" w:rsidRDefault="003641B1" w:rsidP="00F03B10">
      <w:pPr>
        <w:rPr>
          <w:rFonts w:cs="Arial"/>
        </w:rPr>
      </w:pPr>
      <w:r w:rsidRPr="006F78B0">
        <w:rPr>
          <w:rFonts w:cs="Arial"/>
        </w:rPr>
        <w:t>Honorable Mention--National Science Foundation Graduate Research Fellowship</w:t>
      </w:r>
      <w:r w:rsidRPr="006F78B0">
        <w:rPr>
          <w:rFonts w:cs="Arial"/>
        </w:rPr>
        <w:tab/>
      </w:r>
      <w:r w:rsidRPr="006F78B0">
        <w:rPr>
          <w:rFonts w:cs="Arial"/>
        </w:rPr>
        <w:tab/>
        <w:t>2010</w:t>
      </w:r>
    </w:p>
    <w:p w14:paraId="0291ADF8" w14:textId="3FC10E92" w:rsidR="003641B1" w:rsidRPr="006F78B0" w:rsidRDefault="003641B1" w:rsidP="00F03B10">
      <w:pPr>
        <w:rPr>
          <w:rFonts w:cs="Arial"/>
        </w:rPr>
      </w:pPr>
      <w:r w:rsidRPr="006F78B0">
        <w:rPr>
          <w:rFonts w:cs="Arial"/>
        </w:rPr>
        <w:t>Sage Graduate Fellowship—Cornell University</w:t>
      </w:r>
      <w:r w:rsidRPr="006F78B0">
        <w:rPr>
          <w:rFonts w:cs="Arial"/>
        </w:rPr>
        <w:tab/>
      </w:r>
      <w:r w:rsidRPr="006F78B0">
        <w:rPr>
          <w:rFonts w:cs="Arial"/>
        </w:rPr>
        <w:tab/>
      </w:r>
      <w:r w:rsidRPr="006F78B0">
        <w:rPr>
          <w:rFonts w:cs="Arial"/>
        </w:rPr>
        <w:tab/>
      </w:r>
      <w:r w:rsidRPr="006F78B0">
        <w:rPr>
          <w:rFonts w:cs="Arial"/>
        </w:rPr>
        <w:tab/>
      </w:r>
      <w:r w:rsidRPr="006F78B0">
        <w:rPr>
          <w:rFonts w:cs="Arial"/>
        </w:rPr>
        <w:tab/>
      </w:r>
      <w:r w:rsidRPr="006F78B0">
        <w:rPr>
          <w:rFonts w:cs="Arial"/>
        </w:rPr>
        <w:tab/>
        <w:t xml:space="preserve">     </w:t>
      </w:r>
      <w:r w:rsidR="00E01B15" w:rsidRPr="006F78B0">
        <w:rPr>
          <w:rFonts w:cs="Arial"/>
        </w:rPr>
        <w:tab/>
      </w:r>
      <w:r w:rsidR="00E01B15" w:rsidRPr="006F78B0">
        <w:rPr>
          <w:rFonts w:cs="Arial"/>
        </w:rPr>
        <w:tab/>
      </w:r>
      <w:r w:rsidR="00E01B15" w:rsidRPr="006F78B0">
        <w:rPr>
          <w:rFonts w:cs="Arial"/>
        </w:rPr>
        <w:tab/>
      </w:r>
      <w:r w:rsidR="00E01B15" w:rsidRPr="006F78B0">
        <w:rPr>
          <w:rFonts w:cs="Arial"/>
        </w:rPr>
        <w:tab/>
      </w:r>
      <w:r w:rsidRPr="006F78B0">
        <w:rPr>
          <w:rFonts w:cs="Arial"/>
        </w:rPr>
        <w:t>2009-2010</w:t>
      </w:r>
    </w:p>
    <w:p w14:paraId="2AB7A0F5" w14:textId="7E9AC657" w:rsidR="002C51BC" w:rsidRPr="00F03B10" w:rsidRDefault="00C4533D" w:rsidP="00F03B10">
      <w:pPr>
        <w:rPr>
          <w:rStyle w:val="Strong"/>
          <w:rFonts w:cs="Arial"/>
          <w:b w:val="0"/>
          <w:bCs w:val="0"/>
        </w:rPr>
      </w:pPr>
      <w:r w:rsidRPr="006F78B0">
        <w:rPr>
          <w:rFonts w:cs="Arial"/>
        </w:rPr>
        <w:lastRenderedPageBreak/>
        <w:t>Diamond Scholars Undergraduate Research Grant—Temple University</w:t>
      </w:r>
      <w:r w:rsidRPr="006F78B0">
        <w:rPr>
          <w:rFonts w:cs="Arial"/>
        </w:rPr>
        <w:tab/>
      </w:r>
      <w:r w:rsidRPr="006F78B0">
        <w:rPr>
          <w:rFonts w:cs="Arial"/>
        </w:rPr>
        <w:tab/>
      </w:r>
      <w:r w:rsidRPr="006F78B0">
        <w:rPr>
          <w:rFonts w:cs="Arial"/>
        </w:rPr>
        <w:tab/>
      </w:r>
      <w:r w:rsidRPr="006F78B0">
        <w:rPr>
          <w:rFonts w:cs="Arial"/>
        </w:rPr>
        <w:tab/>
        <w:t>2007</w:t>
      </w:r>
    </w:p>
    <w:p w14:paraId="4E6033BE" w14:textId="77777777" w:rsidR="002C51BC" w:rsidRPr="006F78B0" w:rsidRDefault="002C51BC" w:rsidP="002C51BC">
      <w:pPr>
        <w:pStyle w:val="DataField11pt-Single"/>
        <w:rPr>
          <w:rStyle w:val="Strong"/>
        </w:rPr>
      </w:pPr>
    </w:p>
    <w:p w14:paraId="2B2B6400" w14:textId="77777777" w:rsidR="00FB32E0" w:rsidRDefault="002C51BC" w:rsidP="002C51BC">
      <w:pPr>
        <w:pStyle w:val="DataField11pt-Single"/>
        <w:rPr>
          <w:rStyle w:val="Strong"/>
          <w:szCs w:val="22"/>
        </w:rPr>
      </w:pPr>
      <w:r w:rsidRPr="006F78B0">
        <w:rPr>
          <w:rStyle w:val="Strong"/>
          <w:szCs w:val="22"/>
        </w:rPr>
        <w:t>C.</w:t>
      </w:r>
      <w:r w:rsidRPr="006F78B0">
        <w:rPr>
          <w:rStyle w:val="Strong"/>
          <w:szCs w:val="22"/>
        </w:rPr>
        <w:tab/>
        <w:t>Contributions to Science</w:t>
      </w:r>
    </w:p>
    <w:p w14:paraId="5BADD417" w14:textId="09ECBE99" w:rsidR="002C51BC" w:rsidRPr="00FB32E0" w:rsidRDefault="00FB32E0" w:rsidP="002C51BC">
      <w:pPr>
        <w:pStyle w:val="DataField11pt-Single"/>
        <w:rPr>
          <w:rStyle w:val="Strong"/>
          <w:i/>
          <w:iCs/>
          <w:szCs w:val="22"/>
        </w:rPr>
      </w:pPr>
      <w:r w:rsidRPr="00FB32E0">
        <w:rPr>
          <w:rStyle w:val="Strong"/>
          <w:b w:val="0"/>
          <w:bCs w:val="0"/>
          <w:i/>
          <w:iCs/>
          <w:szCs w:val="22"/>
        </w:rPr>
        <w:t>* indicates trainee author</w:t>
      </w:r>
      <w:r w:rsidR="00FE10AD" w:rsidRPr="00FB32E0">
        <w:rPr>
          <w:rStyle w:val="Strong"/>
          <w:i/>
          <w:iCs/>
          <w:szCs w:val="22"/>
        </w:rPr>
        <w:br/>
      </w:r>
    </w:p>
    <w:p w14:paraId="0DDB47AE" w14:textId="6D3DB663" w:rsidR="003D051C" w:rsidRPr="006F78B0" w:rsidRDefault="003D051C" w:rsidP="003D051C">
      <w:pPr>
        <w:spacing w:line="276" w:lineRule="auto"/>
        <w:rPr>
          <w:rFonts w:cs="Arial"/>
          <w:szCs w:val="22"/>
        </w:rPr>
      </w:pPr>
      <w:r>
        <w:rPr>
          <w:rFonts w:cs="Arial"/>
          <w:szCs w:val="22"/>
        </w:rPr>
        <w:t>1</w:t>
      </w:r>
      <w:r w:rsidRPr="006F78B0">
        <w:rPr>
          <w:rFonts w:cs="Arial"/>
          <w:szCs w:val="22"/>
        </w:rPr>
        <w:t xml:space="preserve">. </w:t>
      </w:r>
      <w:r w:rsidR="00FB32E0">
        <w:rPr>
          <w:rFonts w:cs="Arial"/>
          <w:szCs w:val="22"/>
          <w:u w:val="single"/>
        </w:rPr>
        <w:t xml:space="preserve">Emotional reactivity across development. </w:t>
      </w:r>
      <w:r w:rsidRPr="006F78B0">
        <w:rPr>
          <w:rFonts w:cs="Arial"/>
          <w:szCs w:val="22"/>
        </w:rPr>
        <w:t>In work with multiple collaborators across multiple institutions, I have examined the behavioral and neural substrates involved in emotion</w:t>
      </w:r>
      <w:r>
        <w:rPr>
          <w:rFonts w:cs="Arial"/>
          <w:szCs w:val="22"/>
        </w:rPr>
        <w:t xml:space="preserve">al reactivity </w:t>
      </w:r>
      <w:r w:rsidRPr="006F78B0">
        <w:rPr>
          <w:rFonts w:cs="Arial"/>
          <w:szCs w:val="22"/>
        </w:rPr>
        <w:t xml:space="preserve">across development. This includes both functional and structural neuroimaging, and involving </w:t>
      </w:r>
      <w:r>
        <w:rPr>
          <w:rFonts w:cs="Arial"/>
          <w:szCs w:val="22"/>
        </w:rPr>
        <w:t xml:space="preserve">both social (e.g., depictions of negative or positive social interactions/emotional expressions) and non-social </w:t>
      </w:r>
      <w:r w:rsidRPr="006F78B0">
        <w:rPr>
          <w:rFonts w:cs="Arial"/>
          <w:szCs w:val="22"/>
        </w:rPr>
        <w:t>(e.g., appetitive craving)</w:t>
      </w:r>
      <w:r>
        <w:rPr>
          <w:rFonts w:cs="Arial"/>
          <w:szCs w:val="22"/>
        </w:rPr>
        <w:t xml:space="preserve"> stimuli</w:t>
      </w:r>
      <w:r w:rsidRPr="006F78B0">
        <w:rPr>
          <w:rFonts w:cs="Arial"/>
          <w:szCs w:val="22"/>
        </w:rPr>
        <w:t xml:space="preserve">. </w:t>
      </w:r>
      <w:r w:rsidR="00E6071B">
        <w:rPr>
          <w:rFonts w:cs="Arial"/>
          <w:szCs w:val="22"/>
        </w:rPr>
        <w:t>This work has</w:t>
      </w:r>
      <w:r w:rsidR="00E6071B" w:rsidRPr="00E6071B">
        <w:rPr>
          <w:rFonts w:cs="Arial"/>
          <w:szCs w:val="22"/>
        </w:rPr>
        <w:t xml:space="preserve"> found evidence for a ventral-to-dorsal shift in medial prefrontal activity to negative stimuli from childhood into adolescence </w:t>
      </w:r>
      <w:r w:rsidR="00E6071B">
        <w:rPr>
          <w:rFonts w:cs="Arial"/>
          <w:szCs w:val="22"/>
        </w:rPr>
        <w:t>(Silvers et al., 2017), which indicated</w:t>
      </w:r>
      <w:r w:rsidR="00E6071B" w:rsidRPr="00E6071B">
        <w:rPr>
          <w:rFonts w:cs="Arial"/>
          <w:szCs w:val="22"/>
        </w:rPr>
        <w:t xml:space="preserve"> that the medial prefrontal cortex -- a </w:t>
      </w:r>
      <w:proofErr w:type="spellStart"/>
      <w:r w:rsidR="00E6071B" w:rsidRPr="00E6071B">
        <w:rPr>
          <w:rFonts w:cs="Arial"/>
          <w:szCs w:val="22"/>
        </w:rPr>
        <w:t>transmodal</w:t>
      </w:r>
      <w:proofErr w:type="spellEnd"/>
      <w:r w:rsidR="00E6071B" w:rsidRPr="00E6071B">
        <w:rPr>
          <w:rFonts w:cs="Arial"/>
          <w:szCs w:val="22"/>
        </w:rPr>
        <w:t xml:space="preserve"> association area that receives inputs from sensorimotor regions and integrates information across longer timescales</w:t>
      </w:r>
      <w:r w:rsidR="00E6071B">
        <w:rPr>
          <w:rFonts w:cs="Arial"/>
          <w:szCs w:val="22"/>
        </w:rPr>
        <w:t xml:space="preserve"> </w:t>
      </w:r>
      <w:r w:rsidR="00E6071B" w:rsidRPr="00E6071B">
        <w:rPr>
          <w:rFonts w:cs="Arial"/>
          <w:szCs w:val="22"/>
        </w:rPr>
        <w:t xml:space="preserve"> -- may play an important role in affective reactivity and representation across development. </w:t>
      </w:r>
      <w:r w:rsidR="00800A6A">
        <w:rPr>
          <w:rFonts w:cs="Arial"/>
          <w:szCs w:val="22"/>
        </w:rPr>
        <w:t>To examine this question directly, r</w:t>
      </w:r>
      <w:r w:rsidR="00E6071B" w:rsidRPr="00E6071B">
        <w:rPr>
          <w:rFonts w:cs="Arial"/>
          <w:szCs w:val="22"/>
        </w:rPr>
        <w:t>esearch in my lab leveraged naturalistic methods</w:t>
      </w:r>
      <w:r w:rsidR="00376E34">
        <w:rPr>
          <w:rFonts w:cs="Arial"/>
          <w:szCs w:val="22"/>
        </w:rPr>
        <w:t xml:space="preserve"> (Mitchell, et al., 2022)</w:t>
      </w:r>
      <w:r w:rsidR="00E6071B" w:rsidRPr="00E6071B">
        <w:rPr>
          <w:rFonts w:cs="Arial"/>
          <w:szCs w:val="22"/>
        </w:rPr>
        <w:t xml:space="preserve">. We used </w:t>
      </w:r>
      <w:r w:rsidR="00800A6A">
        <w:rPr>
          <w:rFonts w:cs="Arial"/>
          <w:szCs w:val="22"/>
        </w:rPr>
        <w:t xml:space="preserve">representational similarity analysis (RSA) </w:t>
      </w:r>
      <w:r w:rsidR="00E6071B" w:rsidRPr="00E6071B">
        <w:rPr>
          <w:rFonts w:cs="Arial"/>
          <w:szCs w:val="22"/>
        </w:rPr>
        <w:t>to identify developmental differences in recruitment of the neural circuitry involved in affective evaluation (i.e., amygdala, ventral striatum) and deriving affective meaning (i.e., vmPFC)</w:t>
      </w:r>
      <w:r w:rsidR="00800A6A">
        <w:rPr>
          <w:rFonts w:cs="Arial"/>
          <w:szCs w:val="22"/>
        </w:rPr>
        <w:t xml:space="preserve">. This was one of the first studies </w:t>
      </w:r>
      <w:r w:rsidR="00E6071B" w:rsidRPr="00E6071B">
        <w:rPr>
          <w:rFonts w:cs="Arial"/>
          <w:szCs w:val="22"/>
        </w:rPr>
        <w:t xml:space="preserve">to </w:t>
      </w:r>
      <w:r w:rsidR="00800A6A">
        <w:rPr>
          <w:rFonts w:cs="Arial"/>
          <w:szCs w:val="22"/>
        </w:rPr>
        <w:t>use this approach</w:t>
      </w:r>
      <w:r w:rsidR="00E6071B" w:rsidRPr="00E6071B">
        <w:rPr>
          <w:rFonts w:cs="Arial"/>
          <w:szCs w:val="22"/>
        </w:rPr>
        <w:t xml:space="preserve"> to examine developmental differences as a function of affective valence in the context of naturalistic stimuli. </w:t>
      </w:r>
    </w:p>
    <w:p w14:paraId="305998BB" w14:textId="77777777" w:rsidR="003D051C" w:rsidRPr="006F78B0" w:rsidRDefault="003D051C" w:rsidP="003D051C">
      <w:pPr>
        <w:spacing w:line="276" w:lineRule="auto"/>
        <w:rPr>
          <w:rFonts w:cs="Arial"/>
          <w:szCs w:val="22"/>
        </w:rPr>
      </w:pPr>
    </w:p>
    <w:p w14:paraId="78451273" w14:textId="04A963AF" w:rsidR="003D051C" w:rsidRPr="003D293D" w:rsidRDefault="003D051C" w:rsidP="003D051C">
      <w:pPr>
        <w:pStyle w:val="ListParagraph"/>
        <w:numPr>
          <w:ilvl w:val="0"/>
          <w:numId w:val="20"/>
        </w:numPr>
        <w:autoSpaceDE/>
        <w:autoSpaceDN/>
        <w:rPr>
          <w:rFonts w:cs="Arial"/>
          <w:szCs w:val="22"/>
        </w:rPr>
      </w:pPr>
      <w:r w:rsidRPr="003D293D">
        <w:rPr>
          <w:rFonts w:cs="Arial"/>
          <w:color w:val="2A2A2A"/>
          <w:szCs w:val="22"/>
          <w:shd w:val="clear" w:color="auto" w:fill="FFFFFF"/>
        </w:rPr>
        <w:t>Mitchell, W. J.</w:t>
      </w:r>
      <w:r w:rsidR="00FB32E0">
        <w:rPr>
          <w:rFonts w:cs="Arial"/>
          <w:color w:val="2A2A2A"/>
          <w:szCs w:val="22"/>
          <w:shd w:val="clear" w:color="auto" w:fill="FFFFFF"/>
        </w:rPr>
        <w:t>*</w:t>
      </w:r>
      <w:r w:rsidRPr="003D293D">
        <w:rPr>
          <w:rFonts w:cs="Arial"/>
          <w:color w:val="2A2A2A"/>
          <w:szCs w:val="22"/>
          <w:shd w:val="clear" w:color="auto" w:fill="FFFFFF"/>
        </w:rPr>
        <w:t xml:space="preserve">, Tepfer, L. J., Henninger, N. M., Perlman, S.B., Murty, V.P., &amp; </w:t>
      </w:r>
      <w:r w:rsidRPr="003D293D">
        <w:rPr>
          <w:rFonts w:cs="Arial"/>
          <w:b/>
          <w:bCs/>
          <w:color w:val="2A2A2A"/>
          <w:szCs w:val="22"/>
          <w:shd w:val="clear" w:color="auto" w:fill="FFFFFF"/>
        </w:rPr>
        <w:t>Helion, C.</w:t>
      </w:r>
      <w:r w:rsidRPr="003D293D">
        <w:rPr>
          <w:rFonts w:cs="Arial"/>
          <w:color w:val="2A2A2A"/>
          <w:szCs w:val="22"/>
          <w:shd w:val="clear" w:color="auto" w:fill="FFFFFF"/>
        </w:rPr>
        <w:t xml:space="preserve"> (2022) Developmental differences in affective representation between prefrontal and subcortical structures,</w:t>
      </w:r>
      <w:r w:rsidRPr="003D293D">
        <w:rPr>
          <w:rStyle w:val="apple-converted-space"/>
          <w:rFonts w:cs="Arial"/>
          <w:color w:val="2A2A2A"/>
          <w:szCs w:val="22"/>
          <w:shd w:val="clear" w:color="auto" w:fill="FFFFFF"/>
        </w:rPr>
        <w:t> </w:t>
      </w:r>
      <w:r w:rsidRPr="003D293D">
        <w:rPr>
          <w:rStyle w:val="Emphasis"/>
          <w:rFonts w:cs="Arial"/>
          <w:color w:val="2A2A2A"/>
          <w:szCs w:val="22"/>
          <w:bdr w:val="none" w:sz="0" w:space="0" w:color="auto" w:frame="1"/>
        </w:rPr>
        <w:t>Social Cognitive and Affective Neuroscience</w:t>
      </w:r>
      <w:r w:rsidRPr="003D293D">
        <w:rPr>
          <w:rFonts w:cs="Arial"/>
          <w:color w:val="2A2A2A"/>
          <w:szCs w:val="22"/>
          <w:shd w:val="clear" w:color="auto" w:fill="FFFFFF"/>
        </w:rPr>
        <w:t xml:space="preserve">, </w:t>
      </w:r>
      <w:r w:rsidRPr="003D293D">
        <w:rPr>
          <w:rFonts w:cs="Arial"/>
          <w:i/>
          <w:iCs/>
          <w:color w:val="2A2A2A"/>
          <w:szCs w:val="22"/>
          <w:shd w:val="clear" w:color="auto" w:fill="FFFFFF"/>
        </w:rPr>
        <w:t>17(</w:t>
      </w:r>
      <w:r w:rsidRPr="003D293D">
        <w:rPr>
          <w:rFonts w:cs="Arial"/>
          <w:color w:val="2A2A2A"/>
          <w:szCs w:val="22"/>
          <w:shd w:val="clear" w:color="auto" w:fill="FFFFFF"/>
        </w:rPr>
        <w:t>3), Volume 17, 311–322.</w:t>
      </w:r>
      <w:r w:rsidRPr="003D293D">
        <w:rPr>
          <w:rFonts w:cs="Arial"/>
          <w:szCs w:val="22"/>
        </w:rPr>
        <w:t xml:space="preserve"> </w:t>
      </w:r>
    </w:p>
    <w:p w14:paraId="4BD4072C" w14:textId="77777777" w:rsidR="003D051C" w:rsidRPr="006F78B0" w:rsidRDefault="003D051C" w:rsidP="003D051C">
      <w:pPr>
        <w:pStyle w:val="ListParagraph"/>
        <w:numPr>
          <w:ilvl w:val="0"/>
          <w:numId w:val="20"/>
        </w:numPr>
        <w:autoSpaceDE/>
        <w:autoSpaceDN/>
        <w:rPr>
          <w:rFonts w:cs="Arial"/>
          <w:szCs w:val="22"/>
        </w:rPr>
      </w:pPr>
      <w:r w:rsidRPr="006F78B0">
        <w:rPr>
          <w:rFonts w:cs="Arial"/>
          <w:color w:val="222222"/>
          <w:szCs w:val="22"/>
          <w:shd w:val="clear" w:color="auto" w:fill="FFFFFF"/>
        </w:rPr>
        <w:t xml:space="preserve">Silvers, J. A., Insel, C., Powers, A., Franz, P., </w:t>
      </w:r>
      <w:r w:rsidRPr="006F78B0">
        <w:rPr>
          <w:rFonts w:cs="Arial"/>
          <w:b/>
          <w:bCs/>
          <w:color w:val="222222"/>
          <w:szCs w:val="22"/>
          <w:shd w:val="clear" w:color="auto" w:fill="FFFFFF"/>
        </w:rPr>
        <w:t>Helion, C.</w:t>
      </w:r>
      <w:r w:rsidRPr="006F78B0">
        <w:rPr>
          <w:rFonts w:cs="Arial"/>
          <w:color w:val="222222"/>
          <w:szCs w:val="22"/>
          <w:shd w:val="clear" w:color="auto" w:fill="FFFFFF"/>
        </w:rPr>
        <w:t>, Martin, R. E., ... &amp; Ochsner, K. N. (2017). vlPFC–vmPFC–amygdala interactions underlie age-related differences in cognitive regulation of emotion. </w:t>
      </w:r>
      <w:r w:rsidRPr="006F78B0">
        <w:rPr>
          <w:rFonts w:cs="Arial"/>
          <w:i/>
          <w:iCs/>
          <w:color w:val="222222"/>
          <w:szCs w:val="22"/>
          <w:shd w:val="clear" w:color="auto" w:fill="FFFFFF"/>
        </w:rPr>
        <w:t>Cerebral cortex</w:t>
      </w:r>
      <w:r w:rsidRPr="006F78B0">
        <w:rPr>
          <w:rFonts w:cs="Arial"/>
          <w:color w:val="222222"/>
          <w:szCs w:val="22"/>
          <w:shd w:val="clear" w:color="auto" w:fill="FFFFFF"/>
        </w:rPr>
        <w:t>, </w:t>
      </w:r>
      <w:r w:rsidRPr="006F78B0">
        <w:rPr>
          <w:rFonts w:cs="Arial"/>
          <w:i/>
          <w:iCs/>
          <w:color w:val="222222"/>
          <w:szCs w:val="22"/>
          <w:shd w:val="clear" w:color="auto" w:fill="FFFFFF"/>
        </w:rPr>
        <w:t>27</w:t>
      </w:r>
      <w:r w:rsidRPr="006F78B0">
        <w:rPr>
          <w:rFonts w:cs="Arial"/>
          <w:color w:val="222222"/>
          <w:szCs w:val="22"/>
          <w:shd w:val="clear" w:color="auto" w:fill="FFFFFF"/>
        </w:rPr>
        <w:t>(7), 3502-3514.</w:t>
      </w:r>
    </w:p>
    <w:p w14:paraId="20B8100A" w14:textId="77777777" w:rsidR="003D051C" w:rsidRPr="006F78B0" w:rsidRDefault="003D051C" w:rsidP="003D051C">
      <w:pPr>
        <w:pStyle w:val="ListParagraph"/>
        <w:numPr>
          <w:ilvl w:val="0"/>
          <w:numId w:val="20"/>
        </w:numPr>
        <w:autoSpaceDE/>
        <w:autoSpaceDN/>
        <w:rPr>
          <w:rFonts w:cs="Arial"/>
          <w:szCs w:val="22"/>
        </w:rPr>
      </w:pPr>
      <w:r w:rsidRPr="006F78B0">
        <w:rPr>
          <w:rFonts w:cs="Arial"/>
          <w:color w:val="222222"/>
          <w:szCs w:val="22"/>
          <w:shd w:val="clear" w:color="auto" w:fill="FFFFFF"/>
        </w:rPr>
        <w:t xml:space="preserve">Martin, R. E., Silvers, J. A., Hardi, F., Stephano, T., </w:t>
      </w:r>
      <w:r w:rsidRPr="006F78B0">
        <w:rPr>
          <w:rFonts w:cs="Arial"/>
          <w:b/>
          <w:bCs/>
          <w:color w:val="222222"/>
          <w:szCs w:val="22"/>
          <w:shd w:val="clear" w:color="auto" w:fill="FFFFFF"/>
        </w:rPr>
        <w:t>Helion, C.</w:t>
      </w:r>
      <w:r w:rsidRPr="006F78B0">
        <w:rPr>
          <w:rFonts w:cs="Arial"/>
          <w:color w:val="222222"/>
          <w:szCs w:val="22"/>
          <w:shd w:val="clear" w:color="auto" w:fill="FFFFFF"/>
        </w:rPr>
        <w:t>, Insel, C., ... &amp; Casey, B. J. (2019). Longitudinal changes in brain structures related to appetitive reactivity and regulation across development. </w:t>
      </w:r>
      <w:r w:rsidRPr="006F78B0">
        <w:rPr>
          <w:rFonts w:cs="Arial"/>
          <w:i/>
          <w:iCs/>
          <w:color w:val="222222"/>
          <w:szCs w:val="22"/>
          <w:shd w:val="clear" w:color="auto" w:fill="FFFFFF"/>
        </w:rPr>
        <w:t>Developmental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38</w:t>
      </w:r>
      <w:r w:rsidRPr="006F78B0">
        <w:rPr>
          <w:rFonts w:cs="Arial"/>
          <w:color w:val="222222"/>
          <w:szCs w:val="22"/>
          <w:shd w:val="clear" w:color="auto" w:fill="FFFFFF"/>
        </w:rPr>
        <w:t>, 100675.</w:t>
      </w:r>
    </w:p>
    <w:p w14:paraId="61B8E94E" w14:textId="7A5D901C" w:rsidR="003D051C" w:rsidRDefault="003D051C" w:rsidP="002C51BC">
      <w:pPr>
        <w:pStyle w:val="DataField11pt-Single"/>
        <w:rPr>
          <w:rStyle w:val="Strong"/>
          <w:szCs w:val="22"/>
        </w:rPr>
      </w:pPr>
    </w:p>
    <w:p w14:paraId="70FDD293" w14:textId="039B3DC9" w:rsidR="00F64D49" w:rsidRDefault="00FB32E0" w:rsidP="00376E34">
      <w:pPr>
        <w:spacing w:line="276" w:lineRule="auto"/>
        <w:rPr>
          <w:rFonts w:cs="Arial"/>
          <w:szCs w:val="22"/>
        </w:rPr>
      </w:pPr>
      <w:r>
        <w:rPr>
          <w:rFonts w:cs="Arial"/>
          <w:szCs w:val="22"/>
        </w:rPr>
        <w:t>2</w:t>
      </w:r>
      <w:r w:rsidRPr="006F78B0">
        <w:rPr>
          <w:rFonts w:cs="Arial"/>
          <w:szCs w:val="22"/>
        </w:rPr>
        <w:t xml:space="preserve">. </w:t>
      </w:r>
      <w:r>
        <w:rPr>
          <w:rFonts w:cs="Arial"/>
          <w:szCs w:val="22"/>
          <w:u w:val="single"/>
        </w:rPr>
        <w:t>Emotional regulation</w:t>
      </w:r>
      <w:r w:rsidR="00D0356E">
        <w:rPr>
          <w:rFonts w:cs="Arial"/>
          <w:szCs w:val="22"/>
          <w:u w:val="single"/>
        </w:rPr>
        <w:t xml:space="preserve"> using laboratory and naturalistic paradigms</w:t>
      </w:r>
      <w:r w:rsidR="00376E34">
        <w:rPr>
          <w:rFonts w:cs="Arial"/>
          <w:szCs w:val="22"/>
          <w:u w:val="single"/>
        </w:rPr>
        <w:t>.</w:t>
      </w:r>
      <w:r w:rsidR="00376E34">
        <w:rPr>
          <w:rFonts w:cs="Arial"/>
          <w:szCs w:val="22"/>
        </w:rPr>
        <w:t xml:space="preserve"> </w:t>
      </w:r>
      <w:r w:rsidR="00376E34" w:rsidRPr="00376E34">
        <w:rPr>
          <w:rFonts w:cs="Arial"/>
          <w:szCs w:val="22"/>
        </w:rPr>
        <w:t>My work on emotion regulation has largely focused on the effectiveness of cognitive reappraisal as regulatory strategy</w:t>
      </w:r>
      <w:r w:rsidR="0069154F">
        <w:rPr>
          <w:rFonts w:cs="Arial"/>
          <w:szCs w:val="22"/>
        </w:rPr>
        <w:t xml:space="preserve">. </w:t>
      </w:r>
      <w:r w:rsidR="00376E34" w:rsidRPr="00376E34">
        <w:rPr>
          <w:rFonts w:cs="Arial"/>
          <w:szCs w:val="22"/>
        </w:rPr>
        <w:t xml:space="preserve">In a developmental cross-sectional </w:t>
      </w:r>
      <w:r w:rsidR="0069154F" w:rsidRPr="00376E34">
        <w:rPr>
          <w:rFonts w:cs="Arial"/>
          <w:szCs w:val="22"/>
        </w:rPr>
        <w:t>study,</w:t>
      </w:r>
      <w:r w:rsidR="00376E34" w:rsidRPr="00376E34">
        <w:rPr>
          <w:rFonts w:cs="Arial"/>
          <w:szCs w:val="22"/>
        </w:rPr>
        <w:t xml:space="preserve"> we found that reappraisal success increased with age, and that age was also associated with reduced amygdala activity and inverse vmPFC-amygdala connectivity </w:t>
      </w:r>
      <w:r w:rsidR="0069154F">
        <w:rPr>
          <w:rFonts w:cs="Arial"/>
          <w:szCs w:val="22"/>
        </w:rPr>
        <w:t>(Silvers et al., 2017</w:t>
      </w:r>
      <w:r w:rsidR="0078713E">
        <w:rPr>
          <w:rFonts w:cs="Arial"/>
          <w:szCs w:val="22"/>
        </w:rPr>
        <w:t xml:space="preserve">). </w:t>
      </w:r>
      <w:r w:rsidR="00376E34" w:rsidRPr="00376E34">
        <w:rPr>
          <w:rFonts w:cs="Arial"/>
          <w:szCs w:val="22"/>
        </w:rPr>
        <w:t>Work from my lab focusing in cognitive reappraisal has examined strategy selection in</w:t>
      </w:r>
      <w:r w:rsidR="0069154F">
        <w:rPr>
          <w:rFonts w:cs="Arial"/>
          <w:szCs w:val="22"/>
        </w:rPr>
        <w:t xml:space="preserve"> naturalistic,</w:t>
      </w:r>
      <w:r w:rsidR="00376E34" w:rsidRPr="00376E34">
        <w:rPr>
          <w:rFonts w:cs="Arial"/>
          <w:szCs w:val="22"/>
        </w:rPr>
        <w:t xml:space="preserve"> real-world context</w:t>
      </w:r>
      <w:r w:rsidR="0069154F">
        <w:rPr>
          <w:rFonts w:cs="Arial"/>
          <w:szCs w:val="22"/>
        </w:rPr>
        <w:t>s (Mitchell et al., 2022).</w:t>
      </w:r>
      <w:r w:rsidR="00376E34" w:rsidRPr="00376E34">
        <w:rPr>
          <w:rFonts w:cs="Arial"/>
          <w:szCs w:val="22"/>
        </w:rPr>
        <w:t xml:space="preserve"> </w:t>
      </w:r>
      <w:r w:rsidR="0069154F">
        <w:rPr>
          <w:rFonts w:cs="Arial"/>
          <w:szCs w:val="22"/>
        </w:rPr>
        <w:t>W</w:t>
      </w:r>
      <w:r w:rsidR="00376E34" w:rsidRPr="00376E34">
        <w:rPr>
          <w:rFonts w:cs="Arial"/>
          <w:szCs w:val="22"/>
        </w:rPr>
        <w:t xml:space="preserve">e examined how emotion regulation choice occurs in a high-arousal negative context </w:t>
      </w:r>
      <w:r w:rsidR="0069154F">
        <w:rPr>
          <w:rFonts w:cs="Arial"/>
          <w:szCs w:val="22"/>
        </w:rPr>
        <w:t>–</w:t>
      </w:r>
      <w:r w:rsidR="00376E34" w:rsidRPr="00376E34">
        <w:rPr>
          <w:rFonts w:cs="Arial"/>
          <w:szCs w:val="22"/>
        </w:rPr>
        <w:t xml:space="preserve"> </w:t>
      </w:r>
      <w:r w:rsidR="0069154F">
        <w:rPr>
          <w:rFonts w:cs="Arial"/>
          <w:szCs w:val="22"/>
        </w:rPr>
        <w:t>a haunted house</w:t>
      </w:r>
      <w:r w:rsidR="00376E34" w:rsidRPr="00376E34">
        <w:rPr>
          <w:rFonts w:cs="Arial"/>
          <w:szCs w:val="22"/>
        </w:rPr>
        <w:t xml:space="preserve">. </w:t>
      </w:r>
      <w:r w:rsidR="0069154F">
        <w:rPr>
          <w:rFonts w:cs="Arial"/>
          <w:szCs w:val="22"/>
        </w:rPr>
        <w:t>W</w:t>
      </w:r>
      <w:r w:rsidR="00376E34" w:rsidRPr="00376E34">
        <w:rPr>
          <w:rFonts w:cs="Arial"/>
          <w:szCs w:val="22"/>
        </w:rPr>
        <w:t xml:space="preserve">e found no evidence for </w:t>
      </w:r>
      <w:r w:rsidR="0069154F">
        <w:rPr>
          <w:rFonts w:cs="Arial"/>
          <w:szCs w:val="22"/>
        </w:rPr>
        <w:t xml:space="preserve">the canonical </w:t>
      </w:r>
      <w:r w:rsidR="00376E34" w:rsidRPr="00376E34">
        <w:rPr>
          <w:rFonts w:cs="Arial"/>
          <w:szCs w:val="22"/>
        </w:rPr>
        <w:t>relationship between affective intensity and strategy choice</w:t>
      </w:r>
      <w:r w:rsidR="0069154F">
        <w:rPr>
          <w:rFonts w:cs="Arial"/>
          <w:szCs w:val="22"/>
        </w:rPr>
        <w:t xml:space="preserve"> identified in earlier lab paradigms</w:t>
      </w:r>
      <w:r w:rsidR="00376E34" w:rsidRPr="00376E34">
        <w:rPr>
          <w:rFonts w:cs="Arial"/>
          <w:szCs w:val="22"/>
        </w:rPr>
        <w:t>. Applying methods used in the affective forecasting literature</w:t>
      </w:r>
      <w:r w:rsidR="0069154F">
        <w:rPr>
          <w:rFonts w:cs="Arial"/>
          <w:szCs w:val="22"/>
        </w:rPr>
        <w:t xml:space="preserve">, </w:t>
      </w:r>
      <w:r w:rsidR="00376E34" w:rsidRPr="00376E34">
        <w:rPr>
          <w:rFonts w:cs="Arial"/>
          <w:szCs w:val="22"/>
        </w:rPr>
        <w:t>we found that the preference for distraction over reappraisal only emerged in participants who</w:t>
      </w:r>
      <w:r w:rsidR="0069154F">
        <w:rPr>
          <w:rFonts w:cs="Arial"/>
          <w:szCs w:val="22"/>
        </w:rPr>
        <w:t xml:space="preserve"> </w:t>
      </w:r>
      <w:r w:rsidR="0069154F">
        <w:rPr>
          <w:rFonts w:cs="Arial"/>
          <w:i/>
          <w:iCs/>
          <w:szCs w:val="22"/>
        </w:rPr>
        <w:t>read</w:t>
      </w:r>
      <w:r w:rsidR="00376E34" w:rsidRPr="00376E34">
        <w:rPr>
          <w:rFonts w:cs="Arial"/>
          <w:szCs w:val="22"/>
        </w:rPr>
        <w:t xml:space="preserve"> about the haunted house events rather than experienced it for themselves. This indicates that the emotion regulation choices made in the lab do not approximate those made in the real world, which may limit the extent to which we can generalize </w:t>
      </w:r>
      <w:r w:rsidR="0069154F">
        <w:rPr>
          <w:rFonts w:cs="Arial"/>
          <w:szCs w:val="22"/>
        </w:rPr>
        <w:t>laboratory</w:t>
      </w:r>
      <w:r w:rsidR="00376E34" w:rsidRPr="00376E34">
        <w:rPr>
          <w:rFonts w:cs="Arial"/>
          <w:szCs w:val="22"/>
        </w:rPr>
        <w:t xml:space="preserve"> findings to </w:t>
      </w:r>
      <w:r w:rsidR="0069154F">
        <w:rPr>
          <w:rFonts w:cs="Arial"/>
          <w:szCs w:val="22"/>
        </w:rPr>
        <w:t xml:space="preserve">naturalistic, </w:t>
      </w:r>
      <w:r w:rsidR="00376E34" w:rsidRPr="00376E34">
        <w:rPr>
          <w:rFonts w:cs="Arial"/>
          <w:szCs w:val="22"/>
        </w:rPr>
        <w:t>real-world emotional outcomes.</w:t>
      </w:r>
    </w:p>
    <w:p w14:paraId="3AC01916" w14:textId="77777777" w:rsidR="00F51758" w:rsidRPr="00F67E56" w:rsidRDefault="00F51758" w:rsidP="00FB32E0">
      <w:pPr>
        <w:spacing w:line="276" w:lineRule="auto"/>
        <w:rPr>
          <w:rFonts w:cs="Arial"/>
          <w:color w:val="000000" w:themeColor="text1"/>
          <w:szCs w:val="22"/>
        </w:rPr>
      </w:pPr>
    </w:p>
    <w:p w14:paraId="3F47CCED" w14:textId="6F03397E" w:rsidR="00F67E56" w:rsidRPr="00F67E56" w:rsidRDefault="00F67E56" w:rsidP="00FB32E0">
      <w:pPr>
        <w:pStyle w:val="ListParagraph"/>
        <w:numPr>
          <w:ilvl w:val="0"/>
          <w:numId w:val="22"/>
        </w:numPr>
        <w:spacing w:line="276" w:lineRule="auto"/>
        <w:rPr>
          <w:rFonts w:cs="Arial"/>
          <w:color w:val="000000" w:themeColor="text1"/>
          <w:szCs w:val="22"/>
        </w:rPr>
      </w:pPr>
      <w:r w:rsidRPr="00F67E56">
        <w:rPr>
          <w:rFonts w:cs="Arial"/>
          <w:color w:val="000000" w:themeColor="text1"/>
          <w:szCs w:val="22"/>
          <w:shd w:val="clear" w:color="auto" w:fill="FFFFFF"/>
        </w:rPr>
        <w:t>Mitchell, W. J.</w:t>
      </w:r>
      <w:r>
        <w:rPr>
          <w:rFonts w:cs="Arial"/>
          <w:color w:val="000000" w:themeColor="text1"/>
          <w:szCs w:val="22"/>
          <w:shd w:val="clear" w:color="auto" w:fill="FFFFFF"/>
        </w:rPr>
        <w:t>*</w:t>
      </w:r>
      <w:r w:rsidRPr="00F67E56">
        <w:rPr>
          <w:rFonts w:cs="Arial"/>
          <w:color w:val="000000" w:themeColor="text1"/>
          <w:szCs w:val="22"/>
          <w:shd w:val="clear" w:color="auto" w:fill="FFFFFF"/>
        </w:rPr>
        <w:t xml:space="preserve">, Stasiak, J., Martinez, S. A., Cliver, K., Gregory, D. F., Reisman, S., ... &amp; </w:t>
      </w:r>
      <w:r w:rsidRPr="00F67E56">
        <w:rPr>
          <w:rFonts w:cs="Arial"/>
          <w:b/>
          <w:bCs/>
          <w:color w:val="000000" w:themeColor="text1"/>
          <w:szCs w:val="22"/>
          <w:shd w:val="clear" w:color="auto" w:fill="FFFFFF"/>
        </w:rPr>
        <w:t>Helion, C.</w:t>
      </w:r>
      <w:r w:rsidRPr="00F67E56">
        <w:rPr>
          <w:rFonts w:cs="Arial"/>
          <w:color w:val="000000" w:themeColor="text1"/>
          <w:szCs w:val="22"/>
          <w:shd w:val="clear" w:color="auto" w:fill="FFFFFF"/>
        </w:rPr>
        <w:t xml:space="preserve"> (2022). Emotion regulation strategy usage in a quasi-naturalistic context. PsyArXiv; DOI: 10.31234/osf.io/23wtz.</w:t>
      </w:r>
    </w:p>
    <w:p w14:paraId="3A34F8D4" w14:textId="1DAADF5E" w:rsidR="00FB32E0" w:rsidRDefault="00FB32E0" w:rsidP="00FB32E0">
      <w:pPr>
        <w:pStyle w:val="ListParagraph"/>
        <w:numPr>
          <w:ilvl w:val="0"/>
          <w:numId w:val="22"/>
        </w:numPr>
        <w:spacing w:line="276" w:lineRule="auto"/>
        <w:rPr>
          <w:rFonts w:cs="Arial"/>
          <w:szCs w:val="22"/>
        </w:rPr>
      </w:pPr>
      <w:r w:rsidRPr="006F78B0">
        <w:rPr>
          <w:rFonts w:cs="Arial"/>
          <w:b/>
          <w:bCs/>
          <w:szCs w:val="22"/>
        </w:rPr>
        <w:t xml:space="preserve">Helion, C., </w:t>
      </w:r>
      <w:r w:rsidRPr="006F78B0">
        <w:rPr>
          <w:rFonts w:cs="Arial"/>
          <w:szCs w:val="22"/>
        </w:rPr>
        <w:t xml:space="preserve">Krueger, S., &amp; Ochsner, K.N. (2019). Emotion regulation across the lifespan. In D’Esposito, M. (Ed.) </w:t>
      </w:r>
      <w:r w:rsidRPr="006F78B0">
        <w:rPr>
          <w:rFonts w:cs="Arial"/>
          <w:i/>
          <w:iCs/>
          <w:szCs w:val="22"/>
        </w:rPr>
        <w:t xml:space="preserve">Handbook of clinical neurology </w:t>
      </w:r>
      <w:r w:rsidRPr="006F78B0">
        <w:rPr>
          <w:rFonts w:cs="Arial"/>
          <w:szCs w:val="22"/>
        </w:rPr>
        <w:t>(163), 257 – 280. Elsevier: London, UK.</w:t>
      </w:r>
    </w:p>
    <w:p w14:paraId="345BDA08" w14:textId="77777777" w:rsidR="00FB32E0" w:rsidRPr="006F78B0" w:rsidRDefault="00FB32E0" w:rsidP="00FB32E0">
      <w:pPr>
        <w:pStyle w:val="ListParagraph"/>
        <w:numPr>
          <w:ilvl w:val="0"/>
          <w:numId w:val="22"/>
        </w:numPr>
        <w:autoSpaceDE/>
        <w:autoSpaceDN/>
        <w:rPr>
          <w:rFonts w:cs="Arial"/>
          <w:szCs w:val="22"/>
        </w:rPr>
      </w:pPr>
      <w:r w:rsidRPr="006F78B0">
        <w:rPr>
          <w:rFonts w:cs="Arial"/>
          <w:szCs w:val="22"/>
        </w:rPr>
        <w:t>Silve</w:t>
      </w:r>
      <w:r w:rsidRPr="006F78B0">
        <w:rPr>
          <w:rFonts w:cs="Arial"/>
          <w:color w:val="222222"/>
          <w:szCs w:val="22"/>
          <w:shd w:val="clear" w:color="auto" w:fill="FFFFFF"/>
        </w:rPr>
        <w:t xml:space="preserve">rs, J. A., Insel, C., Powers, A., Franz, P., </w:t>
      </w:r>
      <w:r w:rsidRPr="006F78B0">
        <w:rPr>
          <w:rFonts w:cs="Arial"/>
          <w:b/>
          <w:bCs/>
          <w:color w:val="222222"/>
          <w:szCs w:val="22"/>
          <w:shd w:val="clear" w:color="auto" w:fill="FFFFFF"/>
        </w:rPr>
        <w:t>Helion, C</w:t>
      </w:r>
      <w:r w:rsidRPr="006F78B0">
        <w:rPr>
          <w:rFonts w:cs="Arial"/>
          <w:color w:val="222222"/>
          <w:szCs w:val="22"/>
          <w:shd w:val="clear" w:color="auto" w:fill="FFFFFF"/>
        </w:rPr>
        <w:t>., Martin, R., ... &amp; Ochsner, K. N. (2017). The transition from childhood to adolescence is marked by a general decrease in amygdala reactivity and an affect-specific ventral-to-dorsal shift in medial prefrontal recruitment. </w:t>
      </w:r>
      <w:r w:rsidRPr="006F78B0">
        <w:rPr>
          <w:rFonts w:cs="Arial"/>
          <w:i/>
          <w:iCs/>
          <w:color w:val="222222"/>
          <w:szCs w:val="22"/>
          <w:shd w:val="clear" w:color="auto" w:fill="FFFFFF"/>
        </w:rPr>
        <w:t>Developmental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25</w:t>
      </w:r>
      <w:r w:rsidRPr="006F78B0">
        <w:rPr>
          <w:rFonts w:cs="Arial"/>
          <w:color w:val="222222"/>
          <w:szCs w:val="22"/>
          <w:shd w:val="clear" w:color="auto" w:fill="FFFFFF"/>
        </w:rPr>
        <w:t>, 128-137</w:t>
      </w:r>
    </w:p>
    <w:p w14:paraId="148102F9" w14:textId="7457C06A" w:rsidR="00FB32E0" w:rsidRPr="00D0356E" w:rsidRDefault="00F64D49" w:rsidP="00F64D49">
      <w:pPr>
        <w:pStyle w:val="ListParagraph"/>
        <w:numPr>
          <w:ilvl w:val="0"/>
          <w:numId w:val="22"/>
        </w:numPr>
        <w:autoSpaceDE/>
        <w:autoSpaceDN/>
        <w:rPr>
          <w:rFonts w:cs="Arial"/>
          <w:szCs w:val="22"/>
        </w:rPr>
      </w:pPr>
      <w:r w:rsidRPr="006F78B0">
        <w:rPr>
          <w:rFonts w:cs="Arial"/>
          <w:color w:val="222222"/>
          <w:szCs w:val="22"/>
          <w:shd w:val="clear" w:color="auto" w:fill="FFFFFF"/>
        </w:rPr>
        <w:lastRenderedPageBreak/>
        <w:t xml:space="preserve">Cohen, A. O., </w:t>
      </w:r>
      <w:proofErr w:type="spellStart"/>
      <w:r w:rsidRPr="006F78B0">
        <w:rPr>
          <w:rFonts w:cs="Arial"/>
          <w:color w:val="222222"/>
          <w:szCs w:val="22"/>
          <w:shd w:val="clear" w:color="auto" w:fill="FFFFFF"/>
        </w:rPr>
        <w:t>Dellarco</w:t>
      </w:r>
      <w:proofErr w:type="spellEnd"/>
      <w:r w:rsidRPr="006F78B0">
        <w:rPr>
          <w:rFonts w:cs="Arial"/>
          <w:color w:val="222222"/>
          <w:szCs w:val="22"/>
          <w:shd w:val="clear" w:color="auto" w:fill="FFFFFF"/>
        </w:rPr>
        <w:t xml:space="preserve">, D. V., Breiner, K., </w:t>
      </w:r>
      <w:r w:rsidRPr="006F78B0">
        <w:rPr>
          <w:rFonts w:cs="Arial"/>
          <w:b/>
          <w:bCs/>
          <w:color w:val="222222"/>
          <w:szCs w:val="22"/>
          <w:shd w:val="clear" w:color="auto" w:fill="FFFFFF"/>
        </w:rPr>
        <w:t>Helion, C.</w:t>
      </w:r>
      <w:r w:rsidRPr="006F78B0">
        <w:rPr>
          <w:rFonts w:cs="Arial"/>
          <w:color w:val="222222"/>
          <w:szCs w:val="22"/>
          <w:shd w:val="clear" w:color="auto" w:fill="FFFFFF"/>
        </w:rPr>
        <w:t xml:space="preserve">, Heller, A. S., </w:t>
      </w:r>
      <w:proofErr w:type="spellStart"/>
      <w:r w:rsidRPr="006F78B0">
        <w:rPr>
          <w:rFonts w:cs="Arial"/>
          <w:color w:val="222222"/>
          <w:szCs w:val="22"/>
          <w:shd w:val="clear" w:color="auto" w:fill="FFFFFF"/>
        </w:rPr>
        <w:t>Rahdar</w:t>
      </w:r>
      <w:proofErr w:type="spellEnd"/>
      <w:r w:rsidRPr="006F78B0">
        <w:rPr>
          <w:rFonts w:cs="Arial"/>
          <w:color w:val="222222"/>
          <w:szCs w:val="22"/>
          <w:shd w:val="clear" w:color="auto" w:fill="FFFFFF"/>
        </w:rPr>
        <w:t>, A., ... &amp; Casey, B. J. (2016). The impact of emotional states on cognitive control circuitry and function. </w:t>
      </w:r>
      <w:r w:rsidRPr="006F78B0">
        <w:rPr>
          <w:rFonts w:cs="Arial"/>
          <w:i/>
          <w:iCs/>
          <w:color w:val="222222"/>
          <w:szCs w:val="22"/>
          <w:shd w:val="clear" w:color="auto" w:fill="FFFFFF"/>
        </w:rPr>
        <w:t>Journal of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28</w:t>
      </w:r>
      <w:r w:rsidRPr="006F78B0">
        <w:rPr>
          <w:rFonts w:cs="Arial"/>
          <w:color w:val="222222"/>
          <w:szCs w:val="22"/>
          <w:shd w:val="clear" w:color="auto" w:fill="FFFFFF"/>
        </w:rPr>
        <w:t>(3), 446-459.</w:t>
      </w:r>
    </w:p>
    <w:p w14:paraId="657D85C9" w14:textId="77777777" w:rsidR="00D0356E" w:rsidRPr="00D0356E" w:rsidRDefault="00D0356E" w:rsidP="00D0356E">
      <w:pPr>
        <w:autoSpaceDE/>
        <w:autoSpaceDN/>
        <w:rPr>
          <w:rFonts w:cs="Arial"/>
          <w:szCs w:val="22"/>
        </w:rPr>
      </w:pPr>
    </w:p>
    <w:p w14:paraId="74DEDB36" w14:textId="1B4A308E" w:rsidR="00326D66" w:rsidRPr="00525BCC" w:rsidRDefault="0078713E" w:rsidP="00AF2EE6">
      <w:pPr>
        <w:spacing w:line="276" w:lineRule="auto"/>
        <w:rPr>
          <w:rStyle w:val="Strong"/>
          <w:rFonts w:cs="Arial"/>
          <w:b w:val="0"/>
          <w:bCs w:val="0"/>
          <w:szCs w:val="22"/>
        </w:rPr>
      </w:pPr>
      <w:r>
        <w:rPr>
          <w:rFonts w:cs="Arial"/>
          <w:szCs w:val="22"/>
        </w:rPr>
        <w:t xml:space="preserve">3. </w:t>
      </w:r>
      <w:r w:rsidR="00525BCC" w:rsidRPr="00525BCC">
        <w:rPr>
          <w:rFonts w:cs="Arial"/>
          <w:szCs w:val="22"/>
          <w:u w:val="single"/>
        </w:rPr>
        <w:t>Emotional Influences on</w:t>
      </w:r>
      <w:r w:rsidR="00F17EA5">
        <w:rPr>
          <w:rFonts w:cs="Arial"/>
          <w:szCs w:val="22"/>
          <w:u w:val="single"/>
        </w:rPr>
        <w:t xml:space="preserve"> Cognition</w:t>
      </w:r>
      <w:r w:rsidR="00525BCC" w:rsidRPr="00525BCC">
        <w:rPr>
          <w:rFonts w:cs="Arial"/>
          <w:szCs w:val="22"/>
          <w:u w:val="single"/>
        </w:rPr>
        <w:t>.</w:t>
      </w:r>
      <w:r w:rsidR="002E03D3">
        <w:rPr>
          <w:rFonts w:cs="Arial"/>
          <w:szCs w:val="22"/>
          <w:u w:val="single"/>
        </w:rPr>
        <w:t xml:space="preserve"> </w:t>
      </w:r>
      <w:r w:rsidR="002E03D3" w:rsidRPr="002E03D3">
        <w:rPr>
          <w:rFonts w:cs="Arial"/>
          <w:szCs w:val="22"/>
        </w:rPr>
        <w:t>Emotion (and its regulation) play</w:t>
      </w:r>
      <w:r w:rsidR="002E03D3">
        <w:rPr>
          <w:rFonts w:cs="Arial"/>
          <w:szCs w:val="22"/>
        </w:rPr>
        <w:t xml:space="preserve">s </w:t>
      </w:r>
      <w:r w:rsidR="002E03D3" w:rsidRPr="002E03D3">
        <w:rPr>
          <w:rFonts w:cs="Arial"/>
          <w:szCs w:val="22"/>
        </w:rPr>
        <w:t xml:space="preserve">a key role in many psychological processes </w:t>
      </w:r>
      <w:r w:rsidR="002E03D3">
        <w:rPr>
          <w:rFonts w:cs="Arial"/>
          <w:szCs w:val="22"/>
        </w:rPr>
        <w:t>–</w:t>
      </w:r>
      <w:r w:rsidR="002E03D3" w:rsidRPr="002E03D3">
        <w:rPr>
          <w:rFonts w:cs="Arial"/>
          <w:szCs w:val="22"/>
        </w:rPr>
        <w:t xml:space="preserve"> memor</w:t>
      </w:r>
      <w:r w:rsidR="002E03D3">
        <w:rPr>
          <w:rFonts w:cs="Arial"/>
          <w:szCs w:val="22"/>
        </w:rPr>
        <w:t>y,</w:t>
      </w:r>
      <w:r w:rsidR="002E03D3" w:rsidRPr="002E03D3">
        <w:rPr>
          <w:rFonts w:cs="Arial"/>
          <w:szCs w:val="22"/>
        </w:rPr>
        <w:t xml:space="preserve"> learning</w:t>
      </w:r>
      <w:r w:rsidR="002E03D3">
        <w:rPr>
          <w:rFonts w:cs="Arial"/>
          <w:szCs w:val="22"/>
        </w:rPr>
        <w:t>,</w:t>
      </w:r>
      <w:r w:rsidR="002E03D3" w:rsidRPr="002E03D3">
        <w:rPr>
          <w:rFonts w:cs="Arial"/>
          <w:szCs w:val="22"/>
        </w:rPr>
        <w:t xml:space="preserve"> and decision-making can be influenced by the affective features of the stimuli, the reactivity of the individual, and extant environmental factors and stressors. </w:t>
      </w:r>
      <w:r w:rsidR="002E03D3">
        <w:rPr>
          <w:rFonts w:cs="Arial"/>
          <w:szCs w:val="22"/>
        </w:rPr>
        <w:t>Another</w:t>
      </w:r>
      <w:r w:rsidR="002E03D3" w:rsidRPr="002E03D3">
        <w:rPr>
          <w:rFonts w:cs="Arial"/>
          <w:szCs w:val="22"/>
        </w:rPr>
        <w:t xml:space="preserve"> line of research examines how emotions can influence these types of cognitive processes, in particular, decision-making, memory retrieval, and meta-cognition.</w:t>
      </w:r>
      <w:r w:rsidR="00525BCC">
        <w:rPr>
          <w:rFonts w:cs="Arial"/>
          <w:szCs w:val="22"/>
        </w:rPr>
        <w:t xml:space="preserve"> </w:t>
      </w:r>
      <w:r w:rsidR="00AF2EE6" w:rsidRPr="00AF2EE6">
        <w:rPr>
          <w:rFonts w:cs="Arial"/>
          <w:szCs w:val="22"/>
        </w:rPr>
        <w:t xml:space="preserve">My </w:t>
      </w:r>
      <w:r w:rsidR="00AF2EE6">
        <w:rPr>
          <w:rFonts w:cs="Arial"/>
          <w:szCs w:val="22"/>
        </w:rPr>
        <w:t xml:space="preserve">research in this space has examined </w:t>
      </w:r>
      <w:r w:rsidR="00AF2EE6" w:rsidRPr="00AF2EE6">
        <w:rPr>
          <w:rFonts w:cs="Arial"/>
          <w:szCs w:val="22"/>
        </w:rPr>
        <w:t>how experience performing an action influences</w:t>
      </w:r>
      <w:r w:rsidR="00AF2EE6">
        <w:rPr>
          <w:rFonts w:cs="Arial"/>
          <w:szCs w:val="22"/>
        </w:rPr>
        <w:t xml:space="preserve"> the degree to which it is represented using more affective language</w:t>
      </w:r>
      <w:r w:rsidR="00AF2EE6" w:rsidRPr="00AF2EE6">
        <w:rPr>
          <w:rFonts w:cs="Arial"/>
          <w:szCs w:val="22"/>
        </w:rPr>
        <w:t xml:space="preserve"> </w:t>
      </w:r>
      <w:r w:rsidR="00AF2EE6">
        <w:rPr>
          <w:rFonts w:cs="Arial"/>
          <w:szCs w:val="22"/>
        </w:rPr>
        <w:t>(Helion et al., 2022), and</w:t>
      </w:r>
      <w:r w:rsidR="00AF2EE6" w:rsidRPr="00AF2EE6">
        <w:rPr>
          <w:rFonts w:cs="Arial"/>
          <w:szCs w:val="22"/>
        </w:rPr>
        <w:t xml:space="preserve"> how negative affect can bias autobiographical memory retrieval for moral events </w:t>
      </w:r>
      <w:r w:rsidR="00AF2EE6">
        <w:rPr>
          <w:rFonts w:cs="Arial"/>
          <w:szCs w:val="22"/>
        </w:rPr>
        <w:t xml:space="preserve">(Helion et al., 2020). </w:t>
      </w:r>
      <w:r w:rsidR="00AF2EE6" w:rsidRPr="00AF2EE6">
        <w:rPr>
          <w:rFonts w:cs="Arial"/>
          <w:szCs w:val="22"/>
        </w:rPr>
        <w:t>Work in my lab has followed up on what factors influence memory for one's emotional experience using a combination of naturalistic and physiological methods</w:t>
      </w:r>
      <w:r w:rsidR="00AF2EE6">
        <w:rPr>
          <w:rFonts w:cs="Arial"/>
          <w:szCs w:val="22"/>
        </w:rPr>
        <w:t xml:space="preserve"> (Stasiak et al., 2023). </w:t>
      </w:r>
      <w:r w:rsidR="00AF2EE6" w:rsidRPr="00AF2EE6">
        <w:rPr>
          <w:rFonts w:cs="Arial"/>
          <w:szCs w:val="22"/>
        </w:rPr>
        <w:t xml:space="preserve"> </w:t>
      </w:r>
    </w:p>
    <w:p w14:paraId="638B0440" w14:textId="06951CC1" w:rsidR="003D051C" w:rsidRPr="003D051C" w:rsidRDefault="003D051C" w:rsidP="00FF3698">
      <w:pPr>
        <w:pStyle w:val="ListParagraph"/>
        <w:numPr>
          <w:ilvl w:val="0"/>
          <w:numId w:val="19"/>
        </w:numPr>
        <w:shd w:val="clear" w:color="auto" w:fill="FFFFFF"/>
        <w:spacing w:before="240"/>
        <w:rPr>
          <w:rFonts w:cs="Arial"/>
          <w:color w:val="000000" w:themeColor="text1"/>
          <w:szCs w:val="22"/>
        </w:rPr>
      </w:pPr>
      <w:r w:rsidRPr="003D051C">
        <w:rPr>
          <w:rFonts w:cs="Arial"/>
          <w:color w:val="000000" w:themeColor="text1"/>
          <w:szCs w:val="22"/>
          <w:shd w:val="clear" w:color="auto" w:fill="FFFFFF"/>
        </w:rPr>
        <w:t>Stasiak, J. E.</w:t>
      </w:r>
      <w:r w:rsidR="00AF2EE6">
        <w:rPr>
          <w:rFonts w:cs="Arial"/>
          <w:color w:val="000000" w:themeColor="text1"/>
          <w:szCs w:val="22"/>
          <w:shd w:val="clear" w:color="auto" w:fill="FFFFFF"/>
        </w:rPr>
        <w:t>*</w:t>
      </w:r>
      <w:r w:rsidRPr="003D051C">
        <w:rPr>
          <w:rFonts w:cs="Arial"/>
          <w:color w:val="000000" w:themeColor="text1"/>
          <w:szCs w:val="22"/>
          <w:shd w:val="clear" w:color="auto" w:fill="FFFFFF"/>
        </w:rPr>
        <w:t>, Mitchell, W. J.</w:t>
      </w:r>
      <w:r w:rsidR="00AF2EE6">
        <w:rPr>
          <w:rFonts w:cs="Arial"/>
          <w:color w:val="000000" w:themeColor="text1"/>
          <w:szCs w:val="22"/>
          <w:shd w:val="clear" w:color="auto" w:fill="FFFFFF"/>
        </w:rPr>
        <w:t>*</w:t>
      </w:r>
      <w:r w:rsidRPr="003D051C">
        <w:rPr>
          <w:rFonts w:cs="Arial"/>
          <w:color w:val="000000" w:themeColor="text1"/>
          <w:szCs w:val="22"/>
          <w:shd w:val="clear" w:color="auto" w:fill="FFFFFF"/>
        </w:rPr>
        <w:t xml:space="preserve">, Reisman, S. S., Gregory, D. F., Murty, V. P., &amp; </w:t>
      </w:r>
      <w:r w:rsidRPr="003D051C">
        <w:rPr>
          <w:rFonts w:cs="Arial"/>
          <w:b/>
          <w:bCs/>
          <w:color w:val="000000" w:themeColor="text1"/>
          <w:szCs w:val="22"/>
          <w:shd w:val="clear" w:color="auto" w:fill="FFFFFF"/>
        </w:rPr>
        <w:t>Helion, C.</w:t>
      </w:r>
      <w:r w:rsidRPr="003D051C">
        <w:rPr>
          <w:rFonts w:cs="Arial"/>
          <w:color w:val="000000" w:themeColor="text1"/>
          <w:szCs w:val="22"/>
          <w:shd w:val="clear" w:color="auto" w:fill="FFFFFF"/>
        </w:rPr>
        <w:t xml:space="preserve"> (2023). Physiological arousal guides situational appraisals and metacognitive recall for naturalistic experiences. </w:t>
      </w:r>
      <w:proofErr w:type="spellStart"/>
      <w:r w:rsidRPr="003D051C">
        <w:rPr>
          <w:rFonts w:cs="Arial"/>
          <w:i/>
          <w:iCs/>
          <w:color w:val="000000" w:themeColor="text1"/>
          <w:szCs w:val="22"/>
          <w:shd w:val="clear" w:color="auto" w:fill="FFFFFF"/>
        </w:rPr>
        <w:t>Neuropsychologia</w:t>
      </w:r>
      <w:proofErr w:type="spellEnd"/>
      <w:r w:rsidRPr="003D051C">
        <w:rPr>
          <w:rFonts w:cs="Arial"/>
          <w:color w:val="000000" w:themeColor="text1"/>
          <w:szCs w:val="22"/>
          <w:shd w:val="clear" w:color="auto" w:fill="FFFFFF"/>
        </w:rPr>
        <w:t>, 108467.</w:t>
      </w:r>
    </w:p>
    <w:p w14:paraId="01E09842" w14:textId="36F1565D" w:rsidR="00FF3698" w:rsidRDefault="00326D66" w:rsidP="00FF3698">
      <w:pPr>
        <w:pStyle w:val="ListParagraph"/>
        <w:numPr>
          <w:ilvl w:val="0"/>
          <w:numId w:val="19"/>
        </w:numPr>
        <w:shd w:val="clear" w:color="auto" w:fill="FFFFFF"/>
        <w:spacing w:before="240"/>
        <w:rPr>
          <w:rFonts w:cs="Arial"/>
          <w:szCs w:val="22"/>
        </w:rPr>
      </w:pPr>
      <w:r w:rsidRPr="006F78B0">
        <w:rPr>
          <w:rFonts w:cs="Arial"/>
          <w:b/>
          <w:bCs/>
          <w:szCs w:val="22"/>
        </w:rPr>
        <w:t>Helion, C.,</w:t>
      </w:r>
      <w:r w:rsidRPr="006F78B0">
        <w:rPr>
          <w:rFonts w:cs="Arial"/>
          <w:szCs w:val="22"/>
        </w:rPr>
        <w:t xml:space="preserve"> Helzer, E. G., Kim, S., &amp; Pizarro, D.A. (</w:t>
      </w:r>
      <w:r w:rsidRPr="006F78B0">
        <w:rPr>
          <w:rFonts w:cs="Arial"/>
          <w:iCs/>
          <w:szCs w:val="22"/>
        </w:rPr>
        <w:t>2020</w:t>
      </w:r>
      <w:r w:rsidRPr="006F78B0">
        <w:rPr>
          <w:rFonts w:cs="Arial"/>
          <w:szCs w:val="22"/>
        </w:rPr>
        <w:t>)</w:t>
      </w:r>
      <w:r w:rsidR="00B140D6">
        <w:rPr>
          <w:rFonts w:cs="Arial"/>
          <w:szCs w:val="22"/>
        </w:rPr>
        <w:t>.</w:t>
      </w:r>
      <w:r w:rsidRPr="006F78B0">
        <w:rPr>
          <w:rFonts w:cs="Arial"/>
          <w:szCs w:val="22"/>
        </w:rPr>
        <w:t xml:space="preserve"> Asymmetric moral memory for harming versus being harmed. Journal of Experimental Psychology: General, 149(</w:t>
      </w:r>
      <w:r w:rsidRPr="006F78B0">
        <w:rPr>
          <w:rFonts w:cs="Arial"/>
          <w:i/>
          <w:iCs/>
          <w:szCs w:val="22"/>
        </w:rPr>
        <w:t>5</w:t>
      </w:r>
      <w:r w:rsidRPr="006F78B0">
        <w:rPr>
          <w:rFonts w:cs="Arial"/>
          <w:szCs w:val="22"/>
        </w:rPr>
        <w:t>), 889-900.</w:t>
      </w:r>
    </w:p>
    <w:p w14:paraId="6A70EC57" w14:textId="418D71AF" w:rsidR="0013512A" w:rsidRPr="006F78B0" w:rsidRDefault="0013512A" w:rsidP="00FF3698">
      <w:pPr>
        <w:pStyle w:val="ListParagraph"/>
        <w:numPr>
          <w:ilvl w:val="0"/>
          <w:numId w:val="19"/>
        </w:numPr>
        <w:shd w:val="clear" w:color="auto" w:fill="FFFFFF"/>
        <w:spacing w:before="240"/>
        <w:rPr>
          <w:rFonts w:cs="Arial"/>
          <w:szCs w:val="22"/>
        </w:rPr>
      </w:pPr>
      <w:r>
        <w:rPr>
          <w:rFonts w:cs="Arial"/>
          <w:b/>
          <w:bCs/>
          <w:szCs w:val="22"/>
        </w:rPr>
        <w:t xml:space="preserve">Helion, C., </w:t>
      </w:r>
      <w:r>
        <w:rPr>
          <w:rFonts w:cs="Arial"/>
          <w:szCs w:val="22"/>
        </w:rPr>
        <w:t>Ward, A., O’Shea, I., &amp; Pizarro, D.A. (in press)</w:t>
      </w:r>
      <w:r w:rsidR="00B140D6">
        <w:rPr>
          <w:rFonts w:cs="Arial"/>
          <w:szCs w:val="22"/>
        </w:rPr>
        <w:t>. Making molehills out of mountains: Removing prior moral meaning from prior immoral actions. Journal of Behavioral Decision-Making.</w:t>
      </w:r>
    </w:p>
    <w:p w14:paraId="6F730393" w14:textId="61F1460F" w:rsidR="00326D66" w:rsidRPr="006F78B0" w:rsidRDefault="00FF3698" w:rsidP="00FF3698">
      <w:pPr>
        <w:pStyle w:val="ListParagraph"/>
        <w:numPr>
          <w:ilvl w:val="0"/>
          <w:numId w:val="19"/>
        </w:numPr>
        <w:autoSpaceDE/>
        <w:autoSpaceDN/>
        <w:rPr>
          <w:rFonts w:cs="Arial"/>
          <w:szCs w:val="22"/>
        </w:rPr>
      </w:pPr>
      <w:r w:rsidRPr="006F78B0">
        <w:rPr>
          <w:rFonts w:cs="Arial"/>
          <w:b/>
          <w:bCs/>
          <w:color w:val="333333"/>
          <w:szCs w:val="22"/>
          <w:shd w:val="clear" w:color="auto" w:fill="FCFCFC"/>
        </w:rPr>
        <w:t>Helion, C.</w:t>
      </w:r>
      <w:r w:rsidRPr="006F78B0">
        <w:rPr>
          <w:rFonts w:cs="Arial"/>
          <w:color w:val="333333"/>
          <w:szCs w:val="22"/>
          <w:shd w:val="clear" w:color="auto" w:fill="FCFCFC"/>
        </w:rPr>
        <w:t xml:space="preserve">, </w:t>
      </w:r>
      <w:r w:rsidRPr="003D051C">
        <w:rPr>
          <w:rFonts w:cs="Arial"/>
          <w:color w:val="000000" w:themeColor="text1"/>
          <w:szCs w:val="22"/>
          <w:shd w:val="clear" w:color="auto" w:fill="FCFCFC"/>
        </w:rPr>
        <w:t>Ochsner, K.N. The Role of Emotion Regulation in Moral Judgment (2018). </w:t>
      </w:r>
      <w:proofErr w:type="spellStart"/>
      <w:r w:rsidRPr="003D051C">
        <w:rPr>
          <w:rFonts w:cs="Arial"/>
          <w:i/>
          <w:iCs/>
          <w:color w:val="000000" w:themeColor="text1"/>
          <w:szCs w:val="22"/>
          <w:shd w:val="clear" w:color="auto" w:fill="FCFCFC"/>
        </w:rPr>
        <w:t>Neuroethics</w:t>
      </w:r>
      <w:proofErr w:type="spellEnd"/>
      <w:r w:rsidRPr="003D051C">
        <w:rPr>
          <w:rFonts w:cs="Arial"/>
          <w:color w:val="000000" w:themeColor="text1"/>
          <w:szCs w:val="22"/>
          <w:shd w:val="clear" w:color="auto" w:fill="FCFCFC"/>
        </w:rPr>
        <w:t> </w:t>
      </w:r>
      <w:r w:rsidRPr="003D051C">
        <w:rPr>
          <w:rFonts w:cs="Arial"/>
          <w:b/>
          <w:bCs/>
          <w:color w:val="000000" w:themeColor="text1"/>
          <w:szCs w:val="22"/>
          <w:shd w:val="clear" w:color="auto" w:fill="FCFCFC"/>
        </w:rPr>
        <w:t>11, </w:t>
      </w:r>
      <w:r w:rsidRPr="003D051C">
        <w:rPr>
          <w:rFonts w:cs="Arial"/>
          <w:color w:val="000000" w:themeColor="text1"/>
          <w:szCs w:val="22"/>
          <w:shd w:val="clear" w:color="auto" w:fill="FCFCFC"/>
        </w:rPr>
        <w:t>297–308.</w:t>
      </w:r>
    </w:p>
    <w:p w14:paraId="7FFA1C8C" w14:textId="13B8BA2F" w:rsidR="00B1147E" w:rsidRDefault="00B1147E" w:rsidP="00B1147E">
      <w:pPr>
        <w:autoSpaceDE/>
        <w:autoSpaceDN/>
        <w:rPr>
          <w:rFonts w:cs="Arial"/>
          <w:szCs w:val="22"/>
        </w:rPr>
      </w:pPr>
    </w:p>
    <w:p w14:paraId="30CB4D8E" w14:textId="026B0812" w:rsidR="00AF2EE6" w:rsidRDefault="00AF2EE6" w:rsidP="00B1147E">
      <w:pPr>
        <w:autoSpaceDE/>
        <w:autoSpaceDN/>
        <w:rPr>
          <w:rFonts w:cs="Arial"/>
          <w:szCs w:val="22"/>
        </w:rPr>
      </w:pPr>
    </w:p>
    <w:p w14:paraId="30B82B7E" w14:textId="16DA08F4" w:rsidR="009E2F62" w:rsidRDefault="00626A54" w:rsidP="00B1147E">
      <w:pPr>
        <w:autoSpaceDE/>
        <w:autoSpaceDN/>
        <w:rPr>
          <w:rFonts w:cs="Arial"/>
          <w:szCs w:val="22"/>
        </w:rPr>
      </w:pPr>
      <w:r>
        <w:rPr>
          <w:rFonts w:cs="Arial"/>
          <w:szCs w:val="22"/>
        </w:rPr>
        <w:t xml:space="preserve">4. </w:t>
      </w:r>
      <w:r w:rsidRPr="00626A54">
        <w:rPr>
          <w:rFonts w:cs="Arial"/>
          <w:szCs w:val="22"/>
          <w:u w:val="single"/>
        </w:rPr>
        <w:t>Emotional influences on social cognition and decision-making</w:t>
      </w:r>
      <w:r>
        <w:rPr>
          <w:rFonts w:cs="Arial"/>
          <w:szCs w:val="22"/>
        </w:rPr>
        <w:t xml:space="preserve">. </w:t>
      </w:r>
      <w:r w:rsidRPr="00626A54">
        <w:rPr>
          <w:rFonts w:cs="Arial"/>
          <w:szCs w:val="22"/>
        </w:rPr>
        <w:t xml:space="preserve">My final line of research examines both emotion and regulation in social </w:t>
      </w:r>
      <w:r>
        <w:rPr>
          <w:rFonts w:cs="Arial"/>
          <w:szCs w:val="22"/>
        </w:rPr>
        <w:t xml:space="preserve">and decision-making </w:t>
      </w:r>
      <w:r w:rsidRPr="00626A54">
        <w:rPr>
          <w:rFonts w:cs="Arial"/>
          <w:szCs w:val="22"/>
        </w:rPr>
        <w:t xml:space="preserve">contexts. This research aim combines </w:t>
      </w:r>
      <w:r>
        <w:rPr>
          <w:rFonts w:cs="Arial"/>
          <w:szCs w:val="22"/>
        </w:rPr>
        <w:t xml:space="preserve">both experimental and naturalistic research paradigms, </w:t>
      </w:r>
      <w:r w:rsidRPr="00626A54">
        <w:rPr>
          <w:rFonts w:cs="Arial"/>
          <w:szCs w:val="22"/>
        </w:rPr>
        <w:t>and the use of social computational methods including Natural Language Processing (NLP) and graph theoretical methods.</w:t>
      </w:r>
      <w:r w:rsidR="00CA726D">
        <w:rPr>
          <w:rFonts w:cs="Arial"/>
          <w:szCs w:val="22"/>
        </w:rPr>
        <w:t xml:space="preserve"> </w:t>
      </w:r>
      <w:r w:rsidR="00CA726D" w:rsidRPr="00CA726D">
        <w:rPr>
          <w:rFonts w:cs="Arial"/>
          <w:szCs w:val="22"/>
        </w:rPr>
        <w:t>My initial research</w:t>
      </w:r>
      <w:r w:rsidR="00CA726D">
        <w:rPr>
          <w:rFonts w:cs="Arial"/>
          <w:szCs w:val="22"/>
        </w:rPr>
        <w:t xml:space="preserve"> </w:t>
      </w:r>
      <w:r w:rsidR="00CA726D" w:rsidRPr="00CA726D">
        <w:rPr>
          <w:rFonts w:cs="Arial"/>
          <w:szCs w:val="22"/>
        </w:rPr>
        <w:t>in this space focused on how an affective association tied to money can inform spending behavior</w:t>
      </w:r>
      <w:r w:rsidR="00CA726D">
        <w:rPr>
          <w:rFonts w:cs="Arial"/>
          <w:szCs w:val="22"/>
        </w:rPr>
        <w:t xml:space="preserve"> (Helion &amp; Gilovich, 2014) and leveraged both controlled laboratory studies and archival </w:t>
      </w:r>
      <w:r w:rsidR="001F5256">
        <w:rPr>
          <w:rFonts w:cs="Arial"/>
          <w:szCs w:val="22"/>
        </w:rPr>
        <w:t xml:space="preserve">consumer </w:t>
      </w:r>
      <w:r w:rsidR="00CA726D">
        <w:rPr>
          <w:rFonts w:cs="Arial"/>
          <w:szCs w:val="22"/>
        </w:rPr>
        <w:t xml:space="preserve">data to examine how </w:t>
      </w:r>
      <w:r w:rsidR="001F5256">
        <w:rPr>
          <w:rFonts w:cs="Arial"/>
          <w:szCs w:val="22"/>
        </w:rPr>
        <w:t xml:space="preserve">these processes manifest in the real world. Additional research in my lab has examined how emotion influences social-comparison in the context of the COVID-19 pandemic, </w:t>
      </w:r>
      <w:r w:rsidR="009E2F62">
        <w:rPr>
          <w:rFonts w:cs="Arial"/>
          <w:szCs w:val="22"/>
        </w:rPr>
        <w:t xml:space="preserve">finding that individuals </w:t>
      </w:r>
      <w:r w:rsidR="001F5256" w:rsidRPr="001F5256">
        <w:rPr>
          <w:rFonts w:cs="Arial"/>
          <w:szCs w:val="22"/>
        </w:rPr>
        <w:t>who reported being more concerned about COVID-19</w:t>
      </w:r>
      <w:r w:rsidR="009E2F62">
        <w:rPr>
          <w:rFonts w:cs="Arial"/>
          <w:szCs w:val="22"/>
        </w:rPr>
        <w:t xml:space="preserve"> </w:t>
      </w:r>
      <w:r w:rsidR="001F5256" w:rsidRPr="001F5256">
        <w:rPr>
          <w:rFonts w:cs="Arial"/>
          <w:szCs w:val="22"/>
        </w:rPr>
        <w:t xml:space="preserve">showed a more pronounced self-other asymmetry in beliefs about the number of actions that they versus peers took to mitigate </w:t>
      </w:r>
      <w:r w:rsidR="009E2F62">
        <w:rPr>
          <w:rFonts w:cs="Arial"/>
          <w:szCs w:val="22"/>
        </w:rPr>
        <w:t xml:space="preserve">its spread (Ulichney et al., 2022). </w:t>
      </w:r>
      <w:r w:rsidR="009E2F62" w:rsidRPr="009E2F62">
        <w:rPr>
          <w:rFonts w:cs="Arial"/>
          <w:szCs w:val="22"/>
        </w:rPr>
        <w:t xml:space="preserve">However, before one can use peers as a benchmark, one needs to know where one stands in a given social structure. Learning the structure of a social network is a dynamic process that involves navigating a complex social </w:t>
      </w:r>
      <w:r w:rsidR="009E2F62">
        <w:rPr>
          <w:rFonts w:cs="Arial"/>
          <w:szCs w:val="22"/>
        </w:rPr>
        <w:t xml:space="preserve">environment </w:t>
      </w:r>
      <w:r w:rsidR="009E2F62" w:rsidRPr="009E2F62">
        <w:rPr>
          <w:rFonts w:cs="Arial"/>
          <w:szCs w:val="22"/>
        </w:rPr>
        <w:t>and identifying the nature of relationships between and across individuals</w:t>
      </w:r>
      <w:r w:rsidR="009E2F62">
        <w:rPr>
          <w:rFonts w:cs="Arial"/>
          <w:szCs w:val="22"/>
        </w:rPr>
        <w:t>. My</w:t>
      </w:r>
      <w:r w:rsidR="009E2F62" w:rsidRPr="009E2F62">
        <w:rPr>
          <w:rFonts w:cs="Arial"/>
          <w:szCs w:val="22"/>
        </w:rPr>
        <w:t xml:space="preserve"> lab has examined how individuals make inferences about interpersonal relationships via passive observation of dyadic interactions </w:t>
      </w:r>
      <w:r w:rsidR="009E2F62">
        <w:rPr>
          <w:rFonts w:cs="Arial"/>
          <w:szCs w:val="22"/>
        </w:rPr>
        <w:t xml:space="preserve">(Schmidt et al., 2022). </w:t>
      </w:r>
      <w:r w:rsidR="009E2F62" w:rsidRPr="009E2F62">
        <w:rPr>
          <w:rFonts w:cs="Arial"/>
          <w:szCs w:val="22"/>
        </w:rPr>
        <w:t>We found that participants successfully learned the structure of a novel social network using naturalistic stimuli</w:t>
      </w:r>
      <w:r w:rsidR="009E2F62">
        <w:rPr>
          <w:rFonts w:cs="Arial"/>
          <w:szCs w:val="22"/>
        </w:rPr>
        <w:t xml:space="preserve">. </w:t>
      </w:r>
      <w:r w:rsidR="009E2F62" w:rsidRPr="009E2F62">
        <w:rPr>
          <w:rFonts w:cs="Arial"/>
          <w:szCs w:val="22"/>
        </w:rPr>
        <w:t xml:space="preserve">Using </w:t>
      </w:r>
      <w:r w:rsidR="003C4404">
        <w:rPr>
          <w:rFonts w:cs="Arial"/>
          <w:szCs w:val="22"/>
        </w:rPr>
        <w:t xml:space="preserve">NLP on </w:t>
      </w:r>
      <w:r w:rsidR="009E2F62" w:rsidRPr="009E2F62">
        <w:rPr>
          <w:rFonts w:cs="Arial"/>
          <w:szCs w:val="22"/>
        </w:rPr>
        <w:t>conversational dialogue, we found that pairwise semantic similarity predicted relational learning</w:t>
      </w:r>
      <w:r w:rsidR="003C4404">
        <w:rPr>
          <w:rFonts w:cs="Arial"/>
          <w:szCs w:val="22"/>
        </w:rPr>
        <w:t>. This is one of the first studies to examine social network learning</w:t>
      </w:r>
      <w:r w:rsidR="009E2F62" w:rsidRPr="009E2F62">
        <w:rPr>
          <w:rFonts w:cs="Arial"/>
          <w:szCs w:val="22"/>
        </w:rPr>
        <w:t xml:space="preserve"> in </w:t>
      </w:r>
      <w:r w:rsidR="003C4404">
        <w:rPr>
          <w:rFonts w:cs="Arial"/>
          <w:szCs w:val="22"/>
        </w:rPr>
        <w:t>naturalistic</w:t>
      </w:r>
      <w:r w:rsidR="009E2F62" w:rsidRPr="009E2F62">
        <w:rPr>
          <w:rFonts w:cs="Arial"/>
          <w:szCs w:val="22"/>
        </w:rPr>
        <w:t xml:space="preserve"> contexts</w:t>
      </w:r>
      <w:r w:rsidR="003C4404">
        <w:rPr>
          <w:rFonts w:cs="Arial"/>
          <w:szCs w:val="22"/>
        </w:rPr>
        <w:t xml:space="preserve"> and to use linguistic or verbal information to do so</w:t>
      </w:r>
      <w:r w:rsidR="009E2F62" w:rsidRPr="009E2F62">
        <w:rPr>
          <w:rFonts w:cs="Arial"/>
          <w:szCs w:val="22"/>
        </w:rPr>
        <w:t>.</w:t>
      </w:r>
      <w:r w:rsidR="009E2F62">
        <w:rPr>
          <w:rFonts w:cs="Arial"/>
          <w:szCs w:val="22"/>
        </w:rPr>
        <w:t xml:space="preserve"> </w:t>
      </w:r>
    </w:p>
    <w:p w14:paraId="34F3D977" w14:textId="09EA7816" w:rsidR="00B1147E" w:rsidRPr="002D47EA" w:rsidRDefault="00B1147E" w:rsidP="00B1147E">
      <w:pPr>
        <w:autoSpaceDE/>
        <w:autoSpaceDN/>
        <w:rPr>
          <w:rFonts w:cs="Arial"/>
          <w:color w:val="000000" w:themeColor="text1"/>
          <w:szCs w:val="22"/>
        </w:rPr>
      </w:pPr>
    </w:p>
    <w:p w14:paraId="09289EFE" w14:textId="213351DB" w:rsidR="002D47EA" w:rsidRPr="002D47EA" w:rsidRDefault="002D47EA" w:rsidP="00B1147E">
      <w:pPr>
        <w:pStyle w:val="ListParagraph"/>
        <w:numPr>
          <w:ilvl w:val="0"/>
          <w:numId w:val="21"/>
        </w:numPr>
        <w:autoSpaceDE/>
        <w:autoSpaceDN/>
        <w:rPr>
          <w:rFonts w:cs="Arial"/>
          <w:color w:val="000000" w:themeColor="text1"/>
          <w:szCs w:val="22"/>
        </w:rPr>
      </w:pPr>
      <w:r w:rsidRPr="002D47EA">
        <w:rPr>
          <w:rFonts w:cs="Arial"/>
          <w:color w:val="000000" w:themeColor="text1"/>
          <w:szCs w:val="22"/>
          <w:shd w:val="clear" w:color="auto" w:fill="FCFCFC"/>
        </w:rPr>
        <w:t xml:space="preserve">Schmidt, H.*, Tran, S., Medaglia, J., Ulichney, V.*, &amp; </w:t>
      </w:r>
      <w:r w:rsidRPr="002D47EA">
        <w:rPr>
          <w:rFonts w:cs="Arial"/>
          <w:b/>
          <w:bCs/>
          <w:color w:val="000000" w:themeColor="text1"/>
          <w:szCs w:val="22"/>
          <w:shd w:val="clear" w:color="auto" w:fill="FCFCFC"/>
        </w:rPr>
        <w:t>Helion, C.</w:t>
      </w:r>
      <w:r w:rsidRPr="002D47EA">
        <w:rPr>
          <w:rFonts w:cs="Arial"/>
          <w:color w:val="000000" w:themeColor="text1"/>
          <w:szCs w:val="22"/>
          <w:shd w:val="clear" w:color="auto" w:fill="FCFCFC"/>
        </w:rPr>
        <w:t xml:space="preserve"> (2022). Conversational linguistic features predict social network learning. https://doi.org/10.31234/osf.io/fn4my</w:t>
      </w:r>
    </w:p>
    <w:p w14:paraId="049E1B60" w14:textId="13CBB698" w:rsidR="00B1147E" w:rsidRPr="006F78B0" w:rsidRDefault="00B1147E" w:rsidP="00B1147E">
      <w:pPr>
        <w:pStyle w:val="ListParagraph"/>
        <w:numPr>
          <w:ilvl w:val="0"/>
          <w:numId w:val="21"/>
        </w:numPr>
        <w:autoSpaceDE/>
        <w:autoSpaceDN/>
        <w:rPr>
          <w:rFonts w:cs="Arial"/>
          <w:szCs w:val="22"/>
        </w:rPr>
      </w:pPr>
      <w:r w:rsidRPr="006F78B0">
        <w:rPr>
          <w:rFonts w:cs="Arial"/>
          <w:b/>
          <w:bCs/>
          <w:color w:val="222222"/>
          <w:szCs w:val="22"/>
          <w:shd w:val="clear" w:color="auto" w:fill="FFFFFF"/>
        </w:rPr>
        <w:t>Helion, C.,</w:t>
      </w:r>
      <w:r w:rsidRPr="006F78B0">
        <w:rPr>
          <w:rFonts w:cs="Arial"/>
          <w:color w:val="222222"/>
          <w:szCs w:val="22"/>
          <w:shd w:val="clear" w:color="auto" w:fill="FFFFFF"/>
        </w:rPr>
        <w:t xml:space="preserve"> &amp; Gilovich, T. (2014). Gift cards and mental accounting: Green</w:t>
      </w:r>
      <w:r w:rsidRPr="006F78B0">
        <w:rPr>
          <w:rFonts w:ascii="Cambria Math" w:hAnsi="Cambria Math" w:cs="Cambria Math"/>
          <w:color w:val="222222"/>
          <w:szCs w:val="22"/>
          <w:shd w:val="clear" w:color="auto" w:fill="FFFFFF"/>
        </w:rPr>
        <w:t>‐</w:t>
      </w:r>
      <w:r w:rsidRPr="006F78B0">
        <w:rPr>
          <w:rFonts w:cs="Arial"/>
          <w:color w:val="222222"/>
          <w:szCs w:val="22"/>
          <w:shd w:val="clear" w:color="auto" w:fill="FFFFFF"/>
        </w:rPr>
        <w:t>lighting hedonic spending. </w:t>
      </w:r>
      <w:r w:rsidRPr="006F78B0">
        <w:rPr>
          <w:rFonts w:cs="Arial"/>
          <w:i/>
          <w:iCs/>
          <w:color w:val="222222"/>
          <w:szCs w:val="22"/>
          <w:shd w:val="clear" w:color="auto" w:fill="FFFFFF"/>
        </w:rPr>
        <w:t>Journal of Behavioral Decision Making</w:t>
      </w:r>
      <w:r w:rsidRPr="006F78B0">
        <w:rPr>
          <w:rFonts w:cs="Arial"/>
          <w:color w:val="222222"/>
          <w:szCs w:val="22"/>
          <w:shd w:val="clear" w:color="auto" w:fill="FFFFFF"/>
        </w:rPr>
        <w:t>, </w:t>
      </w:r>
      <w:r w:rsidRPr="006F78B0">
        <w:rPr>
          <w:rFonts w:cs="Arial"/>
          <w:i/>
          <w:iCs/>
          <w:color w:val="222222"/>
          <w:szCs w:val="22"/>
          <w:shd w:val="clear" w:color="auto" w:fill="FFFFFF"/>
        </w:rPr>
        <w:t>27</w:t>
      </w:r>
      <w:r w:rsidRPr="006F78B0">
        <w:rPr>
          <w:rFonts w:cs="Arial"/>
          <w:color w:val="222222"/>
          <w:szCs w:val="22"/>
          <w:shd w:val="clear" w:color="auto" w:fill="FFFFFF"/>
        </w:rPr>
        <w:t>(4), 386-393.</w:t>
      </w:r>
    </w:p>
    <w:p w14:paraId="02CC5CDC" w14:textId="538D241D" w:rsidR="00B1147E" w:rsidRPr="0008482B" w:rsidRDefault="002D47EA" w:rsidP="005C2CF8">
      <w:pPr>
        <w:pStyle w:val="ListParagraph"/>
        <w:numPr>
          <w:ilvl w:val="0"/>
          <w:numId w:val="21"/>
        </w:numPr>
        <w:autoSpaceDE/>
        <w:autoSpaceDN/>
        <w:rPr>
          <w:rFonts w:cs="Arial"/>
          <w:szCs w:val="22"/>
        </w:rPr>
      </w:pPr>
      <w:r>
        <w:rPr>
          <w:rFonts w:cs="Arial"/>
          <w:color w:val="222222"/>
          <w:sz w:val="20"/>
          <w:szCs w:val="20"/>
          <w:shd w:val="clear" w:color="auto" w:fill="FFFFFF"/>
        </w:rPr>
        <w:t xml:space="preserve">Ulichney, V.*, Jarcho, J. M., Shipley, T. F., Ham, J.*, &amp; </w:t>
      </w:r>
      <w:r w:rsidRPr="002D47EA">
        <w:rPr>
          <w:rFonts w:cs="Arial"/>
          <w:b/>
          <w:bCs/>
          <w:color w:val="222222"/>
          <w:sz w:val="20"/>
          <w:szCs w:val="20"/>
          <w:shd w:val="clear" w:color="auto" w:fill="FFFFFF"/>
        </w:rPr>
        <w:t>Helion, C.</w:t>
      </w:r>
      <w:r>
        <w:rPr>
          <w:rFonts w:cs="Arial"/>
          <w:color w:val="222222"/>
          <w:sz w:val="20"/>
          <w:szCs w:val="20"/>
          <w:shd w:val="clear" w:color="auto" w:fill="FFFFFF"/>
        </w:rPr>
        <w:t xml:space="preserve"> (2022). Social comparison for concern and action on climate change, racial injustice, and COVID</w:t>
      </w:r>
      <w:r>
        <w:rPr>
          <w:rFonts w:ascii="Cambria Math" w:hAnsi="Cambria Math" w:cs="Cambria Math"/>
          <w:color w:val="222222"/>
          <w:sz w:val="20"/>
          <w:szCs w:val="20"/>
          <w:shd w:val="clear" w:color="auto" w:fill="FFFFFF"/>
        </w:rPr>
        <w:t>‐</w:t>
      </w:r>
      <w:r>
        <w:rPr>
          <w:rFonts w:cs="Arial"/>
          <w:color w:val="222222"/>
          <w:sz w:val="20"/>
          <w:szCs w:val="20"/>
          <w:shd w:val="clear" w:color="auto" w:fill="FFFFFF"/>
        </w:rPr>
        <w:t>19. </w:t>
      </w:r>
      <w:r>
        <w:rPr>
          <w:rFonts w:cs="Arial"/>
          <w:i/>
          <w:iCs/>
          <w:color w:val="222222"/>
          <w:sz w:val="20"/>
          <w:szCs w:val="20"/>
          <w:shd w:val="clear" w:color="auto" w:fill="FFFFFF"/>
        </w:rPr>
        <w:t>Analyses of Social Issues and Public Policy</w:t>
      </w:r>
      <w:r>
        <w:rPr>
          <w:rFonts w:cs="Arial"/>
          <w:color w:val="222222"/>
          <w:sz w:val="20"/>
          <w:szCs w:val="20"/>
          <w:shd w:val="clear" w:color="auto" w:fill="FFFFFF"/>
        </w:rPr>
        <w:t>, </w:t>
      </w:r>
      <w:r>
        <w:rPr>
          <w:rFonts w:cs="Arial"/>
          <w:i/>
          <w:iCs/>
          <w:color w:val="222222"/>
          <w:sz w:val="20"/>
          <w:szCs w:val="20"/>
          <w:shd w:val="clear" w:color="auto" w:fill="FFFFFF"/>
        </w:rPr>
        <w:t>22</w:t>
      </w:r>
      <w:r>
        <w:rPr>
          <w:rFonts w:cs="Arial"/>
          <w:color w:val="222222"/>
          <w:sz w:val="20"/>
          <w:szCs w:val="20"/>
          <w:shd w:val="clear" w:color="auto" w:fill="FFFFFF"/>
        </w:rPr>
        <w:t>(2), 469-489.</w:t>
      </w:r>
    </w:p>
    <w:p w14:paraId="56ECCB84" w14:textId="6F215326" w:rsidR="0008482B" w:rsidRDefault="0008482B" w:rsidP="0008482B">
      <w:pPr>
        <w:pStyle w:val="Subtitle"/>
        <w:rPr>
          <w:rFonts w:cs="Arial"/>
          <w:szCs w:val="22"/>
        </w:rPr>
      </w:pPr>
      <w:r w:rsidRPr="008D1FD5">
        <w:rPr>
          <w:rFonts w:cs="Arial"/>
          <w:szCs w:val="22"/>
        </w:rPr>
        <w:t xml:space="preserve">Complete list of Published work in </w:t>
      </w:r>
      <w:proofErr w:type="spellStart"/>
      <w:r w:rsidRPr="008D1FD5">
        <w:rPr>
          <w:rFonts w:cs="Arial"/>
          <w:szCs w:val="22"/>
        </w:rPr>
        <w:t>MyBibliography</w:t>
      </w:r>
      <w:proofErr w:type="spellEnd"/>
    </w:p>
    <w:p w14:paraId="68AF4061" w14:textId="30AFD6C9" w:rsidR="0008482B" w:rsidRPr="00F52FA8" w:rsidRDefault="00000000" w:rsidP="00F52FA8">
      <w:pPr>
        <w:rPr>
          <w:rStyle w:val="Strong"/>
          <w:b w:val="0"/>
          <w:bCs w:val="0"/>
        </w:rPr>
      </w:pPr>
      <w:hyperlink r:id="rId10" w:history="1">
        <w:r w:rsidR="00F52FA8">
          <w:rPr>
            <w:rStyle w:val="Hyperlink"/>
            <w:rFonts w:ascii="Source Sans Pro" w:hAnsi="Source Sans Pro"/>
            <w:color w:val="376FAA"/>
            <w:sz w:val="23"/>
            <w:szCs w:val="23"/>
            <w:shd w:val="clear" w:color="auto" w:fill="FFFFFF"/>
          </w:rPr>
          <w:t>https://www.ncbi.nlm.nih.gov/myncbi/chelsea.helion.1/bibliography/public/</w:t>
        </w:r>
      </w:hyperlink>
    </w:p>
    <w:sectPr w:rsidR="0008482B" w:rsidRPr="00F52FA8"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C9F5" w14:textId="77777777" w:rsidR="00EE5BAE" w:rsidRDefault="00EE5BAE">
      <w:r>
        <w:separator/>
      </w:r>
    </w:p>
  </w:endnote>
  <w:endnote w:type="continuationSeparator" w:id="0">
    <w:p w14:paraId="2052C10D" w14:textId="77777777" w:rsidR="00EE5BAE" w:rsidRDefault="00EE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E076" w14:textId="77777777" w:rsidR="00EE5BAE" w:rsidRDefault="00EE5BAE">
      <w:r>
        <w:separator/>
      </w:r>
    </w:p>
  </w:footnote>
  <w:footnote w:type="continuationSeparator" w:id="0">
    <w:p w14:paraId="427EE9B4" w14:textId="77777777" w:rsidR="00EE5BAE" w:rsidRDefault="00EE5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334BF4"/>
    <w:multiLevelType w:val="hybridMultilevel"/>
    <w:tmpl w:val="5E6CB930"/>
    <w:lvl w:ilvl="0" w:tplc="B074ED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9EF4F6D"/>
    <w:multiLevelType w:val="hybridMultilevel"/>
    <w:tmpl w:val="EE2A5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75DA7EA5"/>
    <w:multiLevelType w:val="hybridMultilevel"/>
    <w:tmpl w:val="B3E63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32D0"/>
    <w:multiLevelType w:val="hybridMultilevel"/>
    <w:tmpl w:val="EE2A5A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5641609">
    <w:abstractNumId w:val="9"/>
  </w:num>
  <w:num w:numId="2" w16cid:durableId="515968713">
    <w:abstractNumId w:val="7"/>
  </w:num>
  <w:num w:numId="3" w16cid:durableId="83231627">
    <w:abstractNumId w:val="6"/>
  </w:num>
  <w:num w:numId="4" w16cid:durableId="816916589">
    <w:abstractNumId w:val="5"/>
  </w:num>
  <w:num w:numId="5" w16cid:durableId="1301964001">
    <w:abstractNumId w:val="4"/>
  </w:num>
  <w:num w:numId="6" w16cid:durableId="1766610160">
    <w:abstractNumId w:val="8"/>
  </w:num>
  <w:num w:numId="7" w16cid:durableId="2043633412">
    <w:abstractNumId w:val="3"/>
  </w:num>
  <w:num w:numId="8" w16cid:durableId="1436822141">
    <w:abstractNumId w:val="2"/>
  </w:num>
  <w:num w:numId="9" w16cid:durableId="1053196274">
    <w:abstractNumId w:val="1"/>
  </w:num>
  <w:num w:numId="10" w16cid:durableId="1500005732">
    <w:abstractNumId w:val="0"/>
  </w:num>
  <w:num w:numId="11" w16cid:durableId="1755784739">
    <w:abstractNumId w:val="0"/>
  </w:num>
  <w:num w:numId="12" w16cid:durableId="815217700">
    <w:abstractNumId w:val="14"/>
  </w:num>
  <w:num w:numId="13" w16cid:durableId="1259945812">
    <w:abstractNumId w:val="11"/>
  </w:num>
  <w:num w:numId="14" w16cid:durableId="800345241">
    <w:abstractNumId w:val="18"/>
  </w:num>
  <w:num w:numId="15" w16cid:durableId="677119730">
    <w:abstractNumId w:val="16"/>
  </w:num>
  <w:num w:numId="16" w16cid:durableId="769475995">
    <w:abstractNumId w:val="17"/>
  </w:num>
  <w:num w:numId="17" w16cid:durableId="1267810775">
    <w:abstractNumId w:val="10"/>
  </w:num>
  <w:num w:numId="18" w16cid:durableId="1260945016">
    <w:abstractNumId w:val="12"/>
  </w:num>
  <w:num w:numId="19" w16cid:durableId="2145656312">
    <w:abstractNumId w:val="13"/>
  </w:num>
  <w:num w:numId="20" w16cid:durableId="410200334">
    <w:abstractNumId w:val="15"/>
  </w:num>
  <w:num w:numId="21" w16cid:durableId="530804009">
    <w:abstractNumId w:val="19"/>
  </w:num>
  <w:num w:numId="22" w16cid:durableId="4783081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8482B"/>
    <w:rsid w:val="000C39FC"/>
    <w:rsid w:val="000E3BEC"/>
    <w:rsid w:val="000F0081"/>
    <w:rsid w:val="00122EB3"/>
    <w:rsid w:val="00132CA6"/>
    <w:rsid w:val="0013512A"/>
    <w:rsid w:val="0014571A"/>
    <w:rsid w:val="00161028"/>
    <w:rsid w:val="00170D87"/>
    <w:rsid w:val="00177D49"/>
    <w:rsid w:val="00183022"/>
    <w:rsid w:val="001C065C"/>
    <w:rsid w:val="001C50AC"/>
    <w:rsid w:val="001F5256"/>
    <w:rsid w:val="002506F6"/>
    <w:rsid w:val="0027134C"/>
    <w:rsid w:val="0028051C"/>
    <w:rsid w:val="002A70D9"/>
    <w:rsid w:val="002B7443"/>
    <w:rsid w:val="002B7CC6"/>
    <w:rsid w:val="002C4808"/>
    <w:rsid w:val="002C51BC"/>
    <w:rsid w:val="002D47EA"/>
    <w:rsid w:val="002D7520"/>
    <w:rsid w:val="002E03D3"/>
    <w:rsid w:val="002E2CA2"/>
    <w:rsid w:val="002E5125"/>
    <w:rsid w:val="002F126D"/>
    <w:rsid w:val="003018B3"/>
    <w:rsid w:val="00307C9E"/>
    <w:rsid w:val="00321A19"/>
    <w:rsid w:val="00326D66"/>
    <w:rsid w:val="0035045F"/>
    <w:rsid w:val="003641B1"/>
    <w:rsid w:val="00371526"/>
    <w:rsid w:val="0037667F"/>
    <w:rsid w:val="00376E34"/>
    <w:rsid w:val="00377983"/>
    <w:rsid w:val="00382AB6"/>
    <w:rsid w:val="00383712"/>
    <w:rsid w:val="003C2647"/>
    <w:rsid w:val="003C3CA5"/>
    <w:rsid w:val="003C4404"/>
    <w:rsid w:val="003C62D6"/>
    <w:rsid w:val="003D051C"/>
    <w:rsid w:val="003D2399"/>
    <w:rsid w:val="003D293D"/>
    <w:rsid w:val="003E4A92"/>
    <w:rsid w:val="003F6A45"/>
    <w:rsid w:val="0040289D"/>
    <w:rsid w:val="00406FF6"/>
    <w:rsid w:val="00432346"/>
    <w:rsid w:val="004441DF"/>
    <w:rsid w:val="00444740"/>
    <w:rsid w:val="00447F3A"/>
    <w:rsid w:val="004759D9"/>
    <w:rsid w:val="0049068A"/>
    <w:rsid w:val="00493D23"/>
    <w:rsid w:val="004A3FC8"/>
    <w:rsid w:val="004D0A44"/>
    <w:rsid w:val="00503B57"/>
    <w:rsid w:val="00512F95"/>
    <w:rsid w:val="005145BB"/>
    <w:rsid w:val="00517BFD"/>
    <w:rsid w:val="00525BCC"/>
    <w:rsid w:val="0054471F"/>
    <w:rsid w:val="00545815"/>
    <w:rsid w:val="005461F3"/>
    <w:rsid w:val="00547118"/>
    <w:rsid w:val="00547AC9"/>
    <w:rsid w:val="00592550"/>
    <w:rsid w:val="00592740"/>
    <w:rsid w:val="005A7F6F"/>
    <w:rsid w:val="005C2BDD"/>
    <w:rsid w:val="005C2CF8"/>
    <w:rsid w:val="005C47A8"/>
    <w:rsid w:val="005E406E"/>
    <w:rsid w:val="005F0B12"/>
    <w:rsid w:val="005F5F51"/>
    <w:rsid w:val="00601C69"/>
    <w:rsid w:val="00616BCC"/>
    <w:rsid w:val="00624261"/>
    <w:rsid w:val="00626A54"/>
    <w:rsid w:val="00635C6D"/>
    <w:rsid w:val="00646AF9"/>
    <w:rsid w:val="00654794"/>
    <w:rsid w:val="00656AB8"/>
    <w:rsid w:val="006609B6"/>
    <w:rsid w:val="0068699D"/>
    <w:rsid w:val="0069154F"/>
    <w:rsid w:val="006A353C"/>
    <w:rsid w:val="006A56FC"/>
    <w:rsid w:val="006B2D1C"/>
    <w:rsid w:val="006C02C8"/>
    <w:rsid w:val="006C1E1F"/>
    <w:rsid w:val="006E6FB5"/>
    <w:rsid w:val="006F78B0"/>
    <w:rsid w:val="007050F5"/>
    <w:rsid w:val="0071140F"/>
    <w:rsid w:val="00722C8F"/>
    <w:rsid w:val="00763DE9"/>
    <w:rsid w:val="0077760F"/>
    <w:rsid w:val="00781234"/>
    <w:rsid w:val="0078713E"/>
    <w:rsid w:val="007B2F9D"/>
    <w:rsid w:val="007B7AF3"/>
    <w:rsid w:val="007E6E1E"/>
    <w:rsid w:val="00800A6A"/>
    <w:rsid w:val="008073EB"/>
    <w:rsid w:val="00843027"/>
    <w:rsid w:val="00873917"/>
    <w:rsid w:val="00874EBC"/>
    <w:rsid w:val="0087514A"/>
    <w:rsid w:val="00890CA9"/>
    <w:rsid w:val="008B333E"/>
    <w:rsid w:val="008B6BFE"/>
    <w:rsid w:val="009211D3"/>
    <w:rsid w:val="00933173"/>
    <w:rsid w:val="00934124"/>
    <w:rsid w:val="00952A27"/>
    <w:rsid w:val="00977FA5"/>
    <w:rsid w:val="009D7E97"/>
    <w:rsid w:val="009E2F62"/>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AF2EE6"/>
    <w:rsid w:val="00B1147E"/>
    <w:rsid w:val="00B140D6"/>
    <w:rsid w:val="00BC25D7"/>
    <w:rsid w:val="00C05C55"/>
    <w:rsid w:val="00C076C6"/>
    <w:rsid w:val="00C1247F"/>
    <w:rsid w:val="00C137DA"/>
    <w:rsid w:val="00C20F69"/>
    <w:rsid w:val="00C3113F"/>
    <w:rsid w:val="00C4533D"/>
    <w:rsid w:val="00C4536F"/>
    <w:rsid w:val="00C46ADA"/>
    <w:rsid w:val="00C617A9"/>
    <w:rsid w:val="00C8438D"/>
    <w:rsid w:val="00C85025"/>
    <w:rsid w:val="00C918BD"/>
    <w:rsid w:val="00C94E59"/>
    <w:rsid w:val="00CA680A"/>
    <w:rsid w:val="00CA726D"/>
    <w:rsid w:val="00CE0951"/>
    <w:rsid w:val="00CF68A2"/>
    <w:rsid w:val="00D0356E"/>
    <w:rsid w:val="00D13791"/>
    <w:rsid w:val="00D3779E"/>
    <w:rsid w:val="00D679E5"/>
    <w:rsid w:val="00D74391"/>
    <w:rsid w:val="00D83360"/>
    <w:rsid w:val="00D8532A"/>
    <w:rsid w:val="00DB7B85"/>
    <w:rsid w:val="00DD31B4"/>
    <w:rsid w:val="00DE3E83"/>
    <w:rsid w:val="00DF7645"/>
    <w:rsid w:val="00E01B15"/>
    <w:rsid w:val="00E03323"/>
    <w:rsid w:val="00E047AD"/>
    <w:rsid w:val="00E12287"/>
    <w:rsid w:val="00E127A1"/>
    <w:rsid w:val="00E16ABD"/>
    <w:rsid w:val="00E20E6D"/>
    <w:rsid w:val="00E355C2"/>
    <w:rsid w:val="00E53B95"/>
    <w:rsid w:val="00E6071B"/>
    <w:rsid w:val="00E67A05"/>
    <w:rsid w:val="00E7188B"/>
    <w:rsid w:val="00E74AB7"/>
    <w:rsid w:val="00E81FE1"/>
    <w:rsid w:val="00E90203"/>
    <w:rsid w:val="00EA0405"/>
    <w:rsid w:val="00ED35D7"/>
    <w:rsid w:val="00ED61AB"/>
    <w:rsid w:val="00EE5BAE"/>
    <w:rsid w:val="00EF4C32"/>
    <w:rsid w:val="00EF69CD"/>
    <w:rsid w:val="00F02126"/>
    <w:rsid w:val="00F03B10"/>
    <w:rsid w:val="00F07AB3"/>
    <w:rsid w:val="00F1780C"/>
    <w:rsid w:val="00F17EA5"/>
    <w:rsid w:val="00F262AB"/>
    <w:rsid w:val="00F27C10"/>
    <w:rsid w:val="00F51758"/>
    <w:rsid w:val="00F52FA8"/>
    <w:rsid w:val="00F64D49"/>
    <w:rsid w:val="00F67E56"/>
    <w:rsid w:val="00F7284D"/>
    <w:rsid w:val="00F843EE"/>
    <w:rsid w:val="00F94A2B"/>
    <w:rsid w:val="00FA00C6"/>
    <w:rsid w:val="00FB32E0"/>
    <w:rsid w:val="00FC5F9E"/>
    <w:rsid w:val="00FE10AD"/>
    <w:rsid w:val="00FE52B9"/>
    <w:rsid w:val="00FE5526"/>
    <w:rsid w:val="00FE7A5F"/>
    <w:rsid w:val="00FF1D5B"/>
    <w:rsid w:val="00FF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F3698"/>
    <w:pPr>
      <w:ind w:left="720"/>
      <w:contextualSpacing/>
    </w:pPr>
  </w:style>
  <w:style w:type="character" w:customStyle="1" w:styleId="apple-converted-space">
    <w:name w:val="apple-converted-space"/>
    <w:basedOn w:val="DefaultParagraphFont"/>
    <w:rsid w:val="003D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0365">
      <w:bodyDiv w:val="1"/>
      <w:marLeft w:val="0"/>
      <w:marRight w:val="0"/>
      <w:marTop w:val="0"/>
      <w:marBottom w:val="0"/>
      <w:divBdr>
        <w:top w:val="none" w:sz="0" w:space="0" w:color="auto"/>
        <w:left w:val="none" w:sz="0" w:space="0" w:color="auto"/>
        <w:bottom w:val="none" w:sz="0" w:space="0" w:color="auto"/>
        <w:right w:val="none" w:sz="0" w:space="0" w:color="auto"/>
      </w:divBdr>
    </w:div>
    <w:div w:id="385110051">
      <w:bodyDiv w:val="1"/>
      <w:marLeft w:val="0"/>
      <w:marRight w:val="0"/>
      <w:marTop w:val="0"/>
      <w:marBottom w:val="0"/>
      <w:divBdr>
        <w:top w:val="none" w:sz="0" w:space="0" w:color="auto"/>
        <w:left w:val="none" w:sz="0" w:space="0" w:color="auto"/>
        <w:bottom w:val="none" w:sz="0" w:space="0" w:color="auto"/>
        <w:right w:val="none" w:sz="0" w:space="0" w:color="auto"/>
      </w:divBdr>
    </w:div>
    <w:div w:id="543949176">
      <w:bodyDiv w:val="1"/>
      <w:marLeft w:val="0"/>
      <w:marRight w:val="0"/>
      <w:marTop w:val="0"/>
      <w:marBottom w:val="0"/>
      <w:divBdr>
        <w:top w:val="none" w:sz="0" w:space="0" w:color="auto"/>
        <w:left w:val="none" w:sz="0" w:space="0" w:color="auto"/>
        <w:bottom w:val="none" w:sz="0" w:space="0" w:color="auto"/>
        <w:right w:val="none" w:sz="0" w:space="0" w:color="auto"/>
      </w:divBdr>
    </w:div>
    <w:div w:id="788160942">
      <w:bodyDiv w:val="1"/>
      <w:marLeft w:val="0"/>
      <w:marRight w:val="0"/>
      <w:marTop w:val="0"/>
      <w:marBottom w:val="0"/>
      <w:divBdr>
        <w:top w:val="none" w:sz="0" w:space="0" w:color="auto"/>
        <w:left w:val="none" w:sz="0" w:space="0" w:color="auto"/>
        <w:bottom w:val="none" w:sz="0" w:space="0" w:color="auto"/>
        <w:right w:val="none" w:sz="0" w:space="0" w:color="auto"/>
      </w:divBdr>
      <w:divsChild>
        <w:div w:id="1285697265">
          <w:marLeft w:val="0"/>
          <w:marRight w:val="0"/>
          <w:marTop w:val="0"/>
          <w:marBottom w:val="0"/>
          <w:divBdr>
            <w:top w:val="none" w:sz="0" w:space="0" w:color="auto"/>
            <w:left w:val="none" w:sz="0" w:space="0" w:color="auto"/>
            <w:bottom w:val="none" w:sz="0" w:space="0" w:color="auto"/>
            <w:right w:val="none" w:sz="0" w:space="0" w:color="auto"/>
          </w:divBdr>
          <w:divsChild>
            <w:div w:id="1078671602">
              <w:marLeft w:val="0"/>
              <w:marRight w:val="0"/>
              <w:marTop w:val="0"/>
              <w:marBottom w:val="0"/>
              <w:divBdr>
                <w:top w:val="none" w:sz="0" w:space="0" w:color="auto"/>
                <w:left w:val="none" w:sz="0" w:space="0" w:color="auto"/>
                <w:bottom w:val="none" w:sz="0" w:space="0" w:color="auto"/>
                <w:right w:val="none" w:sz="0" w:space="0" w:color="auto"/>
              </w:divBdr>
              <w:divsChild>
                <w:div w:id="831529157">
                  <w:marLeft w:val="0"/>
                  <w:marRight w:val="0"/>
                  <w:marTop w:val="0"/>
                  <w:marBottom w:val="0"/>
                  <w:divBdr>
                    <w:top w:val="none" w:sz="0" w:space="0" w:color="auto"/>
                    <w:left w:val="none" w:sz="0" w:space="0" w:color="auto"/>
                    <w:bottom w:val="none" w:sz="0" w:space="0" w:color="auto"/>
                    <w:right w:val="none" w:sz="0" w:space="0" w:color="auto"/>
                  </w:divBdr>
                </w:div>
              </w:divsChild>
            </w:div>
            <w:div w:id="1827162546">
              <w:marLeft w:val="0"/>
              <w:marRight w:val="0"/>
              <w:marTop w:val="0"/>
              <w:marBottom w:val="0"/>
              <w:divBdr>
                <w:top w:val="none" w:sz="0" w:space="0" w:color="auto"/>
                <w:left w:val="none" w:sz="0" w:space="0" w:color="auto"/>
                <w:bottom w:val="none" w:sz="0" w:space="0" w:color="auto"/>
                <w:right w:val="none" w:sz="0" w:space="0" w:color="auto"/>
              </w:divBdr>
              <w:divsChild>
                <w:div w:id="617491711">
                  <w:marLeft w:val="0"/>
                  <w:marRight w:val="0"/>
                  <w:marTop w:val="0"/>
                  <w:marBottom w:val="0"/>
                  <w:divBdr>
                    <w:top w:val="none" w:sz="0" w:space="0" w:color="auto"/>
                    <w:left w:val="none" w:sz="0" w:space="0" w:color="auto"/>
                    <w:bottom w:val="none" w:sz="0" w:space="0" w:color="auto"/>
                    <w:right w:val="none" w:sz="0" w:space="0" w:color="auto"/>
                  </w:divBdr>
                </w:div>
                <w:div w:id="1458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7759">
          <w:marLeft w:val="0"/>
          <w:marRight w:val="0"/>
          <w:marTop w:val="0"/>
          <w:marBottom w:val="0"/>
          <w:divBdr>
            <w:top w:val="none" w:sz="0" w:space="0" w:color="auto"/>
            <w:left w:val="none" w:sz="0" w:space="0" w:color="auto"/>
            <w:bottom w:val="none" w:sz="0" w:space="0" w:color="auto"/>
            <w:right w:val="none" w:sz="0" w:space="0" w:color="auto"/>
          </w:divBdr>
          <w:divsChild>
            <w:div w:id="853424426">
              <w:marLeft w:val="0"/>
              <w:marRight w:val="0"/>
              <w:marTop w:val="0"/>
              <w:marBottom w:val="0"/>
              <w:divBdr>
                <w:top w:val="none" w:sz="0" w:space="0" w:color="auto"/>
                <w:left w:val="none" w:sz="0" w:space="0" w:color="auto"/>
                <w:bottom w:val="none" w:sz="0" w:space="0" w:color="auto"/>
                <w:right w:val="none" w:sz="0" w:space="0" w:color="auto"/>
              </w:divBdr>
              <w:divsChild>
                <w:div w:id="16318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6349">
      <w:bodyDiv w:val="1"/>
      <w:marLeft w:val="0"/>
      <w:marRight w:val="0"/>
      <w:marTop w:val="0"/>
      <w:marBottom w:val="0"/>
      <w:divBdr>
        <w:top w:val="none" w:sz="0" w:space="0" w:color="auto"/>
        <w:left w:val="none" w:sz="0" w:space="0" w:color="auto"/>
        <w:bottom w:val="none" w:sz="0" w:space="0" w:color="auto"/>
        <w:right w:val="none" w:sz="0" w:space="0" w:color="auto"/>
      </w:divBdr>
    </w:div>
    <w:div w:id="1297299182">
      <w:bodyDiv w:val="1"/>
      <w:marLeft w:val="0"/>
      <w:marRight w:val="0"/>
      <w:marTop w:val="0"/>
      <w:marBottom w:val="0"/>
      <w:divBdr>
        <w:top w:val="none" w:sz="0" w:space="0" w:color="auto"/>
        <w:left w:val="none" w:sz="0" w:space="0" w:color="auto"/>
        <w:bottom w:val="none" w:sz="0" w:space="0" w:color="auto"/>
        <w:right w:val="none" w:sz="0" w:space="0" w:color="auto"/>
      </w:divBdr>
    </w:div>
    <w:div w:id="1487285290">
      <w:bodyDiv w:val="1"/>
      <w:marLeft w:val="0"/>
      <w:marRight w:val="0"/>
      <w:marTop w:val="0"/>
      <w:marBottom w:val="0"/>
      <w:divBdr>
        <w:top w:val="none" w:sz="0" w:space="0" w:color="auto"/>
        <w:left w:val="none" w:sz="0" w:space="0" w:color="auto"/>
        <w:bottom w:val="none" w:sz="0" w:space="0" w:color="auto"/>
        <w:right w:val="none" w:sz="0" w:space="0" w:color="auto"/>
      </w:divBdr>
    </w:div>
    <w:div w:id="1536773983">
      <w:bodyDiv w:val="1"/>
      <w:marLeft w:val="0"/>
      <w:marRight w:val="0"/>
      <w:marTop w:val="0"/>
      <w:marBottom w:val="0"/>
      <w:divBdr>
        <w:top w:val="none" w:sz="0" w:space="0" w:color="auto"/>
        <w:left w:val="none" w:sz="0" w:space="0" w:color="auto"/>
        <w:bottom w:val="none" w:sz="0" w:space="0" w:color="auto"/>
        <w:right w:val="none" w:sz="0" w:space="0" w:color="auto"/>
      </w:divBdr>
    </w:div>
    <w:div w:id="1556044259">
      <w:bodyDiv w:val="1"/>
      <w:marLeft w:val="0"/>
      <w:marRight w:val="0"/>
      <w:marTop w:val="0"/>
      <w:marBottom w:val="0"/>
      <w:divBdr>
        <w:top w:val="none" w:sz="0" w:space="0" w:color="auto"/>
        <w:left w:val="none" w:sz="0" w:space="0" w:color="auto"/>
        <w:bottom w:val="none" w:sz="0" w:space="0" w:color="auto"/>
        <w:right w:val="none" w:sz="0" w:space="0" w:color="auto"/>
      </w:divBdr>
      <w:divsChild>
        <w:div w:id="1140655130">
          <w:marLeft w:val="0"/>
          <w:marRight w:val="0"/>
          <w:marTop w:val="0"/>
          <w:marBottom w:val="0"/>
          <w:divBdr>
            <w:top w:val="none" w:sz="0" w:space="0" w:color="auto"/>
            <w:left w:val="none" w:sz="0" w:space="0" w:color="auto"/>
            <w:bottom w:val="none" w:sz="0" w:space="0" w:color="auto"/>
            <w:right w:val="none" w:sz="0" w:space="0" w:color="auto"/>
          </w:divBdr>
        </w:div>
      </w:divsChild>
    </w:div>
    <w:div w:id="1697341506">
      <w:bodyDiv w:val="1"/>
      <w:marLeft w:val="0"/>
      <w:marRight w:val="0"/>
      <w:marTop w:val="0"/>
      <w:marBottom w:val="0"/>
      <w:divBdr>
        <w:top w:val="none" w:sz="0" w:space="0" w:color="auto"/>
        <w:left w:val="none" w:sz="0" w:space="0" w:color="auto"/>
        <w:bottom w:val="none" w:sz="0" w:space="0" w:color="auto"/>
        <w:right w:val="none" w:sz="0" w:space="0" w:color="auto"/>
      </w:divBdr>
      <w:divsChild>
        <w:div w:id="1342470554">
          <w:marLeft w:val="0"/>
          <w:marRight w:val="0"/>
          <w:marTop w:val="0"/>
          <w:marBottom w:val="0"/>
          <w:divBdr>
            <w:top w:val="none" w:sz="0" w:space="0" w:color="auto"/>
            <w:left w:val="none" w:sz="0" w:space="0" w:color="auto"/>
            <w:bottom w:val="none" w:sz="0" w:space="0" w:color="auto"/>
            <w:right w:val="none" w:sz="0" w:space="0" w:color="auto"/>
          </w:divBdr>
        </w:div>
      </w:divsChild>
    </w:div>
    <w:div w:id="2112627255">
      <w:bodyDiv w:val="1"/>
      <w:marLeft w:val="0"/>
      <w:marRight w:val="0"/>
      <w:marTop w:val="0"/>
      <w:marBottom w:val="0"/>
      <w:divBdr>
        <w:top w:val="none" w:sz="0" w:space="0" w:color="auto"/>
        <w:left w:val="none" w:sz="0" w:space="0" w:color="auto"/>
        <w:bottom w:val="none" w:sz="0" w:space="0" w:color="auto"/>
        <w:right w:val="none" w:sz="0" w:space="0" w:color="auto"/>
      </w:divBdr>
    </w:div>
    <w:div w:id="21446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cbi.nlm.nih.gov/myncbi/chelsea.helion.1/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12037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4</cp:revision>
  <cp:lastPrinted>2011-03-11T19:43:00Z</cp:lastPrinted>
  <dcterms:created xsi:type="dcterms:W3CDTF">2023-04-04T00:59:00Z</dcterms:created>
  <dcterms:modified xsi:type="dcterms:W3CDTF">2023-11-30T03:06:00Z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