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b/>
          <w:sz w:val="36"/>
        </w:rPr>
        <w:t>400万资产配置方案（优化版）</w:t>
      </w:r>
    </w:p>
    <w:p>
      <w:pPr>
        <w:jc w:val="center"/>
      </w:pPr>
      <w:r>
        <w:rPr>
          <w:rFonts w:ascii="楷体" w:hAnsi="楷体" w:eastAsia="楷体"/>
          <w:b w:val="0"/>
          <w:sz w:val="24"/>
        </w:rPr>
        <w:t>基于风险评估与压力测试的改进方案</w:t>
      </w:r>
    </w:p>
    <w:p/>
    <w:p>
      <w:pPr>
        <w:pStyle w:val="Heading1"/>
      </w:pPr>
      <w:r>
        <w:rPr>
          <w:rFonts w:ascii="黑体" w:hAnsi="黑体" w:eastAsia="黑体"/>
          <w:b/>
          <w:sz w:val="28"/>
        </w:rPr>
        <w:t>一、方案概述</w:t>
      </w:r>
    </w:p>
    <w:p>
      <w:r>
        <w:t>本方案基于2020-2025年回测优化（详见投资纪要），仓位权重保持原方案不变，对止盈、止损、再平衡规则进行简化优化。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二、资产配置总表（保持原方案权重）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资产类别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具体标的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代码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权重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金额(万)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A股大盘蓝筹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华泰柏瑞沪深300ETF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510300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15%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75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A股科创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科创50ETF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588050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A股创业板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易方达创业板ETF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159915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A股防御底仓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华泰柏瑞红利低波ETF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512890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混合资产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可转债ETF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511380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10%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长久期利率债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国泰上证10年期国债ETF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511260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10%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中短端国债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国泰上证5年期国债ETF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511010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10%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短久期信用债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海富通中证短融ETF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511360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贵金属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华安黄金ETF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518880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15%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75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合计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100%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400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sz w:val="28"/>
        </w:rPr>
        <w:t>三、本次优化内容说明</w:t>
      </w:r>
    </w:p>
    <w:p>
      <w:r>
        <w:rPr>
          <w:rFonts w:ascii="宋体" w:hAnsi="宋体" w:eastAsia="宋体"/>
          <w:b w:val="0"/>
          <w:sz w:val="21"/>
        </w:rPr>
        <w:t>以下4项为本次优化调整内容，其余保持原方案不变：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1. 黄金建仓策略优化</w:t>
      </w:r>
    </w:p>
    <w:p>
      <w:r>
        <w:rPr>
          <w:rFonts w:ascii="宋体" w:hAnsi="宋体" w:eastAsia="宋体"/>
          <w:b w:val="0"/>
          <w:sz w:val="21"/>
        </w:rPr>
        <w:t>• 取消固定价格倒金字塔（原9.5/9/8.5/7.5）</w:t>
        <w:br/>
        <w:t>• 改为：底仓5%（25万）立即建立 + 剩余10%（50万）分12个月定投</w:t>
        <w:br/>
        <w:t>• 加码规则：若单月大跌超5%，额外加码5万</w:t>
        <w:br/>
        <w:t>• 理由：避免资金长期闲置，降低择时风险</w:t>
      </w:r>
    </w:p>
    <w:p>
      <w:pPr>
        <w:pStyle w:val="Heading2"/>
      </w:pPr>
      <w:r>
        <w:t>2. 止盈规则简化</w:t>
      </w:r>
    </w:p>
    <w:p>
      <w:r>
        <w:t>• 从阶梯三档（7%/9%/12%）改为单档+20%卖半</w:t>
        <w:br/>
        <w:t>• 避免频繁止盈打断主升浪（2024-2025年黄金/创业板大涨验证）</w:t>
        <w:br/>
        <w:t>• 止盈资金买入511360短融ETF，不临时再配置到其他品种</w:t>
      </w:r>
    </w:p>
    <w:p>
      <w:pPr>
        <w:pStyle w:val="Heading2"/>
      </w:pPr>
      <w:r>
        <w:t>3. 止损规则统一</w:t>
      </w:r>
    </w:p>
    <w:p>
      <w:r>
        <w:t>• 所有权益品种（含科创50/创业板）统一：-15%清仓</w:t>
        <w:br/>
        <w:t>• 取消高波动品种专用止损阶梯（原-5%/-15%）</w:t>
        <w:br/>
        <w:t>• 取消动态止损预警（价格跌破20日均线等）</w:t>
        <w:br/>
        <w:t>• 清仓后观察期从40个交易日缩短至20个交易日</w:t>
      </w:r>
    </w:p>
    <w:p>
      <w:pPr>
        <w:pStyle w:val="Heading2"/>
      </w:pPr>
      <w:r>
        <w:t>4. 再平衡频率优化</w:t>
      </w:r>
    </w:p>
    <w:p>
      <w:r>
        <w:t>• 从半年度改为年度执行（12月末最后一个交易日）</w:t>
        <w:br/>
        <w:t>• 阀值保持±20%相对偏离不变</w:t>
        <w:br/>
        <w:t>• 取消估值再平衡（沪深300 PE分位判断）</w:t>
        <w:br/>
        <w:t>• 理由：减少不必要交易，让利润充分奔跑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四、黄金建仓配套规则（优化版）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4.1 黄金ETF（518880）建仓执行表（定投+大跌加码）75万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阶段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触发条件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单次投入(万)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累计投入(万)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仓位进度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底仓先行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立即执行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33%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定投阶段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每月固定投入（第2-12月）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4.5万/月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25-70万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33%-93%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大跌加码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单月跌幅超5%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5万/次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累计不超过75万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灵活补充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收官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12个月定投完成或累计达75万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补齐剩余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75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100%</w:t>
            </w:r>
          </w:p>
        </w:tc>
      </w:tr>
    </w:tbl>
    <w:p>
      <w:r>
        <w:rPr>
          <w:rFonts w:ascii="宋体" w:hAnsi="宋体" w:eastAsia="宋体"/>
          <w:b w:val="0"/>
          <w:sz w:val="21"/>
        </w:rPr>
        <w:t>配套规则：</w:t>
        <w:br/>
        <w:t>1. 时间强制轨道：若连续3个月未触发大跌加码，第4个月强制加仓4.5万</w:t>
        <w:br/>
        <w:t>2. 右侧修正：若金价向上突破前期高点且连续5日站稳，可将剩余未投金额一次性追入</w:t>
        <w:br/>
        <w:t>3. 硬止损：若金价跌破建仓成本的20%且连续两周收盘低于该水平，暂停加仓计划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五、核心风控纪律（优化版）</w:t>
      </w:r>
    </w:p>
    <w:p>
      <w:pPr>
        <w:pStyle w:val="Heading2"/>
      </w:pPr>
      <w:r>
        <w:t>5.1 单档止盈纪律（+20%卖半）</w:t>
      </w:r>
    </w:p>
    <w:p>
      <w:r>
        <w:t>适用标的：510300、588050、159915、512890、511380</w:t>
        <w:br/>
        <w:t>不适用：511260、511010、511360（债底不触发止盈）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档位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浮盈阈值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触发条件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减仓比例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该档锁定规则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第一档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&gt;= +7%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成本价 x 1.07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每档仅触发一次，触发后标记"已兑现"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第二档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&gt;= +9%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成本价 x 1.09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30%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同上（累计已减50%）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第三档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&gt;= +12%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成本价 x 1.12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剩余全部100%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清仓止盈，本品种本轮交易结束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r>
        <w:t>【优化】取消原有三档阶梯止盈（7%/9%/12%），改为单档+20%卖半。理由：回测显示阶梯止盈在2024-2025年结构性牛市中频繁触发，对权益品种过早止盈清仓，错失主升浪。黄金已从止盈/止损规则中移除，作为长期配置持有。</w:t>
      </w:r>
    </w:p>
    <w:p>
      <w:r>
        <w:t>关键执行细则：</w:t>
        <w:br/>
        <w:t>1. 成本基准：以券商系统显示的移动加权持仓成本价为唯一准绳</w:t>
        <w:br/>
        <w:t>2. 仅触发一次：一旦执行，标记[已兑现]，该品种重新建仓后方可再次触发</w:t>
        <w:br/>
        <w:t>3. 止盈资金：买入511360短融ETF，不临时再配置到其他品种</w:t>
        <w:br/>
        <w:t>4. 特殊处理：若单日暴涨跳过+20%档位，直接执行50%卖出</w:t>
      </w:r>
    </w:p>
    <w:p>
      <w:pPr>
        <w:pStyle w:val="Heading2"/>
      </w:pPr>
      <w:r>
        <w:t>5.2 统一止损纪律（-15%清仓，观察20日）</w:t>
      </w:r>
    </w:p>
    <w:p>
      <w:r>
        <w:t>适用标的：510300、588050、159915、512890、511380</w:t>
        <w:br/>
        <w:t>不适用：511260、511010、511360（债底不止损）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档位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浮亏阈值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次日执行动作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减仓后状态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预警线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&gt;= -5%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记录台账，暂停对该品种任何新增买入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保持仓位，进入观察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止损A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&gt;= -10%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次日开盘市价卖出 50% 持仓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剩余仓位12.5万（若原25万）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止损B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&gt;= -15%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次日开盘市价卖出 剩余全部100%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彻底清仓，观察20个交易日后评估重建</w:t>
            </w:r>
          </w:p>
        </w:tc>
      </w:tr>
    </w:tbl>
    <w:p>
      <w:r>
        <w:t>【优化】取消高波动品种专用止损规则（原科创50/创业板专用），所有权益品种统一执行-15%止损。清仓后观察期从40个交易日缩短至20个交易日（约1个自然月）。回测显示：40日观察期过长，频繁错过反弹（2022年3月止损后40日重建，错过4-6月+12%反弹）。</w:t>
      </w:r>
    </w:p>
    <w:p>
      <w:pPr>
        <w:pStyle w:val="Heading2"/>
      </w:pPr>
      <w:r>
        <w:t>5.3 组合层面回撤熔断机制</w:t>
      </w:r>
    </w:p>
    <w:p>
      <w:r>
        <w:t>保持原有熔断四级不变：</w:t>
        <w:br/>
        <w:t>• 绿色 &lt; -5%：正常波动</w:t>
        <w:br/>
        <w:t>• 黄色 &gt;= -10%：组合预警，暂停新建仓</w:t>
        <w:br/>
        <w:t>• 红色 &gt;= -12%：权益压至60%以下</w:t>
        <w:br/>
        <w:t>• 黑天鹅 &gt;= -15%：权益压至40%以下</w:t>
      </w:r>
    </w:p>
    <w:p>
      <w:pPr>
        <w:pStyle w:val="Heading2"/>
      </w:pPr>
      <w:r>
        <w:t>5.4 组合再平衡纪律（年度末 ±20% 阀值）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偏离程度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阈值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执行动作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完成时限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预警线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（取消预警线）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记录台账，加强观察，准备资金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不强制操作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触发线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±20个百分点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强制卖出超配部分，买入低配部分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触发后次日起2个交易日内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紧急线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（取消紧急线）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无论是否到检查日，次日必须完成纠偏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次日收盘前必须完成</w:t>
            </w:r>
          </w:p>
        </w:tc>
      </w:tr>
    </w:tbl>
    <w:p>
      <w:r>
        <w:t>【优化】再平衡频率从半年度（6月+12月）改为年度（仅12月末）。取消估值再平衡规则（沪深300 PE分位判断）。回测显示：年度再平衡比半年度收益更高（CAGR 6.66% vs 5.74%），且交易更少。</w:t>
      </w:r>
    </w:p>
    <w:p>
      <w:r>
        <w:t>再平衡执行SOP：</w:t>
        <w:br/>
        <w:t>Step 1：确定偏离 - 计算每只标的当前市值/组合总市值，与目标权重对比</w:t>
        <w:br/>
        <w:t>Step 2：若任一品种相对偏离超过±20%，执行全仓再平衡</w:t>
        <w:br/>
        <w:t>Step 3：卖出超配品种，买入低配品种，调回目标权重</w:t>
        <w:br/>
        <w:t>Step 4：剩余现金买入511360短融ETF</w:t>
        <w:br/>
        <w:t>卖出排序：518880（黄金）&gt; 588050/159915（卫星）&gt; 511380（可转债）&gt; 510300（沪深300）&gt; 512890（红利低波）</w:t>
      </w:r>
    </w:p>
    <w:p>
      <w:pPr>
        <w:pStyle w:val="Heading2"/>
      </w:pP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档位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组合回撤幅度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触发状态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强制动作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绿色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&lt; -5%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正常波动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维持所有既有纪律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黄色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&gt;= -10%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组合预警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暂停一切新建仓；暂停任何"追涨"操作；仅允许执行止盈/止损/再平衡被动操作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红色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&gt;= -12%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组合熔断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强制降仓：将权益类（A股ETF+可转债+黄金）总权重压降至不超过60%（即至少卖出20%的权益类资产），所得资金全部转入511260/511010/货币ETF</w:t>
            </w:r>
          </w:p>
        </w:tc>
      </w:tr>
    </w:tbl>
    <w:p>
      <w:pPr>
        <w:pStyle w:val="Heading2"/>
      </w:pPr>
      <w:r/>
    </w:p>
    <w:p>
      <w:r/>
    </w:p>
    <w:p>
      <w:pPr>
        <w:pStyle w:val="Heading2"/>
      </w:pPr>
      <w:r>
        <w:rPr>
          <w:rFonts w:ascii="黑体" w:hAnsi="黑体" w:eastAsia="黑体"/>
          <w:b/>
          <w:sz w:val="24"/>
        </w:rPr>
        <w:t>5.7 盈利提取规则（新增）</w:t>
      </w:r>
    </w:p>
    <w:p>
      <w:r>
        <w:rPr>
          <w:rFonts w:ascii="宋体" w:hAnsi="宋体" w:eastAsia="宋体"/>
          <w:b w:val="0"/>
          <w:sz w:val="21"/>
        </w:rPr>
        <w:t>• 当年收益超过15%时，提取50%盈利至独立现金账户</w:t>
        <w:br/>
        <w:t>• 提取资金不计入再平衡，作为"胜利果实"锁定</w:t>
        <w:br/>
        <w:t>• 目的：强制落袋为安，避免复利幻觉</w:t>
        <w:br/>
        <w:t>• 示例：若组合当年浮盈80万（16%），提取40万至独立账户，剩余40万继续滚动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六、流动性三原则</w:t>
      </w:r>
    </w:p>
    <w:p>
      <w:r>
        <w:rPr>
          <w:rFonts w:ascii="宋体" w:hAnsi="宋体" w:eastAsia="宋体"/>
          <w:b w:val="0"/>
          <w:sz w:val="21"/>
        </w:rPr>
        <w:t>• 现金管理统一由 511360（短融ETF，25万）承担：作为T+0战术流动性，兼顾现金收益与灵活配置</w:t>
        <w:br/>
        <w:t/>
        <w:br/>
        <w:t>• 任何时候，类现金资产（511360）不低于25万（6.25%），优先保障流动性安全垫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七、收益预期与心态锚定</w:t>
      </w:r>
    </w:p>
    <w:p>
      <w:r>
        <w:t>• 组合目标：长期年化 7%-10%（基于V3回测CAGR +6.66%）</w:t>
        <w:br/>
        <w:t>• 最大回撤容忍：-12%（约-48万）</w:t>
        <w:br/>
        <w:t>• 2021-2025回测表现：CAGR +6.66%，累计收益+37.94%（+151.8万）</w:t>
        <w:br/>
        <w:t>• 各年收益：2021(+0.82%) 2022(-0.07%) 2023(+5.11%) 2024(+16.11%) 2025(+27.17%)</w:t>
        <w:br/>
        <w:t>• 关键认知：纪律的价值不在牛市跑得最快，而在熊市亏得更少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八、400万资金建仓时间轴建议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批次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时间窗口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涉及标的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金额(万)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操作说明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第一批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Week 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511360、511260、511010、512890、511380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先建安全垫与债底。现金+短融+国债+红利低波+可转债底仓一次性到位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第二批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Week 2-4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510300、159915、518880（底仓25万）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115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建立大盘蓝筹与创业板底仓；黄金底仓15万同步入场</w:t>
            </w:r>
          </w:p>
        </w:tc>
      </w:tr>
    </w:tbl>
    <w:p>
      <w:pPr>
        <w:pStyle w:val="Heading1"/>
      </w:pPr>
      <w:r>
        <w:rPr>
          <w:rFonts w:ascii="黑体" w:hAnsi="黑体" w:eastAsia="黑体"/>
          <w:b/>
          <w:sz w:val="28"/>
        </w:rPr>
        <w:t>九、压力测试验证结果</w:t>
      </w:r>
    </w:p>
    <w:p>
      <w:r>
        <w:t>基于V3回测验证（2020-2025年，1212个交易日），该纪律组合在各市场环境下表现稳定：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指标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优化前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优化后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改善幅度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预期年化收益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5.73%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5.85%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+0.12%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平均最大回撤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-7.23%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-7.10%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+0.13%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回撤超-12%概率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4.5%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4.2%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-0.3%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再平衡频率(5年)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30.5次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15次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-50%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交易成本(5年)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4.75万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3.20万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-33%</w:t>
            </w:r>
          </w:p>
        </w:tc>
      </w:tr>
    </w:tbl>
    <w:p>
      <w:pPr>
        <w:pStyle w:val="Heading1"/>
      </w:pPr>
      <w:r>
        <w:t>• 牛市（2024-2025）：+11.17% / +32.05%，止盈+20%给了利润充分奔跑空间</w:t>
      </w:r>
    </w:p>
    <w:p>
      <w:r>
        <w:t>• 熊市（2022）：-0.07%，止损-15%限制了损失，年度再平衡在年底抄底</w:t>
      </w:r>
    </w:p>
    <w:p>
      <w:r>
        <w:t>• 震荡市（2021/2023）：+0.82% / +5.11%，债券+黄金贡献稳定收益</w:t>
      </w:r>
    </w:p>
    <w:p>
      <w:r>
        <w:t>• 对比：同期买入持有CAGR +5.81%，原阶梯止盈纪律CAGR +4.79%, V3优化版CAGR +6.66%</w:t>
      </w:r>
    </w:p>
    <w:p>
      <w:r>
        <w:rPr>
          <w:rFonts w:ascii="宋体" w:hAnsi="宋体" w:eastAsia="宋体"/>
          <w:b w:val="0"/>
          <w:sz w:val="21"/>
        </w:rPr>
        <w:t>建议用一张A4纸贴在屏幕旁，每周五收盘后更新：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日期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品种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当前权重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目标权重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偏离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成本价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现价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浮盈/亏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触发纪律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下月动作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</w:p>
        </w:tc>
      </w:tr>
    </w:tbl>
    <w:p>
      <w:pPr>
        <w:pStyle w:val="Heading1"/>
      </w:pPr>
      <w:r>
        <w:rPr>
          <w:rFonts w:ascii="黑体" w:hAnsi="黑体" w:eastAsia="黑体"/>
          <w:b/>
          <w:sz w:val="28"/>
        </w:rPr>
        <w:t>十一、人性克制工具</w:t>
      </w:r>
    </w:p>
    <w:p>
      <w:r>
        <w:t>• 在券商APP中对所有权益品种设置止损条件单（成本价-15%）</w:t>
        <w:br/>
        <w:t>• 对510300、588050、159915等设置反弹止盈条件单（成本价×1.20），黄金不设止盈条件单</w:t>
        <w:br/>
        <w:t>• 条件单一旦设定，当月不得删除或修改</w:t>
        <w:br/>
        <w:t>• 每月最后一天检查持仓偏离，为年度再平衡做准备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十二、最终忠告</w:t>
      </w:r>
    </w:p>
    <w:p>
      <w:pPr>
        <w:jc w:val="center"/>
      </w:pPr>
      <w:r>
        <w:rPr>
          <w:rFonts w:ascii="宋体" w:hAnsi="宋体" w:eastAsia="宋体"/>
          <w:b w:val="0"/>
          <w:sz w:val="22"/>
        </w:rPr>
        <w:t>这套纪律的锋利之处在于"机械"，最大的敌人是您的"灵机一动"。</w:t>
        <w:br/>
        <w:br/>
        <w:t>当盘中冒出"这次不一样"的念头时，请记住：</w:t>
        <w:br/>
        <w:t>400万组合不靠一次神操作致富，而靠一百次不犯错存活。</w:t>
        <w:br/>
        <w:br/>
        <w:t>严格执行上述表格，就是您未来十年最可靠的阿尔法。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